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exact"/>
        <w:ind w:firstLine="0" w:firstLineChars="0"/>
        <w:rPr>
          <w:rFonts w:hint="default" w:ascii="Times New Roman" w:hAnsi="Times New Roman" w:cs="Times New Roman"/>
          <w:color w:val="auto"/>
          <w:highlight w:val="yellow"/>
        </w:rPr>
      </w:pPr>
    </w:p>
    <w:p>
      <w:pPr>
        <w:pStyle w:val="11"/>
        <w:snapToGrid w:val="0"/>
        <w:spacing w:line="560" w:lineRule="exact"/>
        <w:ind w:firstLine="640"/>
        <w:rPr>
          <w:rFonts w:hint="default" w:ascii="Times New Roman" w:hAnsi="Times New Roman" w:cs="Times New Roman"/>
          <w:color w:val="auto"/>
          <w:highlight w:val="yellow"/>
        </w:rPr>
      </w:pPr>
    </w:p>
    <w:p>
      <w:pPr>
        <w:snapToGrid w:val="0"/>
        <w:spacing w:line="560" w:lineRule="exact"/>
        <w:rPr>
          <w:rFonts w:hint="default" w:ascii="Times New Roman" w:hAnsi="Times New Roman" w:cs="Times New Roman"/>
          <w:color w:val="auto"/>
          <w:highlight w:val="yellow"/>
        </w:rPr>
      </w:pPr>
    </w:p>
    <w:p>
      <w:pPr>
        <w:snapToGrid w:val="0"/>
        <w:spacing w:line="560" w:lineRule="exact"/>
        <w:rPr>
          <w:rFonts w:hint="default" w:ascii="Times New Roman" w:hAnsi="Times New Roman" w:cs="Times New Roman"/>
          <w:color w:val="auto"/>
          <w:highlight w:val="yellow"/>
        </w:rPr>
      </w:pPr>
    </w:p>
    <w:p>
      <w:pPr>
        <w:snapToGrid w:val="0"/>
        <w:spacing w:line="560" w:lineRule="exact"/>
        <w:rPr>
          <w:rFonts w:hint="default" w:ascii="Times New Roman" w:hAnsi="Times New Roman" w:cs="Times New Roman"/>
          <w:color w:val="auto"/>
          <w:highlight w:val="yellow"/>
        </w:rPr>
      </w:pPr>
    </w:p>
    <w:p>
      <w:pPr>
        <w:snapToGrid w:val="0"/>
        <w:spacing w:line="560" w:lineRule="exact"/>
        <w:rPr>
          <w:rFonts w:hint="default" w:ascii="Times New Roman" w:hAnsi="Times New Roman" w:cs="Times New Roman"/>
          <w:color w:val="auto"/>
          <w:highlight w:val="yellow"/>
        </w:rPr>
      </w:pPr>
    </w:p>
    <w:p>
      <w:pPr>
        <w:snapToGrid w:val="0"/>
        <w:spacing w:line="560" w:lineRule="exact"/>
        <w:ind w:firstLine="0" w:firstLineChars="0"/>
        <w:rPr>
          <w:rFonts w:hint="default" w:ascii="Times New Roman" w:hAnsi="Times New Roman" w:cs="Times New Roman"/>
          <w:color w:val="auto"/>
          <w:highlight w:val="yellow"/>
        </w:rPr>
      </w:pPr>
    </w:p>
    <w:p>
      <w:pPr>
        <w:pStyle w:val="12"/>
        <w:ind w:firstLine="480"/>
        <w:rPr>
          <w:rFonts w:hint="default" w:ascii="Times New Roman" w:hAnsi="Times New Roman" w:cs="Times New Roman"/>
          <w:color w:val="auto"/>
          <w:highlight w:val="yellow"/>
        </w:rPr>
      </w:pPr>
    </w:p>
    <w:p>
      <w:pPr>
        <w:snapToGrid w:val="0"/>
        <w:spacing w:line="560" w:lineRule="exact"/>
        <w:rPr>
          <w:rFonts w:hint="default" w:ascii="Times New Roman" w:hAnsi="Times New Roman" w:cs="Times New Roman"/>
          <w:color w:val="auto"/>
          <w:highlight w:val="none"/>
        </w:rPr>
      </w:pPr>
    </w:p>
    <w:p>
      <w:pPr>
        <w:snapToGrid w:val="0"/>
        <w:spacing w:line="560" w:lineRule="exact"/>
        <w:rPr>
          <w:rFonts w:hint="default" w:ascii="Times New Roman" w:hAnsi="Times New Roman" w:cs="Times New Roman"/>
          <w:color w:val="auto"/>
          <w:highlight w:val="none"/>
        </w:rPr>
      </w:pPr>
    </w:p>
    <w:p>
      <w:pPr>
        <w:snapToGrid w:val="0"/>
        <w:spacing w:line="560" w:lineRule="exact"/>
        <w:ind w:left="0" w:leftChars="0" w:firstLine="0" w:firstLineChars="0"/>
        <w:jc w:val="cente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锡署环审书〔202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23</w:t>
      </w:r>
      <w:r>
        <w:rPr>
          <w:rFonts w:hint="eastAsia" w:ascii="仿宋_GB2312" w:hAnsi="仿宋_GB2312" w:eastAsia="仿宋_GB2312" w:cs="仿宋_GB2312"/>
          <w:color w:val="auto"/>
          <w:sz w:val="32"/>
          <w:szCs w:val="32"/>
          <w:highlight w:val="none"/>
        </w:rPr>
        <w:t>号</w:t>
      </w:r>
    </w:p>
    <w:p>
      <w:pPr>
        <w:pStyle w:val="12"/>
        <w:ind w:firstLine="480"/>
        <w:rPr>
          <w:rFonts w:hint="default" w:ascii="Times New Roman" w:hAnsi="Times New Roman" w:cs="Times New Roman"/>
          <w:color w:val="auto"/>
          <w:highlight w:val="none"/>
          <w:lang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color w:val="auto"/>
          <w:sz w:val="44"/>
          <w:szCs w:val="44"/>
          <w:lang w:val="en-US" w:eastAsia="zh-CN"/>
        </w:rPr>
        <w:t>锡林郭勒盟生态环境</w:t>
      </w:r>
      <w:r>
        <w:rPr>
          <w:rFonts w:hint="eastAsia" w:ascii="方正小标宋简体" w:hAnsi="方正小标宋简体" w:eastAsia="方正小标宋简体" w:cs="方正小标宋简体"/>
          <w:b w:val="0"/>
          <w:bCs w:val="0"/>
          <w:sz w:val="44"/>
          <w:szCs w:val="44"/>
          <w:lang w:val="en-US" w:eastAsia="zh-CN"/>
        </w:rPr>
        <w:t>局</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val="0"/>
          <w:color w:val="auto"/>
          <w:sz w:val="44"/>
          <w:szCs w:val="44"/>
          <w:highlight w:val="none"/>
          <w:lang w:eastAsia="zh-CN"/>
        </w:rPr>
      </w:pPr>
      <w:r>
        <w:rPr>
          <w:rFonts w:hint="eastAsia" w:ascii="方正小标宋简体" w:hAnsi="方正小标宋简体" w:eastAsia="方正小标宋简体" w:cs="方正小标宋简体"/>
          <w:b w:val="0"/>
          <w:bCs w:val="0"/>
          <w:sz w:val="44"/>
          <w:szCs w:val="44"/>
          <w:lang w:val="en-US" w:eastAsia="zh-CN"/>
        </w:rPr>
        <w:t>关于内蒙古二连盆地乌里雅斯太石油开采滚动开发项目</w:t>
      </w:r>
      <w:r>
        <w:rPr>
          <w:rFonts w:hint="eastAsia" w:ascii="方正小标宋简体" w:hAnsi="方正小标宋简体" w:eastAsia="方正小标宋简体" w:cs="方正小标宋简体"/>
          <w:b w:val="0"/>
          <w:bCs w:val="0"/>
          <w:color w:val="auto"/>
          <w:sz w:val="44"/>
          <w:szCs w:val="44"/>
          <w:highlight w:val="none"/>
          <w:lang w:eastAsia="zh-CN"/>
        </w:rPr>
        <w:t>环境影响报告书的批复</w:t>
      </w:r>
    </w:p>
    <w:p>
      <w:pPr>
        <w:rPr>
          <w:rFonts w:hint="eastAsia" w:ascii="仿宋_GB2312" w:hAnsi="仿宋_GB2312" w:eastAsia="仿宋_GB2312" w:cs="仿宋_GB2312"/>
          <w:color w:val="auto"/>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lang w:eastAsia="zh-CN"/>
        </w:rPr>
        <w:t>陕西延长石油（集团）有</w:t>
      </w:r>
      <w:r>
        <w:rPr>
          <w:rFonts w:hint="eastAsia" w:ascii="仿宋_GB2312" w:hAnsi="仿宋_GB2312" w:eastAsia="仿宋_GB2312" w:cs="仿宋_GB2312"/>
          <w:b w:val="0"/>
          <w:bCs w:val="0"/>
          <w:color w:val="auto"/>
          <w:sz w:val="32"/>
          <w:szCs w:val="32"/>
          <w:highlight w:val="none"/>
          <w:lang w:eastAsia="zh-CN"/>
        </w:rPr>
        <w:t>限责任公司（内蒙古）分公司：</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你单位委托内蒙古众成环境工程技术有限公司编制的《</w:t>
      </w:r>
      <w:r>
        <w:rPr>
          <w:rFonts w:hint="eastAsia" w:ascii="仿宋_GB2312" w:hAnsi="仿宋_GB2312" w:eastAsia="仿宋_GB2312" w:cs="仿宋_GB2312"/>
          <w:b w:val="0"/>
          <w:bCs w:val="0"/>
          <w:color w:val="auto"/>
          <w:sz w:val="32"/>
          <w:szCs w:val="32"/>
          <w:highlight w:val="none"/>
          <w:lang w:val="en-US" w:eastAsia="zh-CN"/>
        </w:rPr>
        <w:t>内蒙古二连盆地乌里雅斯太石油开采滚动开发项目</w:t>
      </w:r>
      <w:r>
        <w:rPr>
          <w:rFonts w:hint="eastAsia" w:ascii="仿宋_GB2312" w:hAnsi="仿宋_GB2312" w:eastAsia="仿宋_GB2312" w:cs="仿宋_GB2312"/>
          <w:b w:val="0"/>
          <w:bCs w:val="0"/>
          <w:color w:val="auto"/>
          <w:sz w:val="32"/>
          <w:szCs w:val="32"/>
          <w:highlight w:val="none"/>
          <w:lang w:eastAsia="zh-CN"/>
        </w:rPr>
        <w:t>环境影响报告书》（以下简称《报告书》）收悉。</w:t>
      </w:r>
      <w:r>
        <w:rPr>
          <w:rFonts w:hint="eastAsia" w:ascii="仿宋_GB2312" w:hAnsi="仿宋_GB2312" w:eastAsia="仿宋_GB2312" w:cs="仿宋_GB2312"/>
          <w:snapToGrid/>
          <w:color w:val="auto"/>
          <w:kern w:val="2"/>
          <w:sz w:val="32"/>
          <w:szCs w:val="32"/>
          <w:highlight w:val="none"/>
        </w:rPr>
        <w:t>经</w:t>
      </w:r>
      <w:r>
        <w:rPr>
          <w:rFonts w:hint="eastAsia" w:ascii="仿宋_GB2312" w:hAnsi="仿宋_GB2312" w:eastAsia="仿宋_GB2312" w:cs="仿宋_GB2312"/>
          <w:snapToGrid/>
          <w:color w:val="auto"/>
          <w:kern w:val="2"/>
          <w:sz w:val="32"/>
          <w:szCs w:val="32"/>
          <w:highlight w:val="none"/>
          <w:lang w:val="en-US" w:eastAsia="zh-CN"/>
        </w:rPr>
        <w:t>锡林郭勒盟生态环境局2024年第5次局务会</w:t>
      </w:r>
      <w:r>
        <w:rPr>
          <w:rFonts w:hint="eastAsia" w:ascii="仿宋_GB2312" w:hAnsi="仿宋_GB2312" w:eastAsia="仿宋_GB2312" w:cs="仿宋_GB2312"/>
          <w:snapToGrid/>
          <w:color w:val="auto"/>
          <w:kern w:val="2"/>
          <w:sz w:val="32"/>
          <w:szCs w:val="32"/>
          <w:highlight w:val="none"/>
        </w:rPr>
        <w:t>研究，批复如下：</w:t>
      </w:r>
      <w:r>
        <w:rPr>
          <w:rFonts w:cs="Times New Roman"/>
          <w:color w:val="auto"/>
          <w:szCs w:val="24"/>
          <w:highlight w:val="none"/>
        </w:rPr>
        <w:t xml:space="preserve"> </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项目位于内蒙古自治区锡林郭勒盟东乌珠穆沁旗嘎海乐苏木</w:t>
      </w:r>
      <w:r>
        <w:rPr>
          <w:rFonts w:hint="eastAsia" w:ascii="仿宋_GB2312" w:hAnsi="仿宋_GB2312" w:eastAsia="仿宋_GB2312" w:cs="仿宋_GB2312"/>
          <w:b w:val="0"/>
          <w:bCs w:val="0"/>
          <w:color w:val="auto"/>
          <w:sz w:val="32"/>
          <w:szCs w:val="32"/>
          <w:highlight w:val="none"/>
          <w:lang w:val="en-US" w:eastAsia="zh-CN"/>
        </w:rPr>
        <w:t>额仁高毕嘎查</w:t>
      </w:r>
      <w:r>
        <w:rPr>
          <w:rFonts w:hint="eastAsia" w:ascii="仿宋_GB2312" w:hAnsi="仿宋_GB2312" w:eastAsia="仿宋_GB2312" w:cs="仿宋_GB2312"/>
          <w:b w:val="0"/>
          <w:bCs w:val="0"/>
          <w:color w:val="auto"/>
          <w:sz w:val="32"/>
          <w:szCs w:val="32"/>
          <w:highlight w:val="none"/>
          <w:lang w:eastAsia="zh-CN"/>
        </w:rPr>
        <w:t>，项目建设性质为</w:t>
      </w:r>
      <w:r>
        <w:rPr>
          <w:rFonts w:hint="eastAsia" w:ascii="仿宋_GB2312" w:hAnsi="仿宋_GB2312" w:eastAsia="仿宋_GB2312" w:cs="仿宋_GB2312"/>
          <w:b w:val="0"/>
          <w:bCs w:val="0"/>
          <w:color w:val="auto"/>
          <w:sz w:val="32"/>
          <w:szCs w:val="32"/>
          <w:highlight w:val="none"/>
          <w:lang w:val="en-US" w:eastAsia="zh-CN"/>
        </w:rPr>
        <w:t>改扩建</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改扩建后采矿权面积由原来的19.964km</w:t>
      </w:r>
      <w:r>
        <w:rPr>
          <w:rFonts w:hint="eastAsia" w:ascii="仿宋_GB2312" w:hAnsi="仿宋_GB2312" w:eastAsia="仿宋_GB2312" w:cs="仿宋_GB2312"/>
          <w:b w:val="0"/>
          <w:bCs w:val="0"/>
          <w:color w:val="auto"/>
          <w:sz w:val="32"/>
          <w:szCs w:val="32"/>
          <w:highlight w:val="none"/>
          <w:vertAlign w:val="superscript"/>
          <w:lang w:val="en-US" w:eastAsia="zh-CN"/>
        </w:rPr>
        <w:t>2</w:t>
      </w:r>
      <w:r>
        <w:rPr>
          <w:rFonts w:hint="eastAsia" w:ascii="仿宋_GB2312" w:hAnsi="仿宋_GB2312" w:eastAsia="仿宋_GB2312" w:cs="仿宋_GB2312"/>
          <w:b w:val="0"/>
          <w:bCs w:val="0"/>
          <w:color w:val="auto"/>
          <w:sz w:val="32"/>
          <w:szCs w:val="32"/>
          <w:highlight w:val="none"/>
          <w:lang w:val="en-US" w:eastAsia="zh-CN"/>
        </w:rPr>
        <w:t>变更为28.0225km</w:t>
      </w:r>
      <w:r>
        <w:rPr>
          <w:rFonts w:hint="eastAsia" w:ascii="仿宋_GB2312" w:hAnsi="仿宋_GB2312" w:eastAsia="仿宋_GB2312" w:cs="仿宋_GB2312"/>
          <w:b w:val="0"/>
          <w:bCs w:val="0"/>
          <w:color w:val="auto"/>
          <w:sz w:val="32"/>
          <w:szCs w:val="32"/>
          <w:highlight w:val="none"/>
          <w:vertAlign w:val="superscript"/>
          <w:lang w:val="en-US" w:eastAsia="zh-CN"/>
        </w:rPr>
        <w:t>2</w:t>
      </w:r>
      <w:r>
        <w:rPr>
          <w:rFonts w:hint="eastAsia" w:ascii="仿宋_GB2312" w:hAnsi="仿宋_GB2312" w:eastAsia="仿宋_GB2312" w:cs="仿宋_GB2312"/>
          <w:b w:val="0"/>
          <w:bCs w:val="0"/>
          <w:color w:val="auto"/>
          <w:sz w:val="32"/>
          <w:szCs w:val="32"/>
          <w:highlight w:val="none"/>
          <w:lang w:val="en-US" w:eastAsia="zh-CN"/>
        </w:rPr>
        <w:t>，增加开采面积8.0585km</w:t>
      </w:r>
      <w:r>
        <w:rPr>
          <w:rFonts w:hint="eastAsia" w:ascii="仿宋_GB2312" w:hAnsi="仿宋_GB2312" w:eastAsia="仿宋_GB2312" w:cs="仿宋_GB2312"/>
          <w:b w:val="0"/>
          <w:bCs w:val="0"/>
          <w:color w:val="auto"/>
          <w:sz w:val="32"/>
          <w:szCs w:val="32"/>
          <w:highlight w:val="none"/>
          <w:vertAlign w:val="superscript"/>
          <w:lang w:val="en-US" w:eastAsia="zh-CN"/>
        </w:rPr>
        <w:t>2</w:t>
      </w:r>
      <w:r>
        <w:rPr>
          <w:rFonts w:hint="eastAsia" w:ascii="仿宋_GB2312" w:hAnsi="仿宋_GB2312" w:eastAsia="仿宋_GB2312" w:cs="仿宋_GB2312"/>
          <w:b w:val="0"/>
          <w:bCs w:val="0"/>
          <w:color w:val="auto"/>
          <w:sz w:val="32"/>
          <w:szCs w:val="32"/>
          <w:highlight w:val="none"/>
          <w:lang w:val="en-US" w:eastAsia="zh-CN"/>
        </w:rPr>
        <w:t>。开采区内新部署油井80口（23口油井为现有勘探井转采），注水井27口（全部为前期油井转注，其中新增区块2口勘探井已转注水井）；新增集油管线、掺水管线并列设置，分别长15.69km，注水管线总长度15.3km。油气集输依托现有工程集输站不新建。工程建设新增占地面积50.07hm</w:t>
      </w:r>
      <w:r>
        <w:rPr>
          <w:rFonts w:hint="eastAsia" w:ascii="仿宋_GB2312" w:hAnsi="仿宋_GB2312" w:eastAsia="仿宋_GB2312" w:cs="仿宋_GB2312"/>
          <w:b w:val="0"/>
          <w:bCs w:val="0"/>
          <w:color w:val="auto"/>
          <w:sz w:val="32"/>
          <w:szCs w:val="32"/>
          <w:highlight w:val="none"/>
          <w:vertAlign w:val="superscript"/>
          <w:lang w:val="en-US" w:eastAsia="zh-CN"/>
        </w:rPr>
        <w:t>2</w:t>
      </w:r>
      <w:r>
        <w:rPr>
          <w:rFonts w:hint="eastAsia" w:ascii="仿宋_GB2312" w:hAnsi="仿宋_GB2312" w:eastAsia="仿宋_GB2312" w:cs="仿宋_GB2312"/>
          <w:b w:val="0"/>
          <w:bCs w:val="0"/>
          <w:color w:val="auto"/>
          <w:sz w:val="32"/>
          <w:szCs w:val="32"/>
          <w:highlight w:val="none"/>
          <w:lang w:val="en-US" w:eastAsia="zh-CN"/>
        </w:rPr>
        <w:t>，其中7.24hm</w:t>
      </w:r>
      <w:r>
        <w:rPr>
          <w:rFonts w:hint="eastAsia" w:ascii="仿宋_GB2312" w:hAnsi="仿宋_GB2312" w:eastAsia="仿宋_GB2312" w:cs="仿宋_GB2312"/>
          <w:b w:val="0"/>
          <w:bCs w:val="0"/>
          <w:color w:val="auto"/>
          <w:sz w:val="32"/>
          <w:szCs w:val="32"/>
          <w:highlight w:val="none"/>
          <w:vertAlign w:val="superscript"/>
          <w:lang w:val="en-US" w:eastAsia="zh-CN"/>
        </w:rPr>
        <w:t>2</w:t>
      </w:r>
      <w:r>
        <w:rPr>
          <w:rFonts w:hint="eastAsia" w:ascii="仿宋_GB2312" w:hAnsi="仿宋_GB2312" w:eastAsia="仿宋_GB2312" w:cs="仿宋_GB2312"/>
          <w:b w:val="0"/>
          <w:bCs w:val="0"/>
          <w:color w:val="auto"/>
          <w:sz w:val="32"/>
          <w:szCs w:val="32"/>
          <w:highlight w:val="none"/>
          <w:lang w:val="en-US" w:eastAsia="zh-CN"/>
        </w:rPr>
        <w:t>为井场和新建井场道路永久占地，其余为临时占地。建成后开发范围内的总体产能不增加，扩建工程产能为3万t/a原油，全部为弥补现有区块产能递减。扩建工程总投资28743万元，其中环保投资概算值为830.97万元，环保投资共占工程投资的2.89%。</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报告书》认为，在全面落实各项生态保护和污染防治措施的前提下，项目建设对环境的不利影响能够得到一定的缓解和控制。因此，我局原则同意本项目按照《报告书》所列的建设项目性质、规模、地点和拟采取的污染防治措施及下述要求进行建设。</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项目在设计、建设和运营过程中还应做好以下工作。</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sz w:val="32"/>
          <w:szCs w:val="32"/>
          <w:highlight w:val="none"/>
          <w:lang w:val="en-US" w:eastAsia="zh-CN"/>
        </w:rPr>
        <w:t>严格落实各项大气污染防治措施。</w:t>
      </w:r>
      <w:r>
        <w:rPr>
          <w:rFonts w:hint="eastAsia" w:ascii="仿宋_GB2312" w:hAnsi="仿宋_GB2312" w:eastAsia="仿宋_GB2312" w:cs="仿宋_GB2312"/>
          <w:color w:val="auto"/>
          <w:kern w:val="2"/>
          <w:sz w:val="32"/>
          <w:szCs w:val="32"/>
          <w:highlight w:val="none"/>
          <w:lang w:eastAsia="zh-CN" w:bidi="en-US"/>
        </w:rPr>
        <w:t>做好施工期扬尘污染防治，生产过程中采取油气密闭集输作业，定期检修集输管线、阀门等设备，减少烃类气体无组织排放，</w:t>
      </w:r>
      <w:r>
        <w:rPr>
          <w:rFonts w:hint="eastAsia" w:ascii="仿宋_GB2312" w:hAnsi="仿宋_GB2312" w:eastAsia="仿宋_GB2312" w:cs="仿宋_GB2312"/>
          <w:color w:val="auto"/>
          <w:kern w:val="2"/>
          <w:sz w:val="32"/>
          <w:szCs w:val="32"/>
          <w:highlight w:val="none"/>
          <w:lang w:val="en-US" w:eastAsia="zh-CN" w:bidi="en-US"/>
        </w:rPr>
        <w:t>TSP无组织废气</w:t>
      </w:r>
      <w:r>
        <w:rPr>
          <w:rFonts w:hint="eastAsia" w:ascii="仿宋_GB2312" w:hAnsi="仿宋_GB2312" w:eastAsia="仿宋_GB2312" w:cs="仿宋_GB2312"/>
          <w:color w:val="auto"/>
          <w:kern w:val="2"/>
          <w:sz w:val="32"/>
          <w:szCs w:val="32"/>
          <w:highlight w:val="none"/>
          <w:lang w:eastAsia="zh-CN" w:bidi="en-US"/>
        </w:rPr>
        <w:t>排放需满足《大气污染物综合排放标准》（GB16297-1996）表2无组织排放监控浓度限值，非甲烷总烃无组织废气排放需满足《陆上石油天然气开采工业大气污染物排放标准》（GB39728-2020）企业边界污染物控制要求。</w:t>
      </w:r>
    </w:p>
    <w:p>
      <w:pPr>
        <w:pStyle w:val="7"/>
        <w:keepNext w:val="0"/>
        <w:keepLines w:val="0"/>
        <w:pageBreakBefore w:val="0"/>
        <w:kinsoku/>
        <w:wordWrap/>
        <w:overflowPunct/>
        <w:topLinePunct w:val="0"/>
        <w:autoSpaceDE/>
        <w:autoSpaceDN/>
        <w:bidi w:val="0"/>
        <w:adjustRightInd w:val="0"/>
        <w:snapToGrid w:val="0"/>
        <w:spacing w:before="0" w:beforeAutospacing="0" w:afterAutospacing="0" w:line="560" w:lineRule="exact"/>
        <w:ind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（二）</w:t>
      </w:r>
      <w:r>
        <w:rPr>
          <w:rFonts w:hint="eastAsia" w:ascii="楷体" w:hAnsi="楷体" w:eastAsia="楷体" w:cs="楷体"/>
          <w:b w:val="0"/>
          <w:bCs w:val="0"/>
          <w:color w:val="auto"/>
          <w:sz w:val="32"/>
          <w:szCs w:val="32"/>
          <w:highlight w:val="none"/>
          <w:lang w:val="en-US" w:eastAsia="zh-CN"/>
        </w:rPr>
        <w:t>严格落实固体废物污染防治措施。</w:t>
      </w:r>
      <w:r>
        <w:rPr>
          <w:rFonts w:hint="eastAsia" w:ascii="仿宋_GB2312" w:hAnsi="仿宋_GB2312" w:eastAsia="仿宋_GB2312" w:cs="仿宋_GB2312"/>
          <w:color w:val="auto"/>
          <w:kern w:val="2"/>
          <w:sz w:val="32"/>
          <w:szCs w:val="32"/>
          <w:highlight w:val="none"/>
          <w:lang w:val="en-US" w:eastAsia="zh-CN" w:bidi="en-US"/>
        </w:rPr>
        <w:t>加强危废管理，委托有资质和处置能力的单位对项目产生的落地油等含油危废及其他受污染土壤及时清理回收，要求回收率100%。落地油采取桶装形式收集，暂存于集输站危废暂存间，定期由有资质单位收集进行综合利用。废机油采用钢制铁桶收集后定期由卸油平台卸入集输站三相分离器进行处理，不外排。扩建工程无新增劳动定员，不新增生活垃圾。危险废物暂存管理需</w:t>
      </w:r>
      <w:r>
        <w:rPr>
          <w:rFonts w:hint="eastAsia" w:ascii="仿宋_GB2312" w:hAnsi="仿宋_GB2312" w:eastAsia="仿宋_GB2312" w:cs="仿宋_GB2312"/>
          <w:b w:val="0"/>
          <w:bCs w:val="0"/>
          <w:color w:val="auto"/>
          <w:sz w:val="32"/>
          <w:szCs w:val="32"/>
          <w:highlight w:val="none"/>
          <w:lang w:val="en-US" w:eastAsia="zh-CN"/>
        </w:rPr>
        <w:t>满足《中华人民共和国固体废物污染环境防治法》和《危险废物贮存污染控制标准》（GB18597-2023）要求。</w:t>
      </w:r>
    </w:p>
    <w:p>
      <w:pPr>
        <w:pStyle w:val="7"/>
        <w:keepNext w:val="0"/>
        <w:keepLines w:val="0"/>
        <w:pageBreakBefore w:val="0"/>
        <w:kinsoku/>
        <w:wordWrap/>
        <w:overflowPunct/>
        <w:topLinePunct w:val="0"/>
        <w:autoSpaceDE/>
        <w:autoSpaceDN/>
        <w:bidi w:val="0"/>
        <w:adjustRightInd w:val="0"/>
        <w:snapToGrid w:val="0"/>
        <w:spacing w:before="0" w:beforeAutospacing="0" w:afterAutospacing="0" w:line="560" w:lineRule="exact"/>
        <w:ind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（三）</w:t>
      </w:r>
      <w:r>
        <w:rPr>
          <w:rFonts w:hint="eastAsia" w:ascii="楷体" w:hAnsi="楷体" w:eastAsia="楷体" w:cs="楷体"/>
          <w:b w:val="0"/>
          <w:bCs w:val="0"/>
          <w:color w:val="auto"/>
          <w:sz w:val="32"/>
          <w:szCs w:val="32"/>
          <w:highlight w:val="none"/>
          <w:lang w:val="en-US" w:eastAsia="zh-CN"/>
        </w:rPr>
        <w:t>严格落实各项水污染防治措施。</w:t>
      </w:r>
      <w:r>
        <w:rPr>
          <w:rFonts w:hint="eastAsia" w:ascii="仿宋_GB2312" w:hAnsi="仿宋_GB2312" w:eastAsia="仿宋_GB2312" w:cs="仿宋_GB2312"/>
          <w:b w:val="0"/>
          <w:bCs w:val="0"/>
          <w:color w:val="auto"/>
          <w:sz w:val="32"/>
          <w:szCs w:val="32"/>
          <w:highlight w:val="none"/>
          <w:lang w:val="en-US" w:eastAsia="zh-CN"/>
        </w:rPr>
        <w:t>采出液经油水分离后废水进入集输站污水处理站处理后满足《碎屑岩油藏注水水质推荐指标及分析方法》(SY/T5329-2022）的要求后全部回注，不外排。井下作业废水和洗井废水经废水回收双管流程，使修井、洗井废水不出井，直接进入产液系统，处理后最终按《碎屑岩油藏注水水质推荐指标及分析方法》(SY/T5329-2022）的要求全部回注，不外排。运营期不新增劳动定员，不新增</w:t>
      </w:r>
      <w:r>
        <w:rPr>
          <w:rFonts w:hint="eastAsia" w:ascii="仿宋_GB2312" w:hAnsi="仿宋_GB2312" w:eastAsia="仿宋_GB2312" w:cs="仿宋_GB2312"/>
          <w:color w:val="auto"/>
          <w:kern w:val="2"/>
          <w:sz w:val="32"/>
          <w:szCs w:val="32"/>
          <w:highlight w:val="none"/>
          <w:lang w:val="en-US" w:eastAsia="zh-CN" w:bidi="en-US"/>
        </w:rPr>
        <w:t>生活污水，建设单位需</w:t>
      </w:r>
      <w:r>
        <w:rPr>
          <w:rFonts w:hint="eastAsia"/>
          <w:color w:val="auto"/>
          <w:highlight w:val="none"/>
        </w:rPr>
        <w:t>对</w:t>
      </w:r>
      <w:r>
        <w:rPr>
          <w:rFonts w:hint="eastAsia"/>
          <w:color w:val="auto"/>
          <w:highlight w:val="none"/>
          <w:lang w:eastAsia="zh-CN"/>
        </w:rPr>
        <w:t>依托的</w:t>
      </w:r>
      <w:r>
        <w:rPr>
          <w:rFonts w:hint="eastAsia"/>
          <w:color w:val="auto"/>
          <w:highlight w:val="none"/>
        </w:rPr>
        <w:t>东乌旗宏博物流中心生活污水处理设备进行提标改造满足现</w:t>
      </w:r>
      <w:r>
        <w:rPr>
          <w:rFonts w:hint="eastAsia"/>
          <w:color w:val="auto"/>
          <w:highlight w:val="none"/>
          <w:lang w:eastAsia="zh-CN"/>
        </w:rPr>
        <w:t>行的</w:t>
      </w:r>
      <w:r>
        <w:rPr>
          <w:rFonts w:hint="eastAsia"/>
          <w:color w:val="auto"/>
          <w:highlight w:val="none"/>
        </w:rPr>
        <w:t>《城市污水再生利用城市杂用水水质》(GB/T18920-2020</w:t>
      </w:r>
      <w:r>
        <w:rPr>
          <w:rFonts w:hint="eastAsia"/>
          <w:color w:val="auto"/>
          <w:highlight w:val="none"/>
          <w:lang w:eastAsia="zh-CN"/>
        </w:rPr>
        <w:t>）</w:t>
      </w:r>
      <w:r>
        <w:rPr>
          <w:rFonts w:hint="eastAsia"/>
          <w:color w:val="auto"/>
          <w:highlight w:val="none"/>
        </w:rPr>
        <w:t>中绿化用水、道路清扫用水标准</w:t>
      </w:r>
      <w:r>
        <w:rPr>
          <w:rFonts w:hint="eastAsia"/>
          <w:color w:val="auto"/>
          <w:highlight w:val="none"/>
          <w:lang w:eastAsia="zh-CN"/>
        </w:rPr>
        <w:t>和</w:t>
      </w:r>
      <w:r>
        <w:rPr>
          <w:color w:val="auto"/>
          <w:highlight w:val="none"/>
          <w:lang w:bidi="en-US"/>
        </w:rPr>
        <w:t>《污水综合排放标准》(GB8978-1996</w:t>
      </w:r>
      <w:r>
        <w:rPr>
          <w:rFonts w:hint="eastAsia"/>
          <w:color w:val="auto"/>
          <w:highlight w:val="none"/>
          <w:lang w:eastAsia="zh-CN" w:bidi="en-US"/>
        </w:rPr>
        <w:t>）</w:t>
      </w:r>
      <w:r>
        <w:rPr>
          <w:color w:val="auto"/>
          <w:highlight w:val="none"/>
          <w:lang w:bidi="en-US"/>
        </w:rPr>
        <w:t>中一级标准</w:t>
      </w:r>
      <w:r>
        <w:rPr>
          <w:rFonts w:hint="eastAsia" w:ascii="仿宋_GB2312" w:hAnsi="仿宋_GB2312" w:eastAsia="仿宋_GB2312" w:cs="仿宋_GB2312"/>
          <w:b w:val="0"/>
          <w:bCs w:val="0"/>
          <w:color w:val="auto"/>
          <w:sz w:val="32"/>
          <w:szCs w:val="32"/>
          <w:highlight w:val="none"/>
          <w:lang w:val="en-US" w:eastAsia="zh-CN"/>
        </w:rPr>
        <w:t>。</w:t>
      </w:r>
    </w:p>
    <w:p>
      <w:pPr>
        <w:pStyle w:val="7"/>
        <w:keepNext w:val="0"/>
        <w:keepLines w:val="0"/>
        <w:pageBreakBefore w:val="0"/>
        <w:kinsoku/>
        <w:wordWrap/>
        <w:overflowPunct/>
        <w:topLinePunct w:val="0"/>
        <w:autoSpaceDE/>
        <w:autoSpaceDN/>
        <w:bidi w:val="0"/>
        <w:adjustRightInd w:val="0"/>
        <w:snapToGrid w:val="0"/>
        <w:spacing w:before="0" w:beforeAutospacing="0" w:afterAutospacing="0" w:line="560" w:lineRule="exact"/>
        <w:ind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（四）</w:t>
      </w:r>
      <w:r>
        <w:rPr>
          <w:rFonts w:hint="eastAsia" w:ascii="楷体" w:hAnsi="楷体" w:eastAsia="楷体" w:cs="楷体"/>
          <w:b w:val="0"/>
          <w:bCs w:val="0"/>
          <w:color w:val="auto"/>
          <w:sz w:val="32"/>
          <w:szCs w:val="32"/>
          <w:highlight w:val="none"/>
          <w:lang w:val="en-US" w:eastAsia="zh-CN"/>
        </w:rPr>
        <w:t>严格落实噪声防治措施。</w:t>
      </w:r>
      <w:r>
        <w:rPr>
          <w:rFonts w:hint="eastAsia" w:ascii="仿宋_GB2312" w:hAnsi="仿宋_GB2312" w:eastAsia="仿宋_GB2312" w:cs="仿宋_GB2312"/>
          <w:color w:val="auto"/>
          <w:kern w:val="2"/>
          <w:sz w:val="32"/>
          <w:szCs w:val="32"/>
          <w:highlight w:val="none"/>
          <w:lang w:bidi="en-US"/>
        </w:rPr>
        <w:t>在满足生产要求的前提下，</w:t>
      </w:r>
      <w:r>
        <w:rPr>
          <w:rFonts w:hint="eastAsia" w:ascii="仿宋_GB2312" w:hAnsi="仿宋_GB2312" w:eastAsia="仿宋_GB2312" w:cs="仿宋_GB2312"/>
          <w:color w:val="auto"/>
          <w:kern w:val="2"/>
          <w:sz w:val="32"/>
          <w:szCs w:val="32"/>
          <w:highlight w:val="none"/>
          <w:lang w:val="en-US" w:eastAsia="zh-CN" w:bidi="en-US"/>
        </w:rPr>
        <w:t>采取低噪声设备、减振降噪等工程措施</w:t>
      </w:r>
      <w:r>
        <w:rPr>
          <w:rFonts w:hint="eastAsia" w:ascii="仿宋_GB2312" w:hAnsi="仿宋_GB2312" w:eastAsia="仿宋_GB2312" w:cs="仿宋_GB2312"/>
          <w:color w:val="auto"/>
          <w:kern w:val="2"/>
          <w:sz w:val="32"/>
          <w:szCs w:val="32"/>
          <w:highlight w:val="none"/>
          <w:lang w:bidi="en-US"/>
        </w:rPr>
        <w:t>。</w:t>
      </w:r>
      <w:r>
        <w:rPr>
          <w:rFonts w:hint="eastAsia" w:ascii="仿宋_GB2312" w:hAnsi="仿宋_GB2312" w:eastAsia="仿宋_GB2312" w:cs="仿宋_GB2312"/>
          <w:color w:val="auto"/>
          <w:kern w:val="2"/>
          <w:sz w:val="32"/>
          <w:szCs w:val="32"/>
          <w:highlight w:val="none"/>
          <w:lang w:eastAsia="zh-CN" w:bidi="en-US"/>
        </w:rPr>
        <w:t>施工期厂界噪声需满足《建筑施工场界环境噪声排放标准》（GB12523－2011）要求，运营期厂界噪声需</w:t>
      </w:r>
      <w:r>
        <w:rPr>
          <w:rFonts w:hint="eastAsia" w:ascii="仿宋_GB2312" w:hAnsi="仿宋_GB2312" w:eastAsia="仿宋_GB2312" w:cs="仿宋_GB2312"/>
          <w:b w:val="0"/>
          <w:bCs w:val="0"/>
          <w:color w:val="auto"/>
          <w:sz w:val="32"/>
          <w:szCs w:val="32"/>
          <w:highlight w:val="none"/>
          <w:lang w:val="en-US" w:eastAsia="zh-CN"/>
        </w:rPr>
        <w:t>满足《工业企业厂界环境噪声排放标准》（GB12348-2008）中2类标准要求。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（五）</w:t>
      </w:r>
      <w:r>
        <w:rPr>
          <w:rFonts w:hint="eastAsia" w:ascii="楷体" w:hAnsi="楷体" w:eastAsia="楷体" w:cs="楷体"/>
          <w:b w:val="0"/>
          <w:bCs w:val="0"/>
          <w:color w:val="auto"/>
          <w:sz w:val="32"/>
          <w:szCs w:val="32"/>
          <w:highlight w:val="none"/>
          <w:lang w:val="en-US" w:eastAsia="zh-CN"/>
        </w:rPr>
        <w:t>严格落实土壤和地下水污染防治措施。</w:t>
      </w:r>
      <w:r>
        <w:rPr>
          <w:rFonts w:hint="eastAsia" w:ascii="仿宋_GB2312" w:hAnsi="仿宋_GB2312" w:eastAsia="仿宋_GB2312" w:cs="仿宋_GB2312"/>
          <w:b w:val="0"/>
          <w:bCs w:val="0"/>
          <w:color w:val="auto"/>
          <w:sz w:val="32"/>
          <w:szCs w:val="32"/>
          <w:highlight w:val="none"/>
          <w:lang w:val="en-US" w:eastAsia="zh-CN"/>
        </w:rPr>
        <w:t>严格执行“源头控制、分区防控、污染监控、应急响应”相结合的原则。</w:t>
      </w:r>
      <w:r>
        <w:rPr>
          <w:rFonts w:hint="eastAsia" w:ascii="仿宋_GB2312" w:hAnsi="仿宋_GB2312" w:eastAsia="仿宋_GB2312" w:cs="仿宋_GB2312"/>
          <w:color w:val="auto"/>
          <w:kern w:val="2"/>
          <w:sz w:val="32"/>
          <w:szCs w:val="32"/>
          <w:highlight w:val="none"/>
          <w:lang w:val="en-US" w:eastAsia="zh-CN" w:bidi="en-US"/>
        </w:rPr>
        <w:t>井场泥浆池、污水储罐为重点防渗区，渗透系数≤10</w:t>
      </w:r>
      <w:r>
        <w:rPr>
          <w:rFonts w:hint="eastAsia" w:ascii="仿宋_GB2312" w:hAnsi="仿宋_GB2312" w:eastAsia="仿宋_GB2312" w:cs="仿宋_GB2312"/>
          <w:color w:val="auto"/>
          <w:kern w:val="2"/>
          <w:sz w:val="32"/>
          <w:szCs w:val="32"/>
          <w:highlight w:val="none"/>
          <w:vertAlign w:val="superscript"/>
          <w:lang w:val="en-US" w:eastAsia="zh-CN" w:bidi="en-US"/>
        </w:rPr>
        <w:t>-10</w:t>
      </w:r>
      <w:r>
        <w:rPr>
          <w:rFonts w:hint="eastAsia" w:ascii="仿宋_GB2312" w:hAnsi="仿宋_GB2312" w:eastAsia="仿宋_GB2312" w:cs="仿宋_GB2312"/>
          <w:color w:val="auto"/>
          <w:kern w:val="2"/>
          <w:sz w:val="32"/>
          <w:szCs w:val="32"/>
          <w:highlight w:val="none"/>
          <w:lang w:val="en-US" w:eastAsia="zh-CN" w:bidi="en-US"/>
        </w:rPr>
        <w:t>cm/s，防渗层为至少等效2m厚黏土层或2mm厚高密度聚乙烯，</w:t>
      </w:r>
      <w:r>
        <w:rPr>
          <w:rFonts w:hint="eastAsia" w:ascii="仿宋_GB2312" w:hAnsi="仿宋_GB2312" w:eastAsia="仿宋_GB2312" w:cs="仿宋_GB2312"/>
          <w:b w:val="0"/>
          <w:bCs w:val="0"/>
          <w:color w:val="auto"/>
          <w:sz w:val="32"/>
          <w:szCs w:val="32"/>
          <w:highlight w:val="none"/>
          <w:lang w:eastAsia="zh-CN"/>
        </w:rPr>
        <w:t>达到《环境影响评价技术导则</w:t>
      </w:r>
      <w:r>
        <w:rPr>
          <w:rFonts w:hint="eastAsia" w:ascii="仿宋_GB2312" w:hAnsi="仿宋_GB2312" w:eastAsia="仿宋_GB2312" w:cs="仿宋_GB2312"/>
          <w:b w:val="0"/>
          <w:bCs w:val="0"/>
          <w:color w:val="auto"/>
          <w:sz w:val="32"/>
          <w:szCs w:val="32"/>
          <w:highlight w:val="none"/>
          <w:lang w:val="en-US" w:eastAsia="zh-CN"/>
        </w:rPr>
        <w:t xml:space="preserve"> 地下水环境</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HJ610-2016</w:t>
      </w:r>
      <w:r>
        <w:rPr>
          <w:rFonts w:hint="eastAsia" w:ascii="仿宋_GB2312" w:hAnsi="仿宋_GB2312" w:eastAsia="仿宋_GB2312" w:cs="仿宋_GB2312"/>
          <w:b w:val="0"/>
          <w:bCs w:val="0"/>
          <w:color w:val="auto"/>
          <w:sz w:val="32"/>
          <w:szCs w:val="32"/>
          <w:highlight w:val="none"/>
          <w:lang w:eastAsia="zh-CN"/>
        </w:rPr>
        <w:t>）中分区防控中重点防渗区技术要求</w:t>
      </w:r>
      <w:r>
        <w:rPr>
          <w:rFonts w:hint="eastAsia" w:ascii="仿宋_GB2312" w:hAnsi="仿宋_GB2312" w:eastAsia="仿宋_GB2312" w:cs="仿宋_GB2312"/>
          <w:b w:val="0"/>
          <w:bCs w:val="0"/>
          <w:color w:val="auto"/>
          <w:sz w:val="32"/>
          <w:szCs w:val="32"/>
          <w:highlight w:val="none"/>
          <w:lang w:val="en-US" w:eastAsia="zh-CN"/>
        </w:rPr>
        <w:t>；</w:t>
      </w:r>
      <w:r>
        <w:rPr>
          <w:rFonts w:hint="eastAsia" w:ascii="仿宋_GB2312" w:hAnsi="仿宋_GB2312" w:eastAsia="仿宋_GB2312" w:cs="仿宋_GB2312"/>
          <w:color w:val="auto"/>
          <w:kern w:val="2"/>
          <w:sz w:val="32"/>
          <w:szCs w:val="32"/>
          <w:highlight w:val="none"/>
          <w:lang w:val="en-US" w:eastAsia="zh-CN" w:bidi="en-US"/>
        </w:rPr>
        <w:t>井场材料区、移动厕所为一般防渗区，地面防渗要求为等效黏土防渗层Mb≥1.5m，K≤1×10</w:t>
      </w:r>
      <w:r>
        <w:rPr>
          <w:rFonts w:hint="eastAsia" w:ascii="仿宋_GB2312" w:hAnsi="仿宋_GB2312" w:eastAsia="仿宋_GB2312" w:cs="仿宋_GB2312"/>
          <w:color w:val="auto"/>
          <w:kern w:val="2"/>
          <w:sz w:val="32"/>
          <w:szCs w:val="32"/>
          <w:highlight w:val="none"/>
          <w:vertAlign w:val="superscript"/>
          <w:lang w:val="en-US" w:eastAsia="zh-CN" w:bidi="en-US"/>
        </w:rPr>
        <w:t>-7</w:t>
      </w:r>
      <w:r>
        <w:rPr>
          <w:rFonts w:hint="eastAsia" w:ascii="仿宋_GB2312" w:hAnsi="仿宋_GB2312" w:eastAsia="仿宋_GB2312" w:cs="仿宋_GB2312"/>
          <w:color w:val="auto"/>
          <w:kern w:val="2"/>
          <w:sz w:val="32"/>
          <w:szCs w:val="32"/>
          <w:highlight w:val="none"/>
          <w:lang w:val="en-US" w:eastAsia="zh-CN" w:bidi="en-US"/>
        </w:rPr>
        <w:t>cm/s，</w:t>
      </w:r>
      <w:r>
        <w:rPr>
          <w:rFonts w:hint="eastAsia" w:ascii="仿宋_GB2312" w:hAnsi="仿宋_GB2312" w:eastAsia="仿宋_GB2312" w:cs="仿宋_GB2312"/>
          <w:b w:val="0"/>
          <w:bCs w:val="0"/>
          <w:color w:val="auto"/>
          <w:sz w:val="32"/>
          <w:szCs w:val="32"/>
          <w:highlight w:val="none"/>
          <w:lang w:eastAsia="zh-CN"/>
        </w:rPr>
        <w:t>达到《环境影响评价技术导则</w:t>
      </w:r>
      <w:r>
        <w:rPr>
          <w:rFonts w:hint="eastAsia" w:ascii="仿宋_GB2312" w:hAnsi="仿宋_GB2312" w:eastAsia="仿宋_GB2312" w:cs="仿宋_GB2312"/>
          <w:b w:val="0"/>
          <w:bCs w:val="0"/>
          <w:color w:val="auto"/>
          <w:sz w:val="32"/>
          <w:szCs w:val="32"/>
          <w:highlight w:val="none"/>
          <w:lang w:val="en-US" w:eastAsia="zh-CN"/>
        </w:rPr>
        <w:t xml:space="preserve"> 地下水环境</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HJ610-2016</w:t>
      </w:r>
      <w:r>
        <w:rPr>
          <w:rFonts w:hint="eastAsia" w:ascii="仿宋_GB2312" w:hAnsi="仿宋_GB2312" w:eastAsia="仿宋_GB2312" w:cs="仿宋_GB2312"/>
          <w:b w:val="0"/>
          <w:bCs w:val="0"/>
          <w:color w:val="auto"/>
          <w:sz w:val="32"/>
          <w:szCs w:val="32"/>
          <w:highlight w:val="none"/>
          <w:lang w:eastAsia="zh-CN"/>
        </w:rPr>
        <w:t>）中分区防控中一般防渗区技术要求</w:t>
      </w:r>
      <w:r>
        <w:rPr>
          <w:rFonts w:hint="eastAsia" w:ascii="仿宋_GB2312" w:hAnsi="仿宋_GB2312" w:eastAsia="仿宋_GB2312" w:cs="仿宋_GB2312"/>
          <w:b w:val="0"/>
          <w:bCs w:val="0"/>
          <w:color w:val="auto"/>
          <w:sz w:val="32"/>
          <w:szCs w:val="32"/>
          <w:highlight w:val="none"/>
          <w:lang w:val="en-US" w:eastAsia="zh-CN"/>
        </w:rPr>
        <w:t>；</w:t>
      </w:r>
      <w:r>
        <w:rPr>
          <w:rFonts w:hint="eastAsia" w:ascii="仿宋_GB2312" w:hAnsi="仿宋_GB2312" w:eastAsia="仿宋_GB2312" w:cs="仿宋_GB2312"/>
          <w:color w:val="auto"/>
          <w:kern w:val="2"/>
          <w:sz w:val="32"/>
          <w:szCs w:val="32"/>
          <w:highlight w:val="none"/>
          <w:lang w:val="en-US" w:eastAsia="zh-CN" w:bidi="en-US"/>
        </w:rPr>
        <w:t>井场生活区、值班房等撬装野营房简单防渗区。油田布设7个地下水监控井，每年监测2次。布设5个土壤跟踪监测点，每年监测1次。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（六）</w:t>
      </w:r>
      <w:r>
        <w:rPr>
          <w:rFonts w:hint="eastAsia" w:ascii="楷体" w:hAnsi="楷体" w:eastAsia="楷体" w:cs="楷体"/>
          <w:b w:val="0"/>
          <w:bCs w:val="0"/>
          <w:color w:val="auto"/>
          <w:sz w:val="32"/>
          <w:szCs w:val="32"/>
          <w:highlight w:val="none"/>
          <w:lang w:val="en-US" w:eastAsia="zh-CN"/>
        </w:rPr>
        <w:t>严格落实环境风险防治措施。</w:t>
      </w:r>
      <w:r>
        <w:rPr>
          <w:rFonts w:hint="eastAsia" w:ascii="仿宋_GB2312" w:hAnsi="仿宋_GB2312" w:eastAsia="仿宋_GB2312" w:cs="仿宋_GB2312"/>
          <w:b w:val="0"/>
          <w:bCs w:val="0"/>
          <w:color w:val="auto"/>
          <w:sz w:val="32"/>
          <w:szCs w:val="32"/>
          <w:highlight w:val="none"/>
          <w:lang w:val="en-US" w:eastAsia="zh-CN"/>
        </w:rPr>
        <w:t>按照规范要求存放风险物质；加强生产过程管道和设备的管理与维修，防止跑、冒、滴、漏现象的发生；针对井喷事故、管道或罐体泄漏事故设置应急预案，在井口安装防喷器和控制装置，井场设置检测仪表，定期对管线和罐体进行超声波检查，设置管线压力、流量监控系统，发现异常立即排查，如有突发事件启动应急预案。建立完善的环境监督制度和事故应急措施，制定切实可行的环境风险应急预案，加强对风险物质运输、贮存过程和对生产工程主体装置、环保设施的运行管理；严格落实风险防范措施和应急预案，切实杜绝环境风险事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（七）</w:t>
      </w:r>
      <w:r>
        <w:rPr>
          <w:rFonts w:hint="eastAsia" w:ascii="楷体" w:hAnsi="楷体" w:eastAsia="楷体" w:cs="楷体"/>
          <w:b w:val="0"/>
          <w:bCs w:val="0"/>
          <w:color w:val="auto"/>
          <w:sz w:val="32"/>
          <w:szCs w:val="32"/>
          <w:highlight w:val="none"/>
          <w:lang w:val="en-US" w:eastAsia="zh-CN"/>
        </w:rPr>
        <w:t>严格落实运营期污染源监测计划。</w:t>
      </w:r>
      <w:r>
        <w:rPr>
          <w:rFonts w:hint="eastAsia" w:ascii="仿宋_GB2312" w:hAnsi="仿宋_GB2312" w:eastAsia="仿宋_GB2312" w:cs="仿宋_GB2312"/>
          <w:b w:val="0"/>
          <w:bCs w:val="0"/>
          <w:color w:val="auto"/>
          <w:sz w:val="32"/>
          <w:szCs w:val="32"/>
          <w:highlight w:val="none"/>
          <w:lang w:val="en-US" w:eastAsia="zh-CN"/>
        </w:rPr>
        <w:t>按照国家和地方有关规定设置规范的污染物排放口，并设立标志牌。按照相关标准、规范等要求，落实《报告书》提出的环境管理及监测计划。强化污染源与无组织排放源管理，制定自行监测方案，落实环境管理与监测计划，按规定开展自行监测和信息公开。如出现污染物超标情况，应立即查明原因并采取进一步污染物减排措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（八）</w:t>
      </w:r>
      <w:r>
        <w:rPr>
          <w:rFonts w:hint="eastAsia" w:ascii="楷体" w:hAnsi="楷体" w:eastAsia="楷体" w:cs="楷体"/>
          <w:b w:val="0"/>
          <w:bCs w:val="0"/>
          <w:color w:val="auto"/>
          <w:sz w:val="32"/>
          <w:szCs w:val="32"/>
          <w:highlight w:val="none"/>
          <w:lang w:val="en-US" w:eastAsia="zh-CN"/>
        </w:rPr>
        <w:t>建立畅通的公众参与平台。</w:t>
      </w:r>
      <w:r>
        <w:rPr>
          <w:rFonts w:hint="eastAsia" w:ascii="仿宋_GB2312" w:hAnsi="仿宋_GB2312" w:eastAsia="仿宋_GB2312" w:cs="仿宋_GB2312"/>
          <w:b w:val="0"/>
          <w:bCs w:val="0"/>
          <w:color w:val="auto"/>
          <w:sz w:val="32"/>
          <w:szCs w:val="32"/>
          <w:highlight w:val="none"/>
          <w:lang w:val="en-US" w:eastAsia="zh-CN"/>
        </w:rPr>
        <w:t>加强宣传和沟通工作，关注周边居民意见，及时解决公众担忧的环境问题，满足公众合理的环境诉求。</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项目建设必须严格执行配套的环境保护措施与主体工程同时设计、同时施工、同时投产使用的环境保护“三同时”制度。严格落实污染防治措施设计要求。应将优化和细化后的各项污染物防治措施及概算纳入设计以及施工等招标文件及合同，并明确责任。按规定程序实施竣工环境保护验收。</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环境影响报告经批准后，项目性质、规模、地点、采用的生产工艺或污染防治、防止生态破坏的措施发生重大变动，应当重新报批该项目的环境影响报告书，对正式投入生产或运营的油田开发区块，每3-5年开展一次环境影响后评价，依法报生态环境主管部门备案。</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我局委托锡林郭勒盟生态环境局东乌珠穆沁旗分局对该项目各项污染防治措施落实情况进行监督检查和管理。</w:t>
      </w: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b w:val="0"/>
          <w:bCs w:val="0"/>
          <w:color w:val="auto"/>
          <w:sz w:val="32"/>
          <w:szCs w:val="32"/>
          <w:highlight w:val="none"/>
          <w:lang w:val="en-US" w:eastAsia="zh-CN"/>
        </w:rPr>
      </w:pPr>
    </w:p>
    <w:p>
      <w:pPr>
        <w:pStyle w:val="10"/>
        <w:keepNext w:val="0"/>
        <w:keepLines w:val="0"/>
        <w:pageBreakBefore w:val="0"/>
        <w:kinsoku/>
        <w:wordWrap/>
        <w:overflowPunct/>
        <w:topLinePunct w:val="0"/>
        <w:bidi w:val="0"/>
        <w:spacing w:line="560" w:lineRule="exact"/>
        <w:textAlignment w:val="auto"/>
        <w:rPr>
          <w:rFonts w:hint="eastAsia"/>
          <w:color w:val="auto"/>
          <w:highlight w:val="none"/>
          <w:lang w:val="en-US" w:eastAsia="zh-CN"/>
        </w:rPr>
      </w:pPr>
    </w:p>
    <w:p>
      <w:pPr>
        <w:pStyle w:val="10"/>
        <w:keepNext w:val="0"/>
        <w:keepLines w:val="0"/>
        <w:pageBreakBefore w:val="0"/>
        <w:kinsoku/>
        <w:wordWrap/>
        <w:overflowPunct/>
        <w:topLinePunct w:val="0"/>
        <w:bidi w:val="0"/>
        <w:spacing w:line="560" w:lineRule="exact"/>
        <w:textAlignment w:val="auto"/>
        <w:rPr>
          <w:rFonts w:hint="eastAsia"/>
          <w:color w:val="auto"/>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jc w:val="center"/>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 xml:space="preserve">                锡林郭勒盟生态环境局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jc w:val="center"/>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 xml:space="preserve">                  2024年5月7</w:t>
      </w:r>
      <w:r>
        <w:rPr>
          <w:rFonts w:hint="eastAsia" w:ascii="仿宋_GB2312" w:hAnsi="仿宋_GB2312" w:eastAsia="仿宋_GB2312" w:cs="仿宋_GB2312"/>
          <w:b w:val="0"/>
          <w:bCs w:val="0"/>
          <w:color w:val="auto"/>
          <w:sz w:val="32"/>
          <w:szCs w:val="32"/>
          <w:highlight w:val="none"/>
          <w:lang w:val="en-US" w:eastAsia="zh-CN"/>
        </w:rPr>
        <w:t>日</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bookmarkStart w:id="0" w:name="_GoBack"/>
      <w:bookmarkEnd w:id="0"/>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rPr>
          <w:color w:val="auto"/>
          <w:highlight w:val="none"/>
        </w:rPr>
      </w:pPr>
    </w:p>
    <w:p>
      <w:pPr>
        <w:pStyle w:val="13"/>
        <w:spacing w:line="500" w:lineRule="exact"/>
        <w:rPr>
          <w:rFonts w:ascii="仿宋" w:hAnsi="仿宋" w:eastAsia="仿宋" w:cs="仿宋"/>
          <w:color w:val="auto"/>
          <w:sz w:val="28"/>
          <w:szCs w:val="28"/>
          <w:highlight w:val="none"/>
          <w:lang w:bidi="en-US"/>
        </w:rPr>
      </w:pPr>
      <w:r>
        <w:rPr>
          <w:rFonts w:hint="eastAsia" w:ascii="仿宋" w:hAnsi="仿宋" w:eastAsia="仿宋" w:cs="仿宋"/>
          <w:color w:val="auto"/>
          <w:sz w:val="28"/>
          <w:szCs w:val="28"/>
          <w:highlight w:val="none"/>
          <w:lang w:bidi="en-US"/>
        </w:rPr>
        <w:t>抄送：盟生态环境综合行政执法支队，盟生态环境局</w:t>
      </w:r>
      <w:r>
        <w:rPr>
          <w:rFonts w:hint="eastAsia" w:ascii="仿宋" w:hAnsi="仿宋" w:eastAsia="仿宋" w:cs="仿宋"/>
          <w:color w:val="auto"/>
          <w:sz w:val="28"/>
          <w:szCs w:val="28"/>
          <w:highlight w:val="none"/>
          <w:lang w:val="en-US" w:eastAsia="zh-CN" w:bidi="en-US"/>
        </w:rPr>
        <w:t>东乌旗</w:t>
      </w:r>
      <w:r>
        <w:rPr>
          <w:rFonts w:hint="eastAsia" w:ascii="仿宋" w:hAnsi="仿宋" w:eastAsia="仿宋" w:cs="仿宋"/>
          <w:color w:val="auto"/>
          <w:sz w:val="28"/>
          <w:szCs w:val="28"/>
          <w:highlight w:val="none"/>
          <w:lang w:bidi="en-US"/>
        </w:rPr>
        <w:t>分局</w:t>
      </w:r>
    </w:p>
    <w:p>
      <w:pPr>
        <w:pBdr>
          <w:top w:val="single" w:color="auto" w:sz="4" w:space="1"/>
          <w:left w:val="none" w:color="auto" w:sz="0" w:space="4"/>
          <w:bottom w:val="single" w:color="auto" w:sz="4" w:space="1"/>
          <w:right w:val="none" w:color="auto" w:sz="0" w:space="4"/>
        </w:pBdr>
        <w:spacing w:line="500" w:lineRule="exact"/>
        <w:rPr>
          <w:rFonts w:hint="eastAsia"/>
          <w:lang w:val="en-US" w:eastAsia="zh-CN"/>
        </w:rPr>
      </w:pPr>
      <w:r>
        <w:rPr>
          <w:rFonts w:hint="eastAsia" w:ascii="仿宋" w:hAnsi="仿宋" w:eastAsia="仿宋" w:cs="仿宋"/>
          <w:color w:val="auto"/>
          <w:sz w:val="28"/>
          <w:szCs w:val="28"/>
          <w:highlight w:val="none"/>
        </w:rPr>
        <w:t>锡林郭勒盟生态环境局办公室              202</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lang w:val="en-US" w:eastAsia="zh-CN"/>
        </w:rPr>
        <w:t>7</w:t>
      </w:r>
      <w:r>
        <w:rPr>
          <w:rFonts w:hint="eastAsia" w:ascii="仿宋" w:hAnsi="仿宋" w:eastAsia="仿宋" w:cs="仿宋"/>
          <w:sz w:val="28"/>
          <w:szCs w:val="28"/>
          <w:highlight w:val="none"/>
        </w:rPr>
        <w:t>日</w:t>
      </w:r>
      <w:r>
        <w:rPr>
          <w:rFonts w:hint="eastAsia" w:ascii="仿宋" w:hAnsi="仿宋" w:eastAsia="仿宋" w:cs="仿宋"/>
          <w:sz w:val="28"/>
          <w:szCs w:val="28"/>
          <w:highlight w:val="none"/>
        </w:rPr>
        <w:t>印发</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976748"/>
    <w:multiLevelType w:val="singleLevel"/>
    <w:tmpl w:val="9E976748"/>
    <w:lvl w:ilvl="0" w:tentative="0">
      <w:start w:val="1"/>
      <w:numFmt w:val="chineseCounting"/>
      <w:suff w:val="nothing"/>
      <w:lvlText w:val="%1、"/>
      <w:lvlJc w:val="left"/>
      <w:rPr>
        <w:rFonts w:hint="eastAsia"/>
      </w:rPr>
    </w:lvl>
  </w:abstractNum>
  <w:abstractNum w:abstractNumId="1">
    <w:nsid w:val="ACF03B32"/>
    <w:multiLevelType w:val="singleLevel"/>
    <w:tmpl w:val="ACF03B32"/>
    <w:lvl w:ilvl="0" w:tentative="0">
      <w:start w:val="1"/>
      <w:numFmt w:val="chineseCounting"/>
      <w:suff w:val="nothing"/>
      <w:lvlText w:val="（%1）"/>
      <w:lvlJc w:val="left"/>
      <w:rPr>
        <w:rFonts w:hint="eastAsia" w:ascii="楷体" w:hAnsi="楷体" w:eastAsia="楷体" w:cs="楷体"/>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VjZjliNThiMThmZTZiMTZlZjM4YWI1NWNjNGNiZjYifQ=="/>
  </w:docVars>
  <w:rsids>
    <w:rsidRoot w:val="00000000"/>
    <w:rsid w:val="0813279D"/>
    <w:rsid w:val="0AD96E71"/>
    <w:rsid w:val="0B7F426C"/>
    <w:rsid w:val="1240072B"/>
    <w:rsid w:val="21154365"/>
    <w:rsid w:val="225C215E"/>
    <w:rsid w:val="26AB350D"/>
    <w:rsid w:val="2C817D0F"/>
    <w:rsid w:val="34731E7B"/>
    <w:rsid w:val="35FE1047"/>
    <w:rsid w:val="3A684DD4"/>
    <w:rsid w:val="3B3B2CBA"/>
    <w:rsid w:val="428A1554"/>
    <w:rsid w:val="433C51C6"/>
    <w:rsid w:val="4BE14FA4"/>
    <w:rsid w:val="4E9F64A5"/>
    <w:rsid w:val="4FE2728E"/>
    <w:rsid w:val="510C3EED"/>
    <w:rsid w:val="55F11ACB"/>
    <w:rsid w:val="5746432B"/>
    <w:rsid w:val="57656611"/>
    <w:rsid w:val="577E4D9F"/>
    <w:rsid w:val="60575AEE"/>
    <w:rsid w:val="658434D9"/>
    <w:rsid w:val="6AAA1270"/>
    <w:rsid w:val="74161AF0"/>
    <w:rsid w:val="7ECC27C6"/>
    <w:rsid w:val="D7DD2163"/>
    <w:rsid w:val="FF97D8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5"/>
    <w:basedOn w:val="1"/>
    <w:next w:val="1"/>
    <w:semiHidden/>
    <w:unhideWhenUsed/>
    <w:qFormat/>
    <w:uiPriority w:val="0"/>
    <w:pPr>
      <w:keepNext/>
      <w:keepLines/>
      <w:spacing w:beforeLines="0" w:beforeAutospacing="0" w:afterLines="0" w:afterAutospacing="0" w:line="360" w:lineRule="auto"/>
      <w:outlineLvl w:val="4"/>
    </w:pPr>
    <w:rPr>
      <w:rFonts w:ascii="Arial" w:hAnsi="Arial" w:eastAsia="宋体" w:cs="Arial"/>
      <w:snapToGrid w:val="0"/>
      <w:color w:val="000000"/>
      <w:kern w:val="0"/>
      <w:sz w:val="24"/>
      <w:szCs w:val="21"/>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autoRedefine/>
    <w:qFormat/>
    <w:uiPriority w:val="0"/>
    <w:pPr>
      <w:adjustRightInd w:val="0"/>
      <w:ind w:firstLine="420"/>
      <w:textAlignment w:val="baseline"/>
    </w:pPr>
    <w:rPr>
      <w:rFonts w:ascii="宋体" w:hAnsi="宋体"/>
      <w:sz w:val="18"/>
      <w:szCs w:val="18"/>
    </w:rPr>
  </w:style>
  <w:style w:type="paragraph" w:styleId="3">
    <w:name w:val="Body Text Indent"/>
    <w:basedOn w:val="1"/>
    <w:qFormat/>
    <w:uiPriority w:val="0"/>
    <w:pPr>
      <w:spacing w:after="120"/>
      <w:ind w:left="420" w:leftChars="200"/>
    </w:pPr>
    <w:rPr>
      <w:rFonts w:ascii="Times New Roman" w:hAnsi="Times New Roman" w:eastAsia="宋体" w:cs="Times New Roman"/>
      <w:szCs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99"/>
    <w:pPr>
      <w:widowControl/>
      <w:adjustRightInd w:val="0"/>
      <w:snapToGrid w:val="0"/>
      <w:spacing w:line="560" w:lineRule="exact"/>
      <w:ind w:firstLine="640" w:firstLineChars="200"/>
    </w:pPr>
    <w:rPr>
      <w:rFonts w:ascii="仿宋" w:hAnsi="仿宋" w:eastAsia="仿宋" w:cs="仿宋_GB2312"/>
      <w:sz w:val="32"/>
      <w:szCs w:val="32"/>
      <w:lang w:bidi="en-US"/>
    </w:rPr>
  </w:style>
  <w:style w:type="paragraph" w:customStyle="1" w:styleId="10">
    <w:name w:val="Default1"/>
    <w:autoRedefine/>
    <w:qFormat/>
    <w:uiPriority w:val="99"/>
    <w:pPr>
      <w:widowControl w:val="0"/>
      <w:autoSpaceDE w:val="0"/>
      <w:autoSpaceDN w:val="0"/>
      <w:adjustRightInd w:val="0"/>
    </w:pPr>
    <w:rPr>
      <w:rFonts w:ascii="宋体" w:hAnsi="Times New Roman" w:eastAsia="微软雅黑" w:cs="宋体"/>
      <w:color w:val="000000"/>
      <w:sz w:val="24"/>
      <w:szCs w:val="24"/>
      <w:lang w:val="en-US" w:eastAsia="zh-CN" w:bidi="ar-SA"/>
    </w:rPr>
  </w:style>
  <w:style w:type="paragraph" w:customStyle="1" w:styleId="11">
    <w:name w:val="[1]正文"/>
    <w:basedOn w:val="1"/>
    <w:autoRedefine/>
    <w:qFormat/>
    <w:uiPriority w:val="0"/>
    <w:pPr>
      <w:autoSpaceDE w:val="0"/>
      <w:autoSpaceDN w:val="0"/>
      <w:ind w:left="0" w:leftChars="0" w:firstLine="200" w:firstLineChars="200"/>
    </w:pPr>
    <w:rPr>
      <w:rFonts w:ascii="Times New Roman" w:hAnsi="Times New Roman" w:eastAsia="宋体" w:cs="Times New Roman"/>
      <w:color w:val="000000"/>
      <w:kern w:val="0"/>
      <w:szCs w:val="24"/>
      <w:lang w:val="zh-CN"/>
    </w:rPr>
  </w:style>
  <w:style w:type="paragraph" w:customStyle="1" w:styleId="12">
    <w:name w:val="报告书正文"/>
    <w:basedOn w:val="1"/>
    <w:autoRedefine/>
    <w:qFormat/>
    <w:uiPriority w:val="0"/>
    <w:pPr>
      <w:adjustRightInd w:val="0"/>
      <w:snapToGrid w:val="0"/>
      <w:spacing w:line="360" w:lineRule="auto"/>
      <w:ind w:firstLine="425" w:firstLineChars="200"/>
      <w:textAlignment w:val="baseline"/>
    </w:pPr>
    <w:rPr>
      <w:rFonts w:ascii="Arial" w:hAnsi="Arial"/>
      <w:kern w:val="0"/>
      <w:sz w:val="24"/>
      <w:szCs w:val="22"/>
      <w:lang w:eastAsia="en-US" w:bidi="en-US"/>
    </w:rPr>
  </w:style>
  <w:style w:type="paragraph" w:customStyle="1" w:styleId="13">
    <w:name w:val="Default"/>
    <w:basedOn w:val="14"/>
    <w:next w:val="1"/>
    <w:autoRedefine/>
    <w:qFormat/>
    <w:uiPriority w:val="0"/>
    <w:pPr>
      <w:autoSpaceDE w:val="0"/>
      <w:autoSpaceDN w:val="0"/>
      <w:adjustRightInd w:val="0"/>
    </w:pPr>
    <w:rPr>
      <w:rFonts w:hAnsi="Times New Roman" w:eastAsia="宋体" w:cs="宋体"/>
      <w:color w:val="000000"/>
      <w:sz w:val="24"/>
      <w:szCs w:val="24"/>
    </w:rPr>
  </w:style>
  <w:style w:type="paragraph" w:customStyle="1" w:styleId="14">
    <w:name w:val="纯文本1"/>
    <w:basedOn w:val="1"/>
    <w:autoRedefine/>
    <w:qFormat/>
    <w:uiPriority w:val="0"/>
    <w:rPr>
      <w:rFonts w:ascii="宋体" w:hAnsi="Courier New"/>
      <w:szCs w:val="20"/>
    </w:rPr>
  </w:style>
  <w:style w:type="paragraph" w:customStyle="1" w:styleId="15">
    <w:name w:val="表格内容"/>
    <w:next w:val="1"/>
    <w:qFormat/>
    <w:uiPriority w:val="0"/>
    <w:pPr>
      <w:adjustRightInd w:val="0"/>
      <w:snapToGrid w:val="0"/>
      <w:spacing w:line="360" w:lineRule="exact"/>
      <w:jc w:val="center"/>
    </w:pPr>
    <w:rPr>
      <w:rFonts w:ascii="Times New Roman" w:hAnsi="Times New Roman" w:eastAsia="宋体" w:cs="Times New Roman"/>
      <w:color w:val="000000"/>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12</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2023-10-25T09:09:00Z</dcterms:created>
  <dc:creator>Administrator</dc:creator>
  <cp:lastModifiedBy>zilchs</cp:lastModifiedBy>
  <dcterms:modified xsi:type="dcterms:W3CDTF">2024-05-08T08:34:03Z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82BF910E650541F4900CCBD5AEFA692B_13</vt:lpwstr>
  </property>
</Properties>
</file>