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0" w:firstLineChars="0"/>
        <w:rPr>
          <w:rFonts w:hint="default" w:ascii="Times New Roman" w:hAnsi="Times New Roman" w:cs="Times New Roman"/>
          <w:color w:val="000000" w:themeColor="text1"/>
          <w:highlight w:val="yellow"/>
          <w14:textFill>
            <w14:solidFill>
              <w14:schemeClr w14:val="tx1"/>
            </w14:solidFill>
          </w14:textFill>
        </w:rPr>
      </w:pPr>
    </w:p>
    <w:p>
      <w:pPr>
        <w:pStyle w:val="11"/>
        <w:snapToGrid w:val="0"/>
        <w:spacing w:line="560" w:lineRule="exact"/>
        <w:ind w:firstLine="640"/>
        <w:rPr>
          <w:rFonts w:hint="default" w:ascii="Times New Roman" w:hAnsi="Times New Roman" w:cs="Times New Roman"/>
          <w:color w:val="000000" w:themeColor="text1"/>
          <w:highlight w:val="yellow"/>
          <w14:textFill>
            <w14:solidFill>
              <w14:schemeClr w14:val="tx1"/>
            </w14:solidFill>
          </w14:textFill>
        </w:rPr>
      </w:pPr>
    </w:p>
    <w:p>
      <w:pPr>
        <w:snapToGrid w:val="0"/>
        <w:spacing w:line="560" w:lineRule="exact"/>
        <w:rPr>
          <w:rFonts w:hint="default" w:ascii="Times New Roman" w:hAnsi="Times New Roman" w:cs="Times New Roman"/>
          <w:color w:val="000000" w:themeColor="text1"/>
          <w:highlight w:val="yellow"/>
          <w14:textFill>
            <w14:solidFill>
              <w14:schemeClr w14:val="tx1"/>
            </w14:solidFill>
          </w14:textFill>
        </w:rPr>
      </w:pPr>
    </w:p>
    <w:p>
      <w:pPr>
        <w:snapToGrid w:val="0"/>
        <w:spacing w:line="560" w:lineRule="exact"/>
        <w:rPr>
          <w:rFonts w:hint="default" w:ascii="Times New Roman" w:hAnsi="Times New Roman" w:cs="Times New Roman"/>
          <w:color w:val="000000" w:themeColor="text1"/>
          <w:highlight w:val="yellow"/>
          <w14:textFill>
            <w14:solidFill>
              <w14:schemeClr w14:val="tx1"/>
            </w14:solidFill>
          </w14:textFill>
        </w:rPr>
      </w:pPr>
    </w:p>
    <w:p>
      <w:pPr>
        <w:snapToGrid w:val="0"/>
        <w:spacing w:line="560" w:lineRule="exact"/>
        <w:rPr>
          <w:rFonts w:hint="default" w:ascii="Times New Roman" w:hAnsi="Times New Roman" w:cs="Times New Roman"/>
          <w:color w:val="000000" w:themeColor="text1"/>
          <w:highlight w:val="yellow"/>
          <w14:textFill>
            <w14:solidFill>
              <w14:schemeClr w14:val="tx1"/>
            </w14:solidFill>
          </w14:textFill>
        </w:rPr>
      </w:pPr>
    </w:p>
    <w:p>
      <w:pPr>
        <w:snapToGrid w:val="0"/>
        <w:spacing w:line="560" w:lineRule="exact"/>
        <w:rPr>
          <w:rFonts w:hint="default" w:ascii="Times New Roman" w:hAnsi="Times New Roman" w:cs="Times New Roman"/>
          <w:color w:val="000000" w:themeColor="text1"/>
          <w:highlight w:val="yellow"/>
          <w14:textFill>
            <w14:solidFill>
              <w14:schemeClr w14:val="tx1"/>
            </w14:solidFill>
          </w14:textFill>
        </w:rPr>
      </w:pPr>
    </w:p>
    <w:p>
      <w:pPr>
        <w:snapToGrid w:val="0"/>
        <w:spacing w:line="560" w:lineRule="exact"/>
        <w:ind w:firstLine="0" w:firstLineChars="0"/>
        <w:rPr>
          <w:rFonts w:hint="default" w:ascii="Times New Roman" w:hAnsi="Times New Roman" w:cs="Times New Roman"/>
          <w:color w:val="000000" w:themeColor="text1"/>
          <w:highlight w:val="yellow"/>
          <w14:textFill>
            <w14:solidFill>
              <w14:schemeClr w14:val="tx1"/>
            </w14:solidFill>
          </w14:textFill>
        </w:rPr>
      </w:pPr>
    </w:p>
    <w:p>
      <w:pPr>
        <w:pStyle w:val="12"/>
        <w:ind w:firstLine="480"/>
        <w:rPr>
          <w:rFonts w:hint="default" w:ascii="Times New Roman" w:hAnsi="Times New Roman" w:cs="Times New Roman"/>
          <w:color w:val="000000" w:themeColor="text1"/>
          <w:highlight w:val="yellow"/>
          <w14:textFill>
            <w14:solidFill>
              <w14:schemeClr w14:val="tx1"/>
            </w14:solidFill>
          </w14:textFill>
        </w:rPr>
      </w:pPr>
    </w:p>
    <w:p>
      <w:pPr>
        <w:snapToGrid w:val="0"/>
        <w:spacing w:line="560" w:lineRule="exact"/>
        <w:rPr>
          <w:rFonts w:hint="default" w:ascii="Times New Roman" w:hAnsi="Times New Roman" w:cs="Times New Roman"/>
          <w:color w:val="000000" w:themeColor="text1"/>
          <w:highlight w:val="none"/>
          <w14:textFill>
            <w14:solidFill>
              <w14:schemeClr w14:val="tx1"/>
            </w14:solidFill>
          </w14:textFill>
        </w:rPr>
      </w:pPr>
    </w:p>
    <w:p>
      <w:pPr>
        <w:snapToGrid w:val="0"/>
        <w:spacing w:line="560" w:lineRule="exact"/>
        <w:rPr>
          <w:rFonts w:hint="default" w:ascii="Times New Roman" w:hAnsi="Times New Roman" w:cs="Times New Roman"/>
          <w:color w:val="000000" w:themeColor="text1"/>
          <w:highlight w:val="none"/>
          <w14:textFill>
            <w14:solidFill>
              <w14:schemeClr w14:val="tx1"/>
            </w14:solidFill>
          </w14:textFill>
        </w:rPr>
      </w:pPr>
    </w:p>
    <w:p>
      <w:pPr>
        <w:snapToGrid w:val="0"/>
        <w:spacing w:line="560" w:lineRule="exact"/>
        <w:ind w:left="0" w:leftChars="0" w:firstLine="0" w:firstLineChars="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锡署环审书〔202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bookmarkStart w:id="1" w:name="_GoBack"/>
      <w:bookmarkEnd w:id="1"/>
    </w:p>
    <w:p>
      <w:pPr>
        <w:pStyle w:val="12"/>
        <w:ind w:firstLine="480"/>
        <w:rPr>
          <w:rFonts w:hint="default" w:ascii="Times New Roman" w:hAnsi="Times New Roman" w:cs="Times New Roman"/>
          <w:color w:val="000000" w:themeColor="text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锡林郭勒盟生态环境局关于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西乌珠穆沁旗鑫石建材有限公司年产</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150万吨石灰岩矿扩建及50万吨高钙粉</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建设项目</w:t>
      </w: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环境影响报告书的批复</w:t>
      </w:r>
    </w:p>
    <w:p>
      <w:pP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西乌珠穆沁旗鑫石建材有限公司</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你单位委托</w:t>
      </w:r>
      <w:r>
        <w:rPr>
          <w:rFonts w:hint="eastAsia" w:ascii="仿宋_GB2312" w:hAnsi="仿宋_GB2312" w:eastAsia="仿宋_GB2312" w:cs="仿宋_GB2312"/>
          <w:color w:val="auto"/>
          <w:sz w:val="32"/>
          <w:szCs w:val="32"/>
        </w:rPr>
        <w:t>锡林郭勒环保投资有限公司</w:t>
      </w:r>
      <w:r>
        <w:rPr>
          <w:rFonts w:hint="eastAsia" w:ascii="仿宋_GB2312" w:hAnsi="仿宋_GB2312" w:eastAsia="仿宋_GB2312" w:cs="仿宋_GB2312"/>
          <w:b w:val="0"/>
          <w:bCs w:val="0"/>
          <w:color w:val="auto"/>
          <w:sz w:val="32"/>
          <w:szCs w:val="32"/>
          <w:lang w:eastAsia="zh-CN"/>
        </w:rPr>
        <w:t>编制的《西乌珠穆沁旗鑫石建材有限公司年产150万吨石灰岩矿扩建及50收悉。经研究，批复如下：万吨高钙粉建设项目</w:t>
      </w:r>
      <w:r>
        <w:rPr>
          <w:rFonts w:hint="eastAsia" w:ascii="仿宋_GB2312" w:hAnsi="仿宋_GB2312" w:eastAsia="仿宋_GB2312" w:cs="仿宋_GB2312"/>
          <w:b w:val="0"/>
          <w:bCs w:val="0"/>
          <w:color w:val="auto"/>
          <w:sz w:val="32"/>
          <w:szCs w:val="32"/>
          <w:highlight w:val="none"/>
          <w:lang w:eastAsia="zh-CN"/>
        </w:rPr>
        <w:t>环境影响报告书</w:t>
      </w:r>
      <w:r>
        <w:rPr>
          <w:rFonts w:hint="eastAsia" w:ascii="仿宋_GB2312" w:hAnsi="仿宋_GB2312" w:eastAsia="仿宋_GB2312" w:cs="仿宋_GB2312"/>
          <w:b w:val="0"/>
          <w:bCs w:val="0"/>
          <w:color w:val="auto"/>
          <w:sz w:val="32"/>
          <w:szCs w:val="32"/>
          <w:lang w:eastAsia="zh-CN"/>
        </w:rPr>
        <w:t>》（以下简称《报告书》）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FF"/>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项目位于</w:t>
      </w:r>
      <w:bookmarkStart w:id="0" w:name="_Hlk103519924"/>
      <w:r>
        <w:rPr>
          <w:rFonts w:hint="eastAsia" w:ascii="仿宋_GB2312" w:hAnsi="仿宋_GB2312" w:eastAsia="仿宋_GB2312" w:cs="仿宋_GB2312"/>
          <w:b w:val="0"/>
          <w:bCs w:val="0"/>
          <w:color w:val="auto"/>
          <w:sz w:val="32"/>
          <w:szCs w:val="32"/>
          <w:highlight w:val="none"/>
          <w:lang w:eastAsia="zh-CN"/>
        </w:rPr>
        <w:t>矿区位于锡林郭勒盟西乌珠穆沁旗政府所在地巴拉嘎尔高勒镇南东约35km浩勒图高勒镇，其中心坐标</w:t>
      </w:r>
      <w:r>
        <w:rPr>
          <w:rFonts w:hint="eastAsia" w:ascii="仿宋_GB2312" w:hAnsi="仿宋_GB2312" w:eastAsia="仿宋_GB2312" w:cs="仿宋_GB2312"/>
          <w:b w:val="0"/>
          <w:bCs w:val="0"/>
          <w:color w:val="auto"/>
          <w:sz w:val="32"/>
          <w:szCs w:val="32"/>
          <w:highlight w:val="none"/>
          <w:lang w:val="en-US" w:eastAsia="zh-CN"/>
        </w:rPr>
        <w:t>东经</w:t>
      </w:r>
      <w:r>
        <w:rPr>
          <w:rFonts w:hint="eastAsia" w:ascii="仿宋_GB2312" w:hAnsi="仿宋_GB2312" w:eastAsia="仿宋_GB2312" w:cs="仿宋_GB2312"/>
          <w:b w:val="0"/>
          <w:bCs w:val="0"/>
          <w:color w:val="auto"/>
          <w:sz w:val="32"/>
          <w:szCs w:val="32"/>
          <w:highlight w:val="none"/>
          <w:lang w:eastAsia="zh-CN"/>
        </w:rPr>
        <w:t>11</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°44'38.16"，</w:t>
      </w:r>
      <w:r>
        <w:rPr>
          <w:rFonts w:hint="eastAsia" w:ascii="仿宋_GB2312" w:hAnsi="仿宋_GB2312" w:eastAsia="仿宋_GB2312" w:cs="仿宋_GB2312"/>
          <w:b w:val="0"/>
          <w:bCs w:val="0"/>
          <w:color w:val="auto"/>
          <w:sz w:val="32"/>
          <w:szCs w:val="32"/>
          <w:highlight w:val="none"/>
          <w:lang w:val="en-US" w:eastAsia="zh-CN"/>
        </w:rPr>
        <w:t>北纬</w:t>
      </w:r>
      <w:r>
        <w:rPr>
          <w:rFonts w:hint="eastAsia" w:ascii="仿宋_GB2312" w:hAnsi="仿宋_GB2312" w:eastAsia="仿宋_GB2312" w:cs="仿宋_GB2312"/>
          <w:b w:val="0"/>
          <w:bCs w:val="0"/>
          <w:color w:val="auto"/>
          <w:sz w:val="32"/>
          <w:szCs w:val="32"/>
          <w:highlight w:val="none"/>
          <w:lang w:eastAsia="zh-CN"/>
        </w:rPr>
        <w:t>4</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°43'24.41"</w:t>
      </w:r>
      <w:bookmarkEnd w:id="0"/>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项目开采规模由30万吨/每年扩建至150万吨/每年，新增生产50万吨高钙粉/每年石灰石加工生产线，分两期建设。项目不新增占地面积，在划定矿区范围内新建排土场、表土堆场、工业场地、办公生活区等。项目总投资10272.76万元，其中环保投资430万元，占总投资的4.2%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报告书》认为，在全面落实各项生态保护和污染防治措施的前提下，项目建设对环境的不利影响能够得到一定的缓解和控制。因此，我局原则同意本项目按照《报告书》所列的建设项目性质、规模、地点和拟采取的污染防治措施及下述要求进行建设。</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项目在设计、建设和运营过程中还应做好以下工作。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楷体" w:hAnsi="楷体" w:eastAsia="楷体" w:cs="楷体"/>
          <w:color w:val="auto"/>
          <w:kern w:val="2"/>
          <w:sz w:val="32"/>
          <w:szCs w:val="32"/>
          <w:lang w:val="en-US" w:eastAsia="zh-CN" w:bidi="en-US"/>
        </w:rPr>
      </w:pPr>
      <w:r>
        <w:rPr>
          <w:rFonts w:hint="eastAsia" w:ascii="楷体" w:hAnsi="楷体" w:eastAsia="楷体" w:cs="楷体"/>
          <w:color w:val="auto"/>
          <w:kern w:val="2"/>
          <w:sz w:val="32"/>
          <w:szCs w:val="32"/>
          <w:lang w:val="en-US" w:eastAsia="zh-CN" w:bidi="en-US"/>
        </w:rPr>
        <w:t>严格落实各项大气污染防治措施。</w:t>
      </w:r>
      <w:r>
        <w:rPr>
          <w:rFonts w:hint="eastAsia" w:ascii="仿宋_GB2312" w:hAnsi="仿宋_GB2312" w:eastAsia="仿宋_GB2312" w:cs="仿宋_GB2312"/>
          <w:b w:val="0"/>
          <w:bCs w:val="0"/>
          <w:color w:val="auto"/>
          <w:sz w:val="32"/>
          <w:szCs w:val="32"/>
          <w:highlight w:val="none"/>
          <w:lang w:val="en-US" w:eastAsia="zh-CN"/>
        </w:rPr>
        <w:t>严格落实大气污染防治措施。项目实施应符合国家、地方大气污染防治的各项要求。对排土场、表土堆场、料场、表土剥离、爆破、铲装、装卸、运输等产尘环节落实抑尘措施，确保污染物厂界无组织排放满足《大气污染物综合排放标准》（GB16297-1996）中无组织排放监控限值。破碎筛分球磨车间设为封闭式，破碎、筛分、球磨粉尘分别经负压收集布袋除尘器处理后经15m高排气简排放，粉尘排放浓度需满足《石灰、电石工业大气污染物排放标准》（GB41618-2022）中表</w:t>
      </w:r>
      <w:r>
        <w:rPr>
          <w:rFonts w:hint="default"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限值。</w:t>
      </w:r>
    </w:p>
    <w:p>
      <w:pPr>
        <w:pStyle w:val="7"/>
        <w:keepNext w:val="0"/>
        <w:keepLines w:val="0"/>
        <w:pageBreakBefore w:val="0"/>
        <w:numPr>
          <w:ilvl w:val="0"/>
          <w:numId w:val="2"/>
        </w:numPr>
        <w:kinsoku/>
        <w:wordWrap/>
        <w:overflowPunct/>
        <w:topLinePunct w:val="0"/>
        <w:autoSpaceDE/>
        <w:autoSpaceDN/>
        <w:bidi w:val="0"/>
        <w:adjustRightInd w:val="0"/>
        <w:snapToGrid w:val="0"/>
        <w:spacing w:before="0" w:beforeAutospacing="0" w:afterAutospacing="0" w:line="500" w:lineRule="exact"/>
        <w:ind w:left="0" w:leftChars="0" w:firstLine="640" w:firstLineChars="200"/>
        <w:jc w:val="both"/>
        <w:textAlignment w:val="auto"/>
        <w:rPr>
          <w:rFonts w:hint="eastAsia" w:ascii="仿宋_GB2312" w:hAnsi="仿宋_GB2312" w:eastAsia="仿宋_GB2312" w:cs="仿宋_GB2312"/>
          <w:b w:val="0"/>
          <w:bCs w:val="0"/>
          <w:color w:val="0000FF"/>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严格落实固体废物污染防治措施。</w:t>
      </w:r>
      <w:r>
        <w:rPr>
          <w:rFonts w:hint="eastAsia" w:ascii="仿宋_GB2312" w:hAnsi="仿宋_GB2312" w:eastAsia="仿宋_GB2312" w:cs="仿宋_GB2312"/>
          <w:b w:val="0"/>
          <w:bCs w:val="0"/>
          <w:color w:val="auto"/>
          <w:sz w:val="32"/>
          <w:szCs w:val="32"/>
          <w:highlight w:val="none"/>
          <w:lang w:val="en-US" w:eastAsia="zh-CN"/>
        </w:rPr>
        <w:t>固体废物主要为表土、其他剥离物及废石、除尘器收集粉尘及废机油。表土单独存放于表土堆场;其他剥离物及废石堆置于排土场，最终用于矿区生态恢复;布袋除尘器收集的粉尘同成品一起外售;废机油暂存于危废暂存间，委托有资质的单位处置。</w:t>
      </w:r>
      <w:r>
        <w:rPr>
          <w:rFonts w:hint="eastAsia" w:ascii="仿宋_GB2312" w:hAnsi="仿宋_GB2312" w:eastAsia="仿宋_GB2312" w:cs="仿宋_GB2312"/>
          <w:color w:val="auto"/>
          <w:kern w:val="2"/>
          <w:sz w:val="32"/>
          <w:szCs w:val="32"/>
          <w:lang w:val="en-US" w:eastAsia="zh-CN" w:bidi="en-US"/>
        </w:rPr>
        <w:t>生活垃圾集中收集，由环卫部门定期清运处理。</w:t>
      </w:r>
      <w:r>
        <w:rPr>
          <w:rFonts w:hint="eastAsia" w:ascii="仿宋_GB2312" w:hAnsi="仿宋_GB2312" w:eastAsia="仿宋_GB2312" w:cs="仿宋_GB2312"/>
          <w:b w:val="0"/>
          <w:bCs w:val="0"/>
          <w:color w:val="auto"/>
          <w:sz w:val="32"/>
          <w:szCs w:val="32"/>
          <w:highlight w:val="none"/>
          <w:lang w:val="en-US" w:eastAsia="zh-CN"/>
        </w:rPr>
        <w:t>危废暂存间的建设及设计要满足《中华人民共和国固体废物污染环境防治法》和《危险废物贮存污染控制标准》（GB18597-2023）要求。</w:t>
      </w:r>
    </w:p>
    <w:p>
      <w:pPr>
        <w:pStyle w:val="7"/>
        <w:keepNext w:val="0"/>
        <w:keepLines w:val="0"/>
        <w:pageBreakBefore w:val="0"/>
        <w:numPr>
          <w:ilvl w:val="0"/>
          <w:numId w:val="2"/>
        </w:numPr>
        <w:kinsoku/>
        <w:wordWrap/>
        <w:overflowPunct/>
        <w:topLinePunct w:val="0"/>
        <w:autoSpaceDE/>
        <w:autoSpaceDN/>
        <w:bidi w:val="0"/>
        <w:adjustRightInd w:val="0"/>
        <w:snapToGrid w:val="0"/>
        <w:spacing w:before="0" w:beforeAutospacing="0" w:afterAutospacing="0" w:line="5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eastAsia" w:ascii="楷体" w:hAnsi="楷体" w:eastAsia="楷体" w:cs="楷体"/>
          <w:b w:val="0"/>
          <w:bCs w:val="0"/>
          <w:color w:val="auto"/>
          <w:sz w:val="32"/>
          <w:szCs w:val="32"/>
          <w:highlight w:val="none"/>
          <w:lang w:val="en-US" w:eastAsia="zh-CN"/>
        </w:rPr>
        <w:t>严格落实各项水污染防治措施。</w:t>
      </w:r>
      <w:r>
        <w:rPr>
          <w:rFonts w:hint="eastAsia" w:ascii="仿宋_GB2312" w:hAnsi="仿宋_GB2312" w:eastAsia="仿宋_GB2312" w:cs="仿宋_GB2312"/>
          <w:b w:val="0"/>
          <w:bCs w:val="0"/>
          <w:color w:val="auto"/>
          <w:sz w:val="32"/>
          <w:szCs w:val="32"/>
          <w:highlight w:val="none"/>
          <w:lang w:val="en-US" w:eastAsia="zh-CN"/>
        </w:rPr>
        <w:t>运营期不产生生产废水</w:t>
      </w:r>
      <w:r>
        <w:rPr>
          <w:rFonts w:hint="eastAsia" w:ascii="仿宋_GB2312" w:hAnsi="仿宋_GB2312" w:eastAsia="仿宋_GB2312" w:cs="仿宋_GB2312"/>
          <w:color w:val="auto"/>
          <w:kern w:val="2"/>
          <w:sz w:val="32"/>
          <w:szCs w:val="32"/>
          <w:lang w:val="en-US" w:eastAsia="zh-CN" w:bidi="en-US"/>
        </w:rPr>
        <w:t>。生活污水</w:t>
      </w:r>
      <w:r>
        <w:rPr>
          <w:rFonts w:hint="eastAsia" w:ascii="仿宋_GB2312" w:hAnsi="仿宋_GB2312" w:eastAsia="仿宋_GB2312" w:cs="仿宋_GB2312"/>
          <w:color w:val="auto"/>
          <w:sz w:val="32"/>
          <w:szCs w:val="32"/>
          <w:lang w:val="en-US" w:eastAsia="zh-CN"/>
        </w:rPr>
        <w:t>依托生活区现有化粪池收集预处理后</w:t>
      </w:r>
      <w:r>
        <w:rPr>
          <w:rFonts w:hint="eastAsia" w:ascii="仿宋_GB2312" w:hAnsi="仿宋_GB2312" w:eastAsia="仿宋_GB2312" w:cs="仿宋_GB2312"/>
          <w:color w:val="auto"/>
          <w:kern w:val="2"/>
          <w:sz w:val="32"/>
          <w:szCs w:val="32"/>
          <w:lang w:val="en-US" w:eastAsia="zh-CN" w:bidi="en-US"/>
        </w:rPr>
        <w:t>委托污水处理厂定期拉运处理。</w:t>
      </w:r>
    </w:p>
    <w:p>
      <w:pPr>
        <w:pStyle w:val="7"/>
        <w:keepNext w:val="0"/>
        <w:keepLines w:val="0"/>
        <w:pageBreakBefore w:val="0"/>
        <w:numPr>
          <w:ilvl w:val="0"/>
          <w:numId w:val="0"/>
        </w:numPr>
        <w:kinsoku/>
        <w:wordWrap/>
        <w:overflowPunct/>
        <w:topLinePunct w:val="0"/>
        <w:autoSpaceDE/>
        <w:autoSpaceDN/>
        <w:bidi w:val="0"/>
        <w:adjustRightInd w:val="0"/>
        <w:snapToGrid w:val="0"/>
        <w:spacing w:before="0" w:beforeAutospacing="0" w:afterAutospacing="0" w:line="500" w:lineRule="exact"/>
        <w:ind w:firstLine="640" w:firstLineChars="200"/>
        <w:jc w:val="both"/>
        <w:textAlignment w:val="auto"/>
        <w:rPr>
          <w:rFonts w:hint="eastAsia" w:ascii="仿宋_GB2312" w:hAnsi="仿宋_GB2312" w:eastAsia="仿宋_GB2312" w:cs="仿宋_GB2312"/>
          <w:b w:val="0"/>
          <w:bCs w:val="0"/>
          <w:color w:val="0000FF"/>
          <w:sz w:val="32"/>
          <w:szCs w:val="32"/>
          <w:highlight w:val="none"/>
          <w:lang w:val="en-US" w:eastAsia="zh-CN"/>
        </w:rPr>
      </w:pPr>
      <w:r>
        <w:rPr>
          <w:rFonts w:hint="eastAsia" w:ascii="楷体" w:hAnsi="楷体" w:eastAsia="楷体" w:cs="楷体"/>
          <w:b w:val="0"/>
          <w:bCs w:val="0"/>
          <w:color w:val="auto"/>
          <w:kern w:val="2"/>
          <w:sz w:val="32"/>
          <w:szCs w:val="32"/>
          <w:lang w:val="en-US" w:eastAsia="zh-CN" w:bidi="ar-SA"/>
        </w:rPr>
        <w:t>（四）</w:t>
      </w:r>
      <w:r>
        <w:rPr>
          <w:rFonts w:hint="eastAsia" w:ascii="楷体" w:hAnsi="楷体" w:eastAsia="楷体" w:cs="楷体"/>
          <w:b w:val="0"/>
          <w:bCs w:val="0"/>
          <w:color w:val="auto"/>
          <w:sz w:val="32"/>
          <w:szCs w:val="32"/>
          <w:highlight w:val="none"/>
          <w:lang w:val="en-US" w:eastAsia="zh-CN"/>
        </w:rPr>
        <w:t>严格落实噪声防治措施。</w:t>
      </w:r>
      <w:r>
        <w:rPr>
          <w:rFonts w:hint="eastAsia" w:ascii="仿宋_GB2312" w:hAnsi="仿宋_GB2312" w:eastAsia="仿宋_GB2312" w:cs="仿宋_GB2312"/>
          <w:color w:val="auto"/>
          <w:kern w:val="2"/>
          <w:sz w:val="32"/>
          <w:szCs w:val="32"/>
          <w:lang w:val="en-US" w:eastAsia="zh-CN" w:bidi="en-US"/>
        </w:rPr>
        <w:t>项目主要噪声源为机械设备噪声、运输车辆交通噪声以及爆破噪声。项目在设备选型时选用先进的低噪声设备，各噪声设备采用基础减震、厂房隔音;运输车辆限制车速、禁止鸣笛;矿山爆破期间暂停其他生产活动。采取上述措施后，厂界噪声满足《工业企业厂界环境噪声排放标准》(GB12348-2008)中的2类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FF"/>
          <w:sz w:val="32"/>
          <w:szCs w:val="32"/>
          <w:highlight w:val="none"/>
          <w:lang w:val="en-US" w:eastAsia="zh-CN"/>
        </w:rPr>
      </w:pPr>
      <w:r>
        <w:rPr>
          <w:rFonts w:hint="eastAsia" w:ascii="楷体" w:hAnsi="楷体" w:eastAsia="楷体" w:cs="楷体"/>
          <w:b w:val="0"/>
          <w:bCs w:val="0"/>
          <w:color w:val="auto"/>
          <w:kern w:val="2"/>
          <w:sz w:val="32"/>
          <w:szCs w:val="32"/>
          <w:lang w:val="en-US" w:eastAsia="zh-CN" w:bidi="ar-SA"/>
        </w:rPr>
        <w:t>（五）</w:t>
      </w:r>
      <w:r>
        <w:rPr>
          <w:rFonts w:hint="eastAsia" w:ascii="楷体" w:hAnsi="楷体" w:eastAsia="楷体" w:cs="楷体"/>
          <w:b w:val="0"/>
          <w:bCs w:val="0"/>
          <w:color w:val="auto"/>
          <w:sz w:val="32"/>
          <w:szCs w:val="32"/>
          <w:highlight w:val="none"/>
          <w:lang w:val="en-US" w:eastAsia="zh-CN"/>
        </w:rPr>
        <w:t>严格落实土壤和地下水污染防治措施。</w:t>
      </w:r>
      <w:r>
        <w:rPr>
          <w:rFonts w:hint="eastAsia" w:ascii="仿宋_GB2312" w:hAnsi="仿宋_GB2312" w:eastAsia="仿宋_GB2312" w:cs="仿宋_GB2312"/>
          <w:b w:val="0"/>
          <w:bCs w:val="0"/>
          <w:color w:val="auto"/>
          <w:sz w:val="32"/>
          <w:szCs w:val="32"/>
          <w:highlight w:val="none"/>
          <w:lang w:val="en-US" w:eastAsia="zh-CN"/>
        </w:rPr>
        <w:t>严格执行“源头控制、分区防控、污染监控、应急响应”相结合的原则。加强防渗设施的日常维护，对出现损害的防渗设施应及时修复和加固，确保防渗设施牢固安全。</w:t>
      </w:r>
      <w:r>
        <w:rPr>
          <w:rFonts w:hint="eastAsia" w:ascii="仿宋_GB2312" w:hAnsi="仿宋_GB2312" w:eastAsia="仿宋_GB2312" w:cs="仿宋_GB2312"/>
          <w:b w:val="0"/>
          <w:bCs w:val="0"/>
          <w:color w:val="auto"/>
          <w:sz w:val="32"/>
          <w:szCs w:val="32"/>
          <w:lang w:val="en-US" w:eastAsia="zh-CN"/>
        </w:rPr>
        <w:t>危废暂存间的防渗设计执行《危险废物贮存污染控制标准》（GB18597-2023）。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kern w:val="2"/>
          <w:sz w:val="32"/>
          <w:szCs w:val="32"/>
          <w:lang w:val="en-US" w:eastAsia="zh-CN" w:bidi="ar-SA"/>
        </w:rPr>
        <w:t>（六）</w:t>
      </w:r>
      <w:r>
        <w:rPr>
          <w:rFonts w:hint="eastAsia" w:ascii="楷体" w:hAnsi="楷体" w:eastAsia="楷体" w:cs="楷体"/>
          <w:b w:val="0"/>
          <w:bCs w:val="0"/>
          <w:color w:val="auto"/>
          <w:sz w:val="32"/>
          <w:szCs w:val="32"/>
          <w:highlight w:val="none"/>
          <w:lang w:val="en-US" w:eastAsia="zh-CN"/>
        </w:rPr>
        <w:t>严格落实环境风险防治措施。</w:t>
      </w:r>
      <w:r>
        <w:rPr>
          <w:rFonts w:hint="eastAsia" w:ascii="仿宋_GB2312" w:hAnsi="仿宋_GB2312" w:eastAsia="仿宋_GB2312" w:cs="仿宋_GB2312"/>
          <w:b w:val="0"/>
          <w:bCs w:val="0"/>
          <w:color w:val="auto"/>
          <w:sz w:val="32"/>
          <w:szCs w:val="32"/>
          <w:highlight w:val="none"/>
          <w:lang w:val="en-US" w:eastAsia="zh-CN"/>
        </w:rPr>
        <w:t>按照规范要求存放风险物质；加强生产过程设备的管理与维修，防止跑、冒、滴、漏现象的发生；建立完善的环境监督制度和事故应急措施，制定切实可行的环境风险应急预案，加强对风险物质运输、贮存过程和对生产工程主体装置、环保设施的运行管理；严格落实风险防范措施和应急预案，切实杜绝环境风险事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kern w:val="2"/>
          <w:sz w:val="32"/>
          <w:szCs w:val="32"/>
          <w:lang w:val="en-US" w:eastAsia="zh-CN" w:bidi="ar-SA"/>
        </w:rPr>
        <w:t>（七）</w:t>
      </w:r>
      <w:r>
        <w:rPr>
          <w:rFonts w:hint="eastAsia" w:ascii="楷体" w:hAnsi="楷体" w:eastAsia="楷体" w:cs="楷体"/>
          <w:b w:val="0"/>
          <w:bCs w:val="0"/>
          <w:color w:val="auto"/>
          <w:sz w:val="32"/>
          <w:szCs w:val="32"/>
          <w:highlight w:val="none"/>
          <w:lang w:val="en-US" w:eastAsia="zh-CN"/>
        </w:rPr>
        <w:t>严格落实运营期污染源监测计划。</w:t>
      </w:r>
      <w:r>
        <w:rPr>
          <w:rFonts w:hint="eastAsia" w:ascii="仿宋_GB2312" w:hAnsi="仿宋_GB2312" w:eastAsia="仿宋_GB2312" w:cs="仿宋_GB2312"/>
          <w:b w:val="0"/>
          <w:bCs w:val="0"/>
          <w:color w:val="auto"/>
          <w:sz w:val="32"/>
          <w:szCs w:val="32"/>
          <w:highlight w:val="none"/>
          <w:lang w:val="en-US" w:eastAsia="zh-CN"/>
        </w:rPr>
        <w:t>按照国家和地方有关规定设置规范的污染物排放口，并设立标志牌。按照相关标准、规范等要求，落实《报告书》提出的环境管理及监测计划。强化污染源与无组织排放源管理，制定自行监测方案，落实环境管理与监测计划，按规定开展自行监测和信息公开。各排气筒应按照规范要求预留永久性监测口和采样监测平台。如出现污染物超标情况，应立即查明原因并采取进一步污染物减排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kern w:val="2"/>
          <w:sz w:val="32"/>
          <w:szCs w:val="32"/>
          <w:lang w:val="en-US" w:eastAsia="zh-CN" w:bidi="ar-SA"/>
        </w:rPr>
        <w:t>（八）</w:t>
      </w:r>
      <w:r>
        <w:rPr>
          <w:rFonts w:hint="eastAsia" w:ascii="楷体" w:hAnsi="楷体" w:eastAsia="楷体" w:cs="楷体"/>
          <w:b w:val="0"/>
          <w:bCs w:val="0"/>
          <w:color w:val="auto"/>
          <w:sz w:val="32"/>
          <w:szCs w:val="32"/>
          <w:highlight w:val="none"/>
          <w:lang w:val="en-US" w:eastAsia="zh-CN"/>
        </w:rPr>
        <w:t>建立畅通的公众参与平台。</w:t>
      </w:r>
      <w:r>
        <w:rPr>
          <w:rFonts w:hint="eastAsia" w:ascii="仿宋_GB2312" w:hAnsi="仿宋_GB2312" w:eastAsia="仿宋_GB2312" w:cs="仿宋_GB2312"/>
          <w:b w:val="0"/>
          <w:bCs w:val="0"/>
          <w:color w:val="auto"/>
          <w:sz w:val="32"/>
          <w:szCs w:val="32"/>
          <w:highlight w:val="none"/>
          <w:lang w:val="en-US" w:eastAsia="zh-CN"/>
        </w:rPr>
        <w:t>加强宣传和沟通工作，关注周边居民意见，及时解决公众担忧的环境问题，满足公众合理的环境诉求。</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建设必须严格执行配套的环境保护措施与主体工程同时设计、同时施工、同时投产使用的环境保护“三同时”制度。严格落实污染防治措施设计要求。应将优化和细化后的各项污染物防治措施及概算纳入设计以及施工等招标文件及合同，并明确责任。按规定程序实施竣工环境保护验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我局委托锡林郭勒盟生态环境局西乌珠穆沁旗分局对该项目各项污染防治措施落实情况进行监督检查和管理。</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color w:val="0000FF"/>
          <w:sz w:val="32"/>
          <w:szCs w:val="32"/>
          <w:lang w:val="en-US" w:eastAsia="zh-CN"/>
        </w:rPr>
      </w:pPr>
    </w:p>
    <w:p>
      <w:pPr>
        <w:pStyle w:val="10"/>
        <w:rPr>
          <w:rFonts w:hint="eastAsia"/>
          <w:color w:val="0000FF"/>
          <w:lang w:val="en-US" w:eastAsia="zh-CN"/>
        </w:rPr>
      </w:pPr>
    </w:p>
    <w:p>
      <w:pPr>
        <w:pStyle w:val="10"/>
        <w:rPr>
          <w:rFonts w:hint="eastAsia"/>
          <w:color w:val="0000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center"/>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FF"/>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锡林郭勒盟生态环境局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center"/>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2024年6月21日</w:t>
      </w:r>
    </w:p>
    <w:p>
      <w:pPr>
        <w:pStyle w:val="2"/>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rPr>
          <w:rFonts w:hint="eastAsia"/>
        </w:rPr>
      </w:pPr>
    </w:p>
    <w:p>
      <w:pPr>
        <w:pStyle w:val="2"/>
        <w:rPr>
          <w:color w:val="000000" w:themeColor="text1"/>
          <w14:textFill>
            <w14:solidFill>
              <w14:schemeClr w14:val="tx1"/>
            </w14:solidFill>
          </w14:textFill>
        </w:rPr>
      </w:pPr>
    </w:p>
    <w:p>
      <w:pPr>
        <w:rPr>
          <w:color w:val="000000" w:themeColor="text1"/>
          <w:highlight w:val="none"/>
          <w14:textFill>
            <w14:solidFill>
              <w14:schemeClr w14:val="tx1"/>
            </w14:solidFill>
          </w14:textFill>
        </w:rPr>
      </w:pPr>
    </w:p>
    <w:p>
      <w:pPr>
        <w:pStyle w:val="13"/>
        <w:spacing w:line="500" w:lineRule="exact"/>
        <w:rPr>
          <w:rFonts w:ascii="仿宋" w:hAnsi="仿宋" w:eastAsia="仿宋" w:cs="仿宋"/>
          <w:color w:val="000000" w:themeColor="text1"/>
          <w:spacing w:val="-20"/>
          <w:kern w:val="10"/>
          <w:sz w:val="28"/>
          <w:szCs w:val="28"/>
          <w:highlight w:val="none"/>
          <w:lang w:bidi="en-US"/>
          <w14:textFill>
            <w14:solidFill>
              <w14:schemeClr w14:val="tx1"/>
            </w14:solidFill>
          </w14:textFill>
        </w:rPr>
      </w:pPr>
      <w:r>
        <w:rPr>
          <w:rFonts w:hint="eastAsia" w:ascii="仿宋" w:hAnsi="仿宋" w:eastAsia="仿宋" w:cs="仿宋"/>
          <w:color w:val="000000" w:themeColor="text1"/>
          <w:sz w:val="28"/>
          <w:szCs w:val="28"/>
          <w:highlight w:val="none"/>
          <w:lang w:bidi="en-US"/>
          <w14:textFill>
            <w14:solidFill>
              <w14:schemeClr w14:val="tx1"/>
            </w14:solidFill>
          </w14:textFill>
        </w:rPr>
        <w:t>抄送：</w:t>
      </w:r>
      <w:r>
        <w:rPr>
          <w:rFonts w:hint="eastAsia" w:ascii="仿宋" w:hAnsi="仿宋" w:eastAsia="仿宋" w:cs="仿宋"/>
          <w:color w:val="000000" w:themeColor="text1"/>
          <w:spacing w:val="-20"/>
          <w:kern w:val="10"/>
          <w:sz w:val="28"/>
          <w:szCs w:val="28"/>
          <w:highlight w:val="none"/>
          <w:lang w:bidi="en-US"/>
          <w14:textFill>
            <w14:solidFill>
              <w14:schemeClr w14:val="tx1"/>
            </w14:solidFill>
          </w14:textFill>
        </w:rPr>
        <w:t>盟生态环境综合行政执法支队，盟生态环境局</w:t>
      </w:r>
      <w:r>
        <w:rPr>
          <w:rFonts w:hint="eastAsia" w:ascii="仿宋" w:hAnsi="仿宋" w:eastAsia="仿宋" w:cs="仿宋"/>
          <w:color w:val="000000" w:themeColor="text1"/>
          <w:spacing w:val="-20"/>
          <w:kern w:val="10"/>
          <w:sz w:val="28"/>
          <w:szCs w:val="28"/>
          <w:highlight w:val="none"/>
          <w:lang w:val="en-US" w:eastAsia="zh-CN" w:bidi="en-US"/>
          <w14:textFill>
            <w14:solidFill>
              <w14:schemeClr w14:val="tx1"/>
            </w14:solidFill>
          </w14:textFill>
        </w:rPr>
        <w:t>西乌珠穆沁旗</w:t>
      </w:r>
      <w:r>
        <w:rPr>
          <w:rFonts w:hint="eastAsia" w:ascii="仿宋" w:hAnsi="仿宋" w:eastAsia="仿宋" w:cs="仿宋"/>
          <w:color w:val="000000" w:themeColor="text1"/>
          <w:spacing w:val="-20"/>
          <w:kern w:val="10"/>
          <w:sz w:val="28"/>
          <w:szCs w:val="28"/>
          <w:highlight w:val="none"/>
          <w:lang w:bidi="en-US"/>
          <w14:textFill>
            <w14:solidFill>
              <w14:schemeClr w14:val="tx1"/>
            </w14:solidFill>
          </w14:textFill>
        </w:rPr>
        <w:t>分局</w:t>
      </w:r>
    </w:p>
    <w:p>
      <w:pPr>
        <w:pBdr>
          <w:top w:val="single" w:color="auto" w:sz="4" w:space="1"/>
          <w:left w:val="none" w:color="auto" w:sz="0" w:space="4"/>
          <w:bottom w:val="single" w:color="auto" w:sz="4" w:space="1"/>
          <w:right w:val="none" w:color="auto" w:sz="0" w:space="4"/>
        </w:pBdr>
        <w:spacing w:line="500" w:lineRule="exact"/>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锡林郭勒盟生态环境局办公室             202</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76748"/>
    <w:multiLevelType w:val="singleLevel"/>
    <w:tmpl w:val="9E976748"/>
    <w:lvl w:ilvl="0" w:tentative="0">
      <w:start w:val="1"/>
      <w:numFmt w:val="chineseCounting"/>
      <w:suff w:val="nothing"/>
      <w:lvlText w:val="%1、"/>
      <w:lvlJc w:val="left"/>
      <w:rPr>
        <w:rFonts w:hint="eastAsia"/>
        <w:b/>
        <w:bCs/>
        <w:color w:val="auto"/>
      </w:rPr>
    </w:lvl>
  </w:abstractNum>
  <w:abstractNum w:abstractNumId="1">
    <w:nsid w:val="ACF03B32"/>
    <w:multiLevelType w:val="singleLevel"/>
    <w:tmpl w:val="ACF03B32"/>
    <w:lvl w:ilvl="0" w:tentative="0">
      <w:start w:val="1"/>
      <w:numFmt w:val="chineseCounting"/>
      <w:suff w:val="nothing"/>
      <w:lvlText w:val="（%1）"/>
      <w:lvlJc w:val="left"/>
      <w:rPr>
        <w:rFonts w:hint="eastAsia" w:ascii="楷体" w:hAnsi="楷体" w:eastAsia="楷体" w:cs="楷体"/>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NzFlYmIzN2EzYmFhNzg0ZTIwZjgyZGJiMTI2ZTkifQ=="/>
  </w:docVars>
  <w:rsids>
    <w:rsidRoot w:val="00000000"/>
    <w:rsid w:val="00FA0751"/>
    <w:rsid w:val="0813279D"/>
    <w:rsid w:val="093C56FD"/>
    <w:rsid w:val="0AD96E71"/>
    <w:rsid w:val="0D0228C4"/>
    <w:rsid w:val="10477F5F"/>
    <w:rsid w:val="1240072B"/>
    <w:rsid w:val="14B60F1A"/>
    <w:rsid w:val="14BC7BDA"/>
    <w:rsid w:val="1555180D"/>
    <w:rsid w:val="1C334A09"/>
    <w:rsid w:val="1FF0272D"/>
    <w:rsid w:val="21154365"/>
    <w:rsid w:val="225C215E"/>
    <w:rsid w:val="23A370F5"/>
    <w:rsid w:val="23C106C3"/>
    <w:rsid w:val="2BB03D75"/>
    <w:rsid w:val="2C817D0F"/>
    <w:rsid w:val="2CAF6ABF"/>
    <w:rsid w:val="300979A4"/>
    <w:rsid w:val="323931D3"/>
    <w:rsid w:val="34731E7B"/>
    <w:rsid w:val="35FE1047"/>
    <w:rsid w:val="36185F33"/>
    <w:rsid w:val="36C003D2"/>
    <w:rsid w:val="3A684DD4"/>
    <w:rsid w:val="3B3B2CBA"/>
    <w:rsid w:val="3C2F0372"/>
    <w:rsid w:val="3E9C63DF"/>
    <w:rsid w:val="3F7319C7"/>
    <w:rsid w:val="3FD4795D"/>
    <w:rsid w:val="428A1554"/>
    <w:rsid w:val="433C51C6"/>
    <w:rsid w:val="4BE14FA4"/>
    <w:rsid w:val="4C346BA3"/>
    <w:rsid w:val="4CC25E71"/>
    <w:rsid w:val="4DAE40FD"/>
    <w:rsid w:val="4DE1084D"/>
    <w:rsid w:val="4E9F64A5"/>
    <w:rsid w:val="4FE2728E"/>
    <w:rsid w:val="510C3EED"/>
    <w:rsid w:val="53BE2F32"/>
    <w:rsid w:val="53EA2998"/>
    <w:rsid w:val="55F11ACB"/>
    <w:rsid w:val="56E66275"/>
    <w:rsid w:val="5746432B"/>
    <w:rsid w:val="57656611"/>
    <w:rsid w:val="577E4D9F"/>
    <w:rsid w:val="57B31AF5"/>
    <w:rsid w:val="583956E1"/>
    <w:rsid w:val="5B955C4C"/>
    <w:rsid w:val="5C0F37D8"/>
    <w:rsid w:val="62966EB6"/>
    <w:rsid w:val="658434D9"/>
    <w:rsid w:val="699C273D"/>
    <w:rsid w:val="6AAA1270"/>
    <w:rsid w:val="71352A9F"/>
    <w:rsid w:val="7172737E"/>
    <w:rsid w:val="740C64EB"/>
    <w:rsid w:val="74DA2B1D"/>
    <w:rsid w:val="785C7CED"/>
    <w:rsid w:val="78A93D63"/>
    <w:rsid w:val="7AEE6EA0"/>
    <w:rsid w:val="7B113C7B"/>
    <w:rsid w:val="7ECC2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autoRedefine/>
    <w:semiHidden/>
    <w:unhideWhenUsed/>
    <w:qFormat/>
    <w:uiPriority w:val="0"/>
    <w:pPr>
      <w:keepNext/>
      <w:keepLines/>
      <w:spacing w:beforeLines="0" w:beforeAutospacing="0" w:afterLines="0" w:afterAutospacing="0" w:line="360" w:lineRule="auto"/>
      <w:outlineLvl w:val="4"/>
    </w:pPr>
    <w:rPr>
      <w:rFonts w:ascii="Arial" w:hAnsi="Arial" w:eastAsia="宋体" w:cs="Arial"/>
      <w:snapToGrid w:val="0"/>
      <w:color w:val="000000"/>
      <w:kern w:val="0"/>
      <w:sz w:val="24"/>
      <w:szCs w:val="21"/>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val="0"/>
      <w:ind w:firstLine="420"/>
      <w:textAlignment w:val="baseline"/>
    </w:pPr>
    <w:rPr>
      <w:rFonts w:ascii="宋体" w:hAnsi="宋体"/>
      <w:sz w:val="18"/>
      <w:szCs w:val="18"/>
    </w:rPr>
  </w:style>
  <w:style w:type="paragraph" w:styleId="3">
    <w:name w:val="Body Text Indent"/>
    <w:basedOn w:val="1"/>
    <w:next w:val="1"/>
    <w:autoRedefine/>
    <w:qFormat/>
    <w:uiPriority w:val="0"/>
    <w:pPr>
      <w:spacing w:after="120"/>
      <w:ind w:left="420" w:leftChars="200"/>
    </w:pPr>
    <w:rPr>
      <w:rFonts w:ascii="Times New Roman" w:hAnsi="Times New Roman" w:eastAsia="宋体" w:cs="Times New Roman"/>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99"/>
    <w:pPr>
      <w:widowControl/>
      <w:adjustRightInd w:val="0"/>
      <w:snapToGrid w:val="0"/>
      <w:spacing w:line="560" w:lineRule="exact"/>
      <w:ind w:firstLine="640" w:firstLineChars="200"/>
    </w:pPr>
    <w:rPr>
      <w:rFonts w:ascii="仿宋" w:hAnsi="仿宋" w:eastAsia="仿宋" w:cs="仿宋_GB2312"/>
      <w:sz w:val="32"/>
      <w:szCs w:val="32"/>
      <w:lang w:bidi="en-US"/>
    </w:rPr>
  </w:style>
  <w:style w:type="paragraph" w:customStyle="1" w:styleId="10">
    <w:name w:val="Default1"/>
    <w:autoRedefine/>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11">
    <w:name w:val="[1]正文"/>
    <w:basedOn w:val="1"/>
    <w:autoRedefine/>
    <w:qFormat/>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customStyle="1" w:styleId="12">
    <w:name w:val="报告书正文"/>
    <w:basedOn w:val="1"/>
    <w:autoRedefine/>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 w:type="paragraph" w:customStyle="1" w:styleId="13">
    <w:name w:val="Default"/>
    <w:basedOn w:val="14"/>
    <w:next w:val="1"/>
    <w:autoRedefine/>
    <w:qFormat/>
    <w:uiPriority w:val="0"/>
    <w:pPr>
      <w:autoSpaceDE w:val="0"/>
      <w:autoSpaceDN w:val="0"/>
      <w:adjustRightInd w:val="0"/>
    </w:pPr>
    <w:rPr>
      <w:rFonts w:hAnsi="Times New Roman" w:eastAsia="宋体" w:cs="宋体"/>
      <w:color w:val="000000"/>
      <w:sz w:val="24"/>
      <w:szCs w:val="24"/>
    </w:rPr>
  </w:style>
  <w:style w:type="paragraph" w:customStyle="1" w:styleId="14">
    <w:name w:val="纯文本1"/>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1882</Words>
  <Characters>1997</Characters>
  <Lines>0</Lines>
  <Paragraphs>0</Paragraphs>
  <TotalTime>3</TotalTime>
  <ScaleCrop>false</ScaleCrop>
  <LinksUpToDate>false</LinksUpToDate>
  <CharactersWithSpaces>2046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2023-10-25T01:09:00Z</dcterms:created>
  <dc:creator>Administrator</dc:creator>
  <cp:lastModifiedBy>zilchs</cp:lastModifiedBy>
  <cp:lastPrinted>2024-07-10T08:32:51Z</cp:lastPrinted>
  <dcterms:modified xsi:type="dcterms:W3CDTF">2024-07-10T08:33:00Z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EF5AC90C12D041E9A3AE6DBCFD7E6D20_13</vt:lpwstr>
  </property>
</Properties>
</file>