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53A65036">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rPr>
          <w:rFonts w:hint="eastAsia" w:ascii="仿宋_GB2312" w:hAnsi="仿宋_GB2312" w:eastAsia="仿宋_GB2312" w:cs="仿宋_GB2312"/>
          <w:snapToGrid/>
          <w:color w:val="auto"/>
          <w:kern w:val="2"/>
          <w:sz w:val="32"/>
          <w:szCs w:val="32"/>
          <w:highlight w:val="none"/>
          <w:lang w:bidi="en-US"/>
        </w:rPr>
      </w:pPr>
      <w:r>
        <w:rPr>
          <w:rFonts w:hint="eastAsia" w:ascii="仿宋_GB2312" w:hAnsi="仿宋_GB2312" w:eastAsia="仿宋_GB2312" w:cs="仿宋_GB2312"/>
          <w:snapToGrid/>
          <w:color w:val="auto"/>
          <w:kern w:val="2"/>
          <w:sz w:val="32"/>
          <w:szCs w:val="32"/>
          <w:highlight w:val="none"/>
          <w:lang w:bidi="en-US"/>
        </w:rPr>
        <w:t>锡署环审书〔2024〕</w:t>
      </w:r>
      <w:r>
        <w:rPr>
          <w:rFonts w:hint="eastAsia" w:ascii="仿宋_GB2312" w:hAnsi="仿宋_GB2312" w:eastAsia="仿宋_GB2312" w:cs="仿宋_GB2312"/>
          <w:snapToGrid/>
          <w:color w:val="auto"/>
          <w:kern w:val="2"/>
          <w:sz w:val="32"/>
          <w:szCs w:val="32"/>
          <w:highlight w:val="none"/>
          <w:lang w:val="en-US" w:eastAsia="zh-CN" w:bidi="en-US"/>
        </w:rPr>
        <w:t>33</w:t>
      </w:r>
      <w:r>
        <w:rPr>
          <w:rFonts w:hint="eastAsia" w:ascii="仿宋_GB2312" w:hAnsi="仿宋_GB2312" w:eastAsia="仿宋_GB2312" w:cs="仿宋_GB2312"/>
          <w:snapToGrid/>
          <w:color w:val="auto"/>
          <w:kern w:val="2"/>
          <w:sz w:val="32"/>
          <w:szCs w:val="32"/>
          <w:highlight w:val="none"/>
          <w:lang w:bidi="en-US"/>
        </w:rPr>
        <w:t>号</w:t>
      </w:r>
    </w:p>
    <w:p w14:paraId="6E8E893B">
      <w:pPr>
        <w:keepNext w:val="0"/>
        <w:keepLines w:val="0"/>
        <w:pageBreakBefore w:val="0"/>
        <w:widowControl w:val="0"/>
        <w:kinsoku/>
        <w:overflowPunct/>
        <w:topLinePunct w:val="0"/>
        <w:bidi w:val="0"/>
        <w:snapToGrid w:val="0"/>
        <w:spacing w:line="600" w:lineRule="exact"/>
        <w:ind w:firstLine="0" w:firstLineChars="0"/>
        <w:jc w:val="both"/>
        <w:textAlignment w:val="auto"/>
        <w:rPr>
          <w:rFonts w:ascii="Times New Roman" w:hAnsi="Times New Roman" w:eastAsia="仿宋_GB2312" w:cs="Times New Roman"/>
          <w:snapToGrid/>
          <w:color w:val="auto"/>
          <w:kern w:val="2"/>
          <w:sz w:val="32"/>
          <w:szCs w:val="32"/>
          <w:highlight w:val="none"/>
          <w:lang w:eastAsia="zh-CN" w:bidi="en-US"/>
        </w:rPr>
      </w:pPr>
    </w:p>
    <w:p w14:paraId="70F7F5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微软雅黑" w:hAnsi="微软雅黑" w:eastAsia="微软雅黑" w:cs="微软雅黑"/>
          <w:snapToGrid/>
          <w:color w:val="auto"/>
          <w:kern w:val="2"/>
          <w:sz w:val="44"/>
          <w:szCs w:val="44"/>
        </w:rPr>
      </w:pPr>
      <w:r>
        <w:rPr>
          <w:rFonts w:hint="eastAsia" w:ascii="微软雅黑" w:hAnsi="微软雅黑" w:eastAsia="微软雅黑" w:cs="微软雅黑"/>
          <w:snapToGrid/>
          <w:color w:val="auto"/>
          <w:kern w:val="2"/>
          <w:sz w:val="44"/>
          <w:szCs w:val="44"/>
          <w:highlight w:val="none"/>
        </w:rPr>
        <w:t>锡林郭勒盟生态环境</w:t>
      </w:r>
      <w:r>
        <w:rPr>
          <w:rFonts w:hint="eastAsia" w:ascii="微软雅黑" w:hAnsi="微软雅黑" w:eastAsia="微软雅黑" w:cs="微软雅黑"/>
          <w:snapToGrid/>
          <w:color w:val="auto"/>
          <w:kern w:val="2"/>
          <w:sz w:val="44"/>
          <w:szCs w:val="44"/>
        </w:rPr>
        <w:t>局</w:t>
      </w:r>
    </w:p>
    <w:p w14:paraId="30486D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snapToGrid/>
          <w:color w:val="auto"/>
          <w:kern w:val="2"/>
          <w:sz w:val="44"/>
          <w:szCs w:val="44"/>
          <w:lang w:eastAsia="zh-CN"/>
        </w:rPr>
      </w:pPr>
      <w:bookmarkStart w:id="0" w:name="_Toc21378"/>
      <w:bookmarkStart w:id="1" w:name="_Toc4331"/>
      <w:r>
        <w:rPr>
          <w:rFonts w:hint="eastAsia" w:ascii="微软雅黑" w:hAnsi="微软雅黑" w:eastAsia="微软雅黑" w:cs="微软雅黑"/>
          <w:snapToGrid/>
          <w:color w:val="auto"/>
          <w:kern w:val="2"/>
          <w:sz w:val="44"/>
          <w:szCs w:val="44"/>
          <w:lang w:eastAsia="zh-CN"/>
        </w:rPr>
        <w:t>关于</w:t>
      </w:r>
      <w:bookmarkEnd w:id="0"/>
      <w:bookmarkEnd w:id="1"/>
      <w:r>
        <w:rPr>
          <w:rFonts w:hint="eastAsia" w:ascii="微软雅黑" w:hAnsi="微软雅黑" w:eastAsia="微软雅黑" w:cs="微软雅黑"/>
          <w:snapToGrid/>
          <w:color w:val="auto"/>
          <w:kern w:val="2"/>
          <w:sz w:val="44"/>
          <w:szCs w:val="44"/>
          <w:lang w:eastAsia="zh-CN"/>
        </w:rPr>
        <w:t>多伦县北磁科技高性能软磁材料试验线</w:t>
      </w:r>
    </w:p>
    <w:p w14:paraId="295DFD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napToGrid/>
          <w:color w:val="auto"/>
          <w:kern w:val="2"/>
          <w:sz w:val="32"/>
          <w:szCs w:val="32"/>
        </w:rPr>
      </w:pPr>
      <w:r>
        <w:rPr>
          <w:rFonts w:hint="eastAsia" w:ascii="微软雅黑" w:hAnsi="微软雅黑" w:eastAsia="微软雅黑" w:cs="微软雅黑"/>
          <w:snapToGrid/>
          <w:color w:val="auto"/>
          <w:kern w:val="2"/>
          <w:sz w:val="44"/>
          <w:szCs w:val="44"/>
          <w:lang w:eastAsia="zh-CN"/>
        </w:rPr>
        <w:t>项目</w:t>
      </w:r>
      <w:r>
        <w:rPr>
          <w:rFonts w:hint="eastAsia" w:ascii="微软雅黑" w:hAnsi="微软雅黑" w:eastAsia="微软雅黑" w:cs="微软雅黑"/>
          <w:snapToGrid/>
          <w:color w:val="auto"/>
          <w:kern w:val="2"/>
          <w:sz w:val="44"/>
          <w:szCs w:val="44"/>
        </w:rPr>
        <w:t>环境影响报告书的批复</w:t>
      </w:r>
    </w:p>
    <w:p w14:paraId="5C4C3FB6">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仿宋_GB2312" w:hAnsi="仿宋_GB2312" w:eastAsia="仿宋_GB2312" w:cs="仿宋_GB2312"/>
          <w:snapToGrid/>
          <w:color w:val="auto"/>
          <w:kern w:val="2"/>
          <w:sz w:val="32"/>
          <w:szCs w:val="32"/>
        </w:rPr>
      </w:pPr>
    </w:p>
    <w:p w14:paraId="5B4D14D2">
      <w:pPr>
        <w:keepNext w:val="0"/>
        <w:keepLines w:val="0"/>
        <w:pageBreakBefore w:val="0"/>
        <w:widowControl w:val="0"/>
        <w:kinsoku/>
        <w:wordWrap/>
        <w:overflowPunct/>
        <w:topLinePunct w:val="0"/>
        <w:autoSpaceDE/>
        <w:autoSpaceDN/>
        <w:bidi w:val="0"/>
        <w:adjustRightInd w:val="0"/>
        <w:snapToGrid w:val="0"/>
        <w:spacing w:afterAutospacing="0" w:line="560" w:lineRule="exact"/>
        <w:jc w:val="both"/>
        <w:textAlignment w:val="auto"/>
        <w:rPr>
          <w:rFonts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lang w:val="en-US" w:eastAsia="zh-CN"/>
        </w:rPr>
        <w:t>北磁科技（内蒙古）有限公司</w:t>
      </w:r>
      <w:r>
        <w:rPr>
          <w:rFonts w:hint="eastAsia" w:ascii="仿宋_GB2312" w:hAnsi="仿宋_GB2312" w:eastAsia="仿宋_GB2312" w:cs="仿宋_GB2312"/>
          <w:snapToGrid/>
          <w:color w:val="auto"/>
          <w:kern w:val="2"/>
          <w:sz w:val="32"/>
          <w:szCs w:val="32"/>
        </w:rPr>
        <w:t>：</w:t>
      </w:r>
    </w:p>
    <w:p w14:paraId="56718681">
      <w:pPr>
        <w:pStyle w:val="2"/>
        <w:keepNext w:val="0"/>
        <w:keepLines w:val="0"/>
        <w:pageBreakBefore w:val="0"/>
        <w:widowControl w:val="0"/>
        <w:kinsoku/>
        <w:wordWrap/>
        <w:overflowPunct/>
        <w:topLinePunct w:val="0"/>
        <w:autoSpaceDE/>
        <w:autoSpaceDN/>
        <w:bidi w:val="0"/>
        <w:adjustRightInd w:val="0"/>
        <w:snapToGrid/>
        <w:spacing w:after="0" w:afterLines="0" w:afterAutospacing="0" w:line="56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snapToGrid/>
          <w:color w:val="auto"/>
          <w:kern w:val="2"/>
          <w:sz w:val="32"/>
          <w:szCs w:val="32"/>
          <w:highlight w:val="none"/>
          <w:lang w:val="en-US" w:eastAsia="zh-CN" w:bidi="en-US"/>
        </w:rPr>
        <w:t>你单位报送的《多伦县北磁科技高性能软磁材料试验线项目环境影响报告书》（以下简称《报告书》）收悉。经研究，批复如下：</w:t>
      </w:r>
    </w:p>
    <w:p w14:paraId="54D8BBD6">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640" w:firstLineChars="200"/>
        <w:jc w:val="both"/>
        <w:textAlignment w:val="auto"/>
        <w:rPr>
          <w:rFonts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一、项目概况</w:t>
      </w:r>
    </w:p>
    <w:p w14:paraId="5C6E34CB">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b w:val="0"/>
          <w:bCs w:val="0"/>
          <w:snapToGrid w:val="0"/>
          <w:color w:val="auto"/>
          <w:kern w:val="2"/>
          <w:sz w:val="32"/>
          <w:szCs w:val="32"/>
          <w:highlight w:val="none"/>
          <w:lang w:val="en-US" w:eastAsia="zh-CN" w:bidi="en-US"/>
        </w:rPr>
        <w:t>多伦县北磁科技高性能软磁材料试验线项目位于内蒙古锡林郭勒多伦经济开发区</w:t>
      </w:r>
      <w:r>
        <w:rPr>
          <w:rFonts w:hint="eastAsia" w:ascii="仿宋_GB2312" w:hAnsi="仿宋_GB2312" w:eastAsia="仿宋_GB2312" w:cs="仿宋_GB2312"/>
          <w:snapToGrid/>
          <w:color w:val="auto"/>
          <w:kern w:val="2"/>
          <w:sz w:val="32"/>
          <w:szCs w:val="32"/>
          <w:highlight w:val="none"/>
          <w:lang w:val="en-US" w:eastAsia="zh-CN" w:bidi="en-US"/>
        </w:rPr>
        <w:t>。该项目建设1万吨高纯氧化铁生产线一条，7500吨软磁粉料生产线（干法线和湿法线各一条）两条，5000吨高档磁件生产线一条。建设内容包括：磨矿车间、氧化铁车间、软磁粉料车间、高档磁件车间及配套公辅设施。</w:t>
      </w:r>
    </w:p>
    <w:p w14:paraId="04498BEB">
      <w:pPr>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hint="default" w:ascii="仿宋_GB2312" w:hAnsi="仿宋_GB2312" w:eastAsia="仿宋_GB2312" w:cs="仿宋_GB2312"/>
          <w:snapToGrid/>
          <w:color w:val="auto"/>
          <w:kern w:val="2"/>
          <w:sz w:val="32"/>
          <w:szCs w:val="32"/>
          <w:highlight w:val="none"/>
          <w:lang w:val="en-US" w:eastAsia="zh-CN" w:bidi="en-US"/>
        </w:rPr>
      </w:pPr>
      <w:r>
        <w:rPr>
          <w:rFonts w:hint="eastAsia" w:ascii="仿宋_GB2312" w:hAnsi="仿宋_GB2312" w:eastAsia="仿宋_GB2312" w:cs="仿宋_GB2312"/>
          <w:snapToGrid/>
          <w:color w:val="auto"/>
          <w:kern w:val="2"/>
          <w:sz w:val="32"/>
          <w:szCs w:val="32"/>
          <w:highlight w:val="none"/>
          <w:lang w:val="en-US" w:eastAsia="zh-CN" w:bidi="en-US"/>
        </w:rPr>
        <w:t>根据中华人民共和国国家发展和改革委员会发布的《产业结构调整指导目录（2024年本）》，本项目属于允许类。项目的建设符合锡林郭勒盟生态环境分区管控相关要求，符合相关法律规范和行业规范要求。</w:t>
      </w:r>
      <w:r>
        <w:rPr>
          <w:rFonts w:hint="default" w:ascii="仿宋_GB2312" w:hAnsi="仿宋_GB2312" w:eastAsia="仿宋_GB2312" w:cs="仿宋_GB2312"/>
          <w:snapToGrid/>
          <w:color w:val="auto"/>
          <w:kern w:val="2"/>
          <w:sz w:val="32"/>
          <w:szCs w:val="32"/>
          <w:highlight w:val="none"/>
          <w:lang w:val="en-US" w:eastAsia="zh-CN" w:bidi="en-US"/>
        </w:rPr>
        <w:t>《报告书》认为，在全面落实各项生态保护和污染防治措施的前提下，项目建设对环境的不利影响能够得到一定的缓解和控制。因此，</w:t>
      </w:r>
      <w:r>
        <w:rPr>
          <w:rFonts w:hint="eastAsia" w:ascii="仿宋_GB2312" w:hAnsi="仿宋_GB2312" w:eastAsia="仿宋_GB2312" w:cs="仿宋_GB2312"/>
          <w:snapToGrid/>
          <w:color w:val="auto"/>
          <w:kern w:val="2"/>
          <w:sz w:val="32"/>
          <w:szCs w:val="32"/>
          <w:highlight w:val="none"/>
          <w:lang w:val="en-US" w:eastAsia="zh-CN" w:bidi="en-US"/>
        </w:rPr>
        <w:t>我局原则同意本项目环境影响报告书总体评价结论和拟采取的生态环境保护措施。</w:t>
      </w:r>
    </w:p>
    <w:p w14:paraId="040D9B29">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640" w:firstLineChars="200"/>
        <w:jc w:val="both"/>
        <w:textAlignment w:val="auto"/>
        <w:rPr>
          <w:rFonts w:hint="eastAsia" w:ascii="黑体" w:hAnsi="黑体" w:eastAsia="黑体" w:cs="黑体"/>
          <w:snapToGrid/>
          <w:color w:val="auto"/>
          <w:kern w:val="2"/>
          <w:sz w:val="32"/>
          <w:szCs w:val="32"/>
        </w:rPr>
      </w:pPr>
      <w:r>
        <w:rPr>
          <w:rFonts w:hint="eastAsia" w:ascii="黑体" w:hAnsi="黑体" w:eastAsia="黑体" w:cs="黑体"/>
          <w:snapToGrid/>
          <w:color w:val="auto"/>
          <w:kern w:val="2"/>
          <w:sz w:val="32"/>
          <w:szCs w:val="32"/>
        </w:rPr>
        <w:t>二、</w:t>
      </w:r>
      <w:r>
        <w:rPr>
          <w:rFonts w:hint="eastAsia" w:ascii="黑体" w:hAnsi="黑体" w:eastAsia="黑体" w:cs="黑体"/>
          <w:snapToGrid/>
          <w:color w:val="auto"/>
          <w:kern w:val="2"/>
          <w:sz w:val="32"/>
          <w:szCs w:val="32"/>
          <w:lang w:val="en-US" w:eastAsia="zh-CN"/>
        </w:rPr>
        <w:t>项目在</w:t>
      </w:r>
      <w:r>
        <w:rPr>
          <w:rFonts w:hint="eastAsia" w:ascii="黑体" w:hAnsi="黑体" w:eastAsia="黑体" w:cs="黑体"/>
          <w:snapToGrid/>
          <w:color w:val="auto"/>
          <w:kern w:val="2"/>
          <w:sz w:val="32"/>
          <w:szCs w:val="32"/>
        </w:rPr>
        <w:t>设计、建设和运行过程中应做好以下工作：</w:t>
      </w:r>
    </w:p>
    <w:p w14:paraId="3FA2F37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color w:val="auto"/>
          <w:kern w:val="2"/>
          <w:sz w:val="32"/>
          <w:szCs w:val="32"/>
          <w:highlight w:val="none"/>
          <w:lang w:val="en-US" w:eastAsia="zh-CN" w:bidi="en-US"/>
        </w:rPr>
      </w:pPr>
      <w:r>
        <w:rPr>
          <w:rFonts w:hint="eastAsia" w:ascii="仿宋_GB2312" w:hAnsi="仿宋_GB2312" w:eastAsia="仿宋_GB2312" w:cs="仿宋_GB2312"/>
          <w:snapToGrid/>
          <w:color w:val="auto"/>
          <w:sz w:val="32"/>
          <w:szCs w:val="32"/>
        </w:rPr>
        <w:t>（一）</w:t>
      </w:r>
      <w:r>
        <w:rPr>
          <w:rFonts w:hint="eastAsia" w:ascii="楷体" w:hAnsi="楷体" w:eastAsia="楷体" w:cs="楷体"/>
          <w:color w:val="auto"/>
          <w:kern w:val="2"/>
          <w:sz w:val="32"/>
          <w:szCs w:val="32"/>
          <w:highlight w:val="none"/>
          <w:lang w:val="en-US" w:eastAsia="zh-CN" w:bidi="en-US"/>
        </w:rPr>
        <w:t>严格落实各项大气污染防治措施。</w:t>
      </w:r>
    </w:p>
    <w:p w14:paraId="15FDDA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en-US"/>
        </w:rPr>
      </w:pPr>
      <w:r>
        <w:rPr>
          <w:rFonts w:hint="eastAsia" w:ascii="仿宋_GB2312" w:hAnsi="仿宋_GB2312" w:eastAsia="仿宋_GB2312" w:cs="仿宋_GB2312"/>
          <w:b w:val="0"/>
          <w:bCs w:val="0"/>
          <w:color w:val="auto"/>
          <w:kern w:val="2"/>
          <w:sz w:val="32"/>
          <w:szCs w:val="32"/>
          <w:highlight w:val="none"/>
          <w:lang w:val="en-US" w:eastAsia="zh-CN" w:bidi="en-US"/>
        </w:rPr>
        <w:t>氧化铁生产部分：磨矿废气、焙烧废气、呼吸废气经</w:t>
      </w:r>
      <w:r>
        <w:rPr>
          <w:rFonts w:hint="eastAsia" w:ascii="仿宋_GB2312" w:hAnsi="仿宋_GB2312" w:eastAsia="仿宋_GB2312" w:cs="仿宋_GB2312"/>
          <w:color w:val="auto"/>
          <w:kern w:val="2"/>
          <w:sz w:val="32"/>
          <w:szCs w:val="32"/>
          <w:highlight w:val="none"/>
          <w:lang w:val="en-US" w:eastAsia="zh-CN" w:bidi="en-US"/>
        </w:rPr>
        <w:t>处理后其排放应满足《无机化学工业污染物排放标准》（GB31573-2015）及其修改单的污染物排放相应限值要求；</w:t>
      </w:r>
      <w:r>
        <w:rPr>
          <w:rFonts w:hint="eastAsia" w:ascii="仿宋_GB2312" w:hAnsi="仿宋_GB2312" w:eastAsia="仿宋_GB2312" w:cs="仿宋_GB2312"/>
          <w:b w:val="0"/>
          <w:bCs w:val="0"/>
          <w:color w:val="auto"/>
          <w:kern w:val="2"/>
          <w:sz w:val="32"/>
          <w:szCs w:val="32"/>
          <w:highlight w:val="none"/>
          <w:lang w:val="en-US" w:eastAsia="zh-CN" w:bidi="en-US"/>
        </w:rPr>
        <w:t>浸出萃取含氯化氢废气</w:t>
      </w:r>
      <w:r>
        <w:rPr>
          <w:rFonts w:hint="eastAsia" w:ascii="仿宋_GB2312" w:hAnsi="仿宋_GB2312" w:eastAsia="仿宋_GB2312" w:cs="仿宋_GB2312"/>
          <w:color w:val="auto"/>
          <w:kern w:val="2"/>
          <w:sz w:val="32"/>
          <w:szCs w:val="32"/>
          <w:highlight w:val="none"/>
          <w:lang w:val="en-US" w:eastAsia="zh-CN" w:bidi="en-US"/>
        </w:rPr>
        <w:t>经碱液喷淋吸收中和处理后应满足《无机化学工业污染物排放标准》（GB31573-2015）及其修改单的污染物排放相应限值要求，含VOCs废气排放应满足《大气污染物综合排放标准》（GB16297-1996）相应限值要求</w:t>
      </w:r>
      <w:r>
        <w:rPr>
          <w:rFonts w:hint="eastAsia" w:ascii="仿宋_GB2312" w:hAnsi="仿宋_GB2312" w:eastAsia="仿宋_GB2312" w:cs="仿宋_GB2312"/>
          <w:b w:val="0"/>
          <w:bCs w:val="0"/>
          <w:color w:val="auto"/>
          <w:kern w:val="2"/>
          <w:sz w:val="32"/>
          <w:szCs w:val="32"/>
          <w:highlight w:val="none"/>
          <w:lang w:val="en-US" w:eastAsia="zh-CN" w:bidi="en-US"/>
        </w:rPr>
        <w:t>。</w:t>
      </w:r>
    </w:p>
    <w:p w14:paraId="3B2C1FC7">
      <w:pPr>
        <w:keepNext w:val="0"/>
        <w:keepLines w:val="0"/>
        <w:pageBreakBefore w:val="0"/>
        <w:numPr>
          <w:ilvl w:val="0"/>
          <w:numId w:val="0"/>
        </w:numPr>
        <w:overflowPunct/>
        <w:topLinePunct w:val="0"/>
        <w:bidi w:val="0"/>
        <w:spacing w:beforeLines="0" w:afterLines="0" w:line="560" w:lineRule="exact"/>
        <w:ind w:firstLine="640" w:firstLineChars="200"/>
        <w:rPr>
          <w:rFonts w:hint="default"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b w:val="0"/>
          <w:bCs/>
          <w:color w:val="auto"/>
          <w:sz w:val="32"/>
          <w:szCs w:val="32"/>
          <w:lang w:bidi="en-US"/>
        </w:rPr>
        <w:t>软磁粉</w:t>
      </w:r>
      <w:r>
        <w:rPr>
          <w:rFonts w:hint="eastAsia" w:ascii="仿宋_GB2312" w:hAnsi="仿宋_GB2312" w:eastAsia="仿宋_GB2312" w:cs="仿宋_GB2312"/>
          <w:b w:val="0"/>
          <w:bCs/>
          <w:color w:val="auto"/>
          <w:sz w:val="32"/>
          <w:szCs w:val="32"/>
          <w:lang w:eastAsia="zh-CN" w:bidi="en-US"/>
        </w:rPr>
        <w:t>料</w:t>
      </w:r>
      <w:r>
        <w:rPr>
          <w:rFonts w:hint="eastAsia" w:ascii="仿宋_GB2312" w:hAnsi="仿宋_GB2312" w:eastAsia="仿宋_GB2312" w:cs="仿宋_GB2312"/>
          <w:b w:val="0"/>
          <w:bCs/>
          <w:color w:val="auto"/>
          <w:sz w:val="32"/>
          <w:szCs w:val="32"/>
          <w:lang w:bidi="en-US"/>
        </w:rPr>
        <w:t>和磁件生产部分</w:t>
      </w:r>
      <w:r>
        <w:rPr>
          <w:rFonts w:hint="eastAsia" w:ascii="仿宋_GB2312" w:hAnsi="仿宋_GB2312" w:eastAsia="仿宋_GB2312" w:cs="仿宋_GB2312"/>
          <w:b w:val="0"/>
          <w:bCs/>
          <w:color w:val="auto"/>
          <w:sz w:val="32"/>
          <w:szCs w:val="32"/>
          <w:lang w:eastAsia="zh-CN" w:bidi="en-US"/>
        </w:rPr>
        <w:t>：</w:t>
      </w:r>
      <w:r>
        <w:rPr>
          <w:rFonts w:hint="eastAsia" w:ascii="仿宋_GB2312" w:hAnsi="仿宋_GB2312" w:eastAsia="仿宋_GB2312" w:cs="仿宋_GB2312"/>
          <w:b w:val="0"/>
          <w:bCs w:val="0"/>
          <w:color w:val="auto"/>
          <w:kern w:val="2"/>
          <w:sz w:val="32"/>
          <w:szCs w:val="32"/>
          <w:highlight w:val="none"/>
          <w:lang w:val="en-US" w:eastAsia="zh-CN" w:bidi="en-US"/>
        </w:rPr>
        <w:t>发送废气、配料废气、1#振磨废气、1#包装废气、2#黑料砂磨废气、2#包装废气、成型废气、磨削废气、1#喷雾干燥废气、2#红喷废气、2#喷雾干燥废气经处理后其排放应满足《陶瓷工业污染物排放标准》（GB25464-2010）及其修改单的污染物排放相应限值要求；预烧废气、烧结废气经</w:t>
      </w:r>
      <w:r>
        <w:rPr>
          <w:rFonts w:hint="eastAsia" w:ascii="仿宋_GB2312" w:hAnsi="仿宋_GB2312" w:eastAsia="仿宋_GB2312" w:cs="仿宋_GB2312"/>
          <w:color w:val="auto"/>
          <w:kern w:val="2"/>
          <w:sz w:val="32"/>
          <w:szCs w:val="32"/>
          <w:highlight w:val="none"/>
          <w:lang w:val="en-US" w:eastAsia="zh-CN" w:bidi="en-US"/>
        </w:rPr>
        <w:t>处理后废气排放应满足《陶瓷工业污染物排放标准》（GB25464-2010）及其修改单、《大气污染物综合排放标准》（GB16297-1996）和《恶臭污染物排放标准》（GB14554-93）污染物排放相应限值要求。</w:t>
      </w:r>
    </w:p>
    <w:p w14:paraId="6A389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en-US"/>
        </w:rPr>
        <w:t>厂界无组织废气排放应满足《无机化学工业污染物排放标准》（GB31573-2015）及其修改单、《陶瓷工业污染物排放标准》（GB25464-2010）及其修改单的污染物排放相应限值要求。</w:t>
      </w:r>
    </w:p>
    <w:p w14:paraId="24CB0F8B">
      <w:pPr>
        <w:pStyle w:val="2"/>
        <w:keepNext w:val="0"/>
        <w:keepLines w:val="0"/>
        <w:pageBreakBefore w:val="0"/>
        <w:kinsoku w:val="0"/>
        <w:wordWrap/>
        <w:overflowPunct/>
        <w:topLinePunct w:val="0"/>
        <w:autoSpaceDE w:val="0"/>
        <w:autoSpaceDN w:val="0"/>
        <w:bidi w:val="0"/>
        <w:adjustRightInd w:val="0"/>
        <w:snapToGrid w:val="0"/>
        <w:spacing w:after="0" w:afterLines="0" w:line="560" w:lineRule="exact"/>
        <w:ind w:left="0" w:leftChars="0" w:firstLine="640"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lang w:eastAsia="zh-CN"/>
        </w:rPr>
        <w:t>（</w:t>
      </w:r>
      <w:r>
        <w:rPr>
          <w:rFonts w:hint="eastAsia" w:ascii="仿宋_GB2312" w:hAnsi="仿宋_GB2312" w:eastAsia="仿宋_GB2312" w:cs="仿宋_GB2312"/>
          <w:snapToGrid/>
          <w:color w:val="auto"/>
          <w:sz w:val="32"/>
          <w:szCs w:val="32"/>
          <w:lang w:val="en-US" w:eastAsia="zh-CN"/>
        </w:rPr>
        <w:t>二</w:t>
      </w:r>
      <w:r>
        <w:rPr>
          <w:rFonts w:hint="eastAsia" w:ascii="仿宋_GB2312" w:hAnsi="仿宋_GB2312" w:eastAsia="仿宋_GB2312" w:cs="仿宋_GB2312"/>
          <w:snapToGrid/>
          <w:color w:val="auto"/>
          <w:sz w:val="32"/>
          <w:szCs w:val="32"/>
          <w:lang w:eastAsia="zh-CN"/>
        </w:rPr>
        <w:t>）</w:t>
      </w:r>
      <w:r>
        <w:rPr>
          <w:rFonts w:hint="eastAsia" w:ascii="楷体" w:hAnsi="楷体" w:eastAsia="楷体" w:cs="楷体"/>
          <w:color w:val="auto"/>
          <w:kern w:val="2"/>
          <w:sz w:val="32"/>
          <w:szCs w:val="32"/>
          <w:highlight w:val="none"/>
          <w:lang w:val="en-US" w:eastAsia="zh-CN" w:bidi="en-US"/>
        </w:rPr>
        <w:t>严格落实各项水污染防治措施。</w:t>
      </w:r>
      <w:r>
        <w:rPr>
          <w:rFonts w:hint="eastAsia" w:ascii="仿宋_GB2312" w:hAnsi="仿宋_GB2312" w:eastAsia="仿宋_GB2312" w:cs="仿宋_GB2312"/>
          <w:snapToGrid/>
          <w:color w:val="auto"/>
          <w:kern w:val="2"/>
          <w:sz w:val="32"/>
          <w:szCs w:val="32"/>
          <w:lang w:val="en-US" w:eastAsia="zh-CN" w:bidi="ar-SA"/>
        </w:rPr>
        <w:t xml:space="preserve">滤洗废水、萃余废水、废气喷淋废水和地面冲洗水排入生产废水处理站处理，处理后回用于生产（闭式循环冷却水系统补水、地面冲洗和废气喷淋补水）；磁件清洗废水沉淀过滤后回用于磁件清洗；生活污水经隔油池、化粪池和一体化生活污水处理站处理，处理后的生活废水、纯水站废水和循环冷却系统排水一起排入园区管网。外排废水污染物应满足《无机化学工业污染物排放标准》（GB31573-2015）及其修改单的污染物间接排放标准限值，满足污水处理厂《污水综合排放标准》（GB8978-1996）三级标准限值。  </w:t>
      </w:r>
      <w:bookmarkStart w:id="2" w:name="_GoBack"/>
      <w:bookmarkEnd w:id="2"/>
    </w:p>
    <w:p w14:paraId="4D7F401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lang w:val="en-US" w:eastAsia="zh-CN"/>
        </w:rPr>
        <w:t>三</w:t>
      </w:r>
      <w:r>
        <w:rPr>
          <w:rFonts w:hint="eastAsia" w:ascii="仿宋_GB2312" w:hAnsi="仿宋_GB2312" w:eastAsia="仿宋_GB2312" w:cs="仿宋_GB2312"/>
          <w:snapToGrid/>
          <w:color w:val="auto"/>
          <w:sz w:val="32"/>
          <w:szCs w:val="32"/>
        </w:rPr>
        <w:t>）</w:t>
      </w:r>
      <w:r>
        <w:rPr>
          <w:rFonts w:hint="eastAsia" w:ascii="楷体" w:hAnsi="楷体" w:eastAsia="楷体" w:cs="楷体"/>
          <w:b w:val="0"/>
          <w:bCs w:val="0"/>
          <w:color w:val="000000"/>
          <w:sz w:val="32"/>
          <w:szCs w:val="32"/>
          <w:highlight w:val="none"/>
          <w:lang w:val="en-US" w:eastAsia="zh-CN"/>
        </w:rPr>
        <w:t>严格落实噪声防治措施。</w:t>
      </w:r>
      <w:r>
        <w:rPr>
          <w:rFonts w:hint="eastAsia" w:ascii="仿宋_GB2312" w:hAnsi="仿宋_GB2312" w:eastAsia="仿宋_GB2312" w:cs="仿宋_GB2312"/>
          <w:snapToGrid/>
          <w:color w:val="auto"/>
          <w:kern w:val="2"/>
          <w:sz w:val="32"/>
          <w:szCs w:val="32"/>
          <w:lang w:val="en-US" w:eastAsia="zh-CN" w:bidi="ar-SA"/>
        </w:rPr>
        <w:t xml:space="preserve">选用低噪声设备，采取妥善的减振、隔声等降噪措施；合理布置产噪声设备，使设备与厂界距离&gt;5m；加强设备的维修保养，在设备、管道设计中，注意防振、防冲击以减少空气动力噪声；加强和完善道路和厂区的绿化等辅助性降噪措施。确保厂界噪声满足《工业企业厂界环境噪声排放标准》（GB12348-2008）3类标准要求。  </w:t>
      </w:r>
    </w:p>
    <w:p w14:paraId="20694D3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en-US"/>
        </w:rPr>
      </w:pPr>
      <w:r>
        <w:rPr>
          <w:rFonts w:hint="eastAsia" w:ascii="仿宋_GB2312" w:hAnsi="仿宋_GB2312" w:eastAsia="仿宋_GB2312" w:cs="仿宋_GB2312"/>
          <w:snapToGrid/>
          <w:color w:val="auto"/>
          <w:sz w:val="32"/>
          <w:szCs w:val="32"/>
        </w:rPr>
        <w:t>（</w:t>
      </w:r>
      <w:r>
        <w:rPr>
          <w:rFonts w:hint="eastAsia" w:ascii="仿宋_GB2312" w:hAnsi="仿宋_GB2312" w:eastAsia="仿宋_GB2312" w:cs="仿宋_GB2312"/>
          <w:snapToGrid/>
          <w:color w:val="auto"/>
          <w:sz w:val="32"/>
          <w:szCs w:val="32"/>
          <w:lang w:val="en-US" w:eastAsia="zh-CN"/>
        </w:rPr>
        <w:t>四</w:t>
      </w:r>
      <w:r>
        <w:rPr>
          <w:rFonts w:hint="eastAsia" w:ascii="仿宋_GB2312" w:hAnsi="仿宋_GB2312" w:eastAsia="仿宋_GB2312" w:cs="仿宋_GB2312"/>
          <w:snapToGrid/>
          <w:color w:val="auto"/>
          <w:sz w:val="32"/>
          <w:szCs w:val="32"/>
        </w:rPr>
        <w:t>）</w:t>
      </w:r>
      <w:r>
        <w:rPr>
          <w:rFonts w:hint="eastAsia" w:ascii="楷体" w:hAnsi="楷体" w:eastAsia="楷体" w:cs="楷体"/>
          <w:color w:val="auto"/>
          <w:kern w:val="2"/>
          <w:sz w:val="32"/>
          <w:szCs w:val="32"/>
          <w:highlight w:val="none"/>
          <w:lang w:val="en-US" w:eastAsia="zh-CN" w:bidi="en-US"/>
        </w:rPr>
        <w:t>严格落实土壤和地下水污染防治措施。</w:t>
      </w:r>
      <w:r>
        <w:rPr>
          <w:rFonts w:hint="eastAsia" w:ascii="仿宋_GB2312" w:hAnsi="仿宋_GB2312" w:eastAsia="仿宋_GB2312" w:cs="仿宋_GB2312"/>
          <w:b w:val="0"/>
          <w:bCs w:val="0"/>
          <w:color w:val="auto"/>
          <w:kern w:val="2"/>
          <w:sz w:val="32"/>
          <w:szCs w:val="32"/>
          <w:highlight w:val="none"/>
          <w:lang w:val="en-US" w:eastAsia="zh-CN" w:bidi="en-US"/>
        </w:rPr>
        <w:t>采取源头控制、分区防控、地下水监测和应急响应等措施。严格按照《危险废物填埋污染控制标准》（GB18597-2019）等要求，对重点防渗区、一般防渗区采取分区防渗措施。加强防渗设施的日常维护，对出现损害的防渗设施应及时修复和加固，确保防渗设施牢固安全。建立完善的土壤和地下水监测制度，合理设置土壤、包气带和地下水监测点，确保及时发现厂区渗漏情况。如发现土壤和地下水污染情况，你公司应及时采取有效措施避免污染加重和扩散，并根据实际情况依法开展相关污染风险管控和修复。</w:t>
      </w:r>
    </w:p>
    <w:p w14:paraId="159123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楷体" w:hAnsi="楷体" w:eastAsia="楷体" w:cs="楷体"/>
          <w:color w:val="auto"/>
          <w:kern w:val="2"/>
          <w:sz w:val="32"/>
          <w:szCs w:val="32"/>
          <w:highlight w:val="none"/>
          <w:lang w:val="en-US" w:eastAsia="zh-CN" w:bidi="en-US"/>
        </w:rPr>
        <w:t>（五）严格落实固体废物污染防治措施。</w:t>
      </w:r>
      <w:r>
        <w:rPr>
          <w:rFonts w:hint="eastAsia" w:ascii="仿宋_GB2312" w:hAnsi="仿宋_GB2312" w:eastAsia="仿宋_GB2312" w:cs="仿宋_GB2312"/>
          <w:snapToGrid/>
          <w:color w:val="auto"/>
          <w:kern w:val="2"/>
          <w:sz w:val="32"/>
          <w:szCs w:val="32"/>
          <w:lang w:val="en-US" w:eastAsia="zh-CN" w:bidi="ar-SA"/>
        </w:rPr>
        <w:t>废杂盐、废预烧活性炭等危险废物均暂存于危废暂存间，委托有危废处理资质单位进行处置；纯水站废滤膜和树脂、纯水站废活性炭等送一般固废填埋场填埋；硅渣、不合格磁件产品、磨削除尘灰、清洗沉淀污泥、废耐火材料、废包装外售综合利用；生产废水处理污泥回用于浸出工序；生活垃圾经垃圾桶收集，委托环卫部门定期清运。强化危险废物运输、收集、贮存、处理、处置等过程污染防治和环境风险防范工作，确保不造成二次污染。严格按照《危险废物贮存污染控制标准》(GB18957-2023)设置、管理危险废物暂存场所。</w:t>
      </w:r>
    </w:p>
    <w:p w14:paraId="4295CC6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楷体" w:hAnsi="楷体" w:eastAsia="楷体" w:cs="楷体"/>
          <w:sz w:val="32"/>
          <w:szCs w:val="32"/>
          <w:lang w:val="en-US" w:eastAsia="zh-CN"/>
        </w:rPr>
        <w:t>（六）严格落实运营期污染源监测计划。</w:t>
      </w:r>
      <w:r>
        <w:rPr>
          <w:rFonts w:hint="eastAsia" w:ascii="仿宋_GB2312" w:hAnsi="仿宋_GB2312" w:eastAsia="仿宋_GB2312" w:cs="仿宋_GB2312"/>
          <w:color w:val="auto"/>
          <w:sz w:val="32"/>
          <w:szCs w:val="32"/>
          <w:lang w:val="en-US" w:eastAsia="zh-CN"/>
        </w:rPr>
        <w:t>严格落实运营期污</w:t>
      </w:r>
    </w:p>
    <w:p w14:paraId="457D04D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染源监测计划。按照相关标准、规范等要求，建立包括有组织和</w:t>
      </w:r>
    </w:p>
    <w:p w14:paraId="71F8C735">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无组织排放的污染源监测管理体系，并覆盖常规污染物和特征污</w:t>
      </w:r>
    </w:p>
    <w:p w14:paraId="107BF6B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染物。依据《大气污染防治法》及《排污许可管理条例》等相关规定，建设单位应安装重点污染源自动监测设备并与生态环境主管部门联网。如出现污染物超标排放情况，应立即查明原因并采取进一步污染物减排措施。</w:t>
      </w:r>
    </w:p>
    <w:p w14:paraId="5F7F9678">
      <w:pPr>
        <w:pStyle w:val="13"/>
        <w:keepNext w:val="0"/>
        <w:keepLines w:val="0"/>
        <w:pageBreakBefore w:val="0"/>
        <w:widowControl w:val="0"/>
        <w:kinsoku w:val="0"/>
        <w:wordWrap/>
        <w:overflowPunct/>
        <w:topLinePunct w:val="0"/>
        <w:autoSpaceDE w:val="0"/>
        <w:autoSpaceDN w:val="0"/>
        <w:bidi w:val="0"/>
        <w:adjustRightInd w:val="0"/>
        <w:snapToGrid w:val="0"/>
        <w:spacing w:afterAutospacing="0"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黑体" w:hAnsi="黑体" w:eastAsia="黑体" w:cs="黑体"/>
          <w:snapToGrid/>
          <w:color w:val="auto"/>
          <w:kern w:val="2"/>
          <w:sz w:val="32"/>
          <w:szCs w:val="32"/>
          <w:lang w:val="en-US" w:eastAsia="zh-CN" w:bidi="ar-SA"/>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项目建设必须严格执行配套的环境保护设施与主体工程同时设计、同时施工、同时投产使用的环境保护“三同时”制度。按规定程序实施竣工环境保护验收。</w:t>
      </w:r>
    </w:p>
    <w:p w14:paraId="73D0539C">
      <w:pPr>
        <w:pStyle w:val="13"/>
        <w:keepNext w:val="0"/>
        <w:keepLines w:val="0"/>
        <w:pageBreakBefore w:val="0"/>
        <w:widowControl w:val="0"/>
        <w:wordWrap/>
        <w:overflowPunct/>
        <w:topLinePunct w:val="0"/>
        <w:bidi w:val="0"/>
        <w:adjustRightInd w:val="0"/>
        <w:snapToGrid w:val="0"/>
        <w:spacing w:afterAutospacing="0" w:line="560" w:lineRule="exact"/>
        <w:ind w:left="0" w:leftChars="0" w:firstLine="640" w:firstLineChars="200"/>
        <w:jc w:val="both"/>
        <w:rPr>
          <w:rFonts w:ascii="仿宋_GB2312" w:hAnsi="仿宋_GB2312" w:eastAsia="仿宋_GB2312" w:cs="仿宋_GB2312"/>
          <w:snapToGrid/>
          <w:color w:val="auto"/>
          <w:sz w:val="32"/>
          <w:szCs w:val="32"/>
        </w:rPr>
      </w:pPr>
      <w:r>
        <w:rPr>
          <w:rFonts w:hint="eastAsia" w:ascii="黑体" w:hAnsi="黑体" w:eastAsia="黑体" w:cs="黑体"/>
          <w:snapToGrid/>
          <w:color w:val="auto"/>
          <w:kern w:val="2"/>
          <w:sz w:val="32"/>
          <w:szCs w:val="32"/>
          <w:lang w:val="en-US" w:eastAsia="zh-CN" w:bidi="ar-SA"/>
        </w:rPr>
        <w:t>四、</w:t>
      </w:r>
      <w:r>
        <w:rPr>
          <w:rFonts w:hint="eastAsia" w:ascii="仿宋_GB2312" w:hAnsi="仿宋_GB2312" w:eastAsia="仿宋_GB2312" w:cs="仿宋_GB2312"/>
          <w:color w:val="auto"/>
          <w:kern w:val="2"/>
          <w:sz w:val="32"/>
          <w:szCs w:val="32"/>
          <w:highlight w:val="none"/>
          <w:lang w:val="en-US" w:eastAsia="zh-CN" w:bidi="en-US"/>
        </w:rPr>
        <w:t>我局委托锡林郭勒盟生态环境局多伦县分局对该项目各项生态环境保护措施落实情况进行监督检查和管理。</w:t>
      </w:r>
    </w:p>
    <w:p w14:paraId="6D86D90B">
      <w:pPr>
        <w:keepNext w:val="0"/>
        <w:keepLines w:val="0"/>
        <w:pageBreakBefore w:val="0"/>
        <w:overflowPunct/>
        <w:topLinePunct w:val="0"/>
        <w:bidi w:val="0"/>
        <w:adjustRightInd w:val="0"/>
        <w:snapToGrid w:val="0"/>
        <w:spacing w:line="560" w:lineRule="exact"/>
        <w:ind w:left="0" w:leftChars="0" w:firstLine="796" w:firstLineChars="200"/>
        <w:jc w:val="right"/>
        <w:rPr>
          <w:rFonts w:ascii="仿宋_GB2312" w:hAnsi="仿宋_GB2312" w:eastAsia="仿宋_GB2312" w:cs="仿宋_GB2312"/>
          <w:color w:val="auto"/>
          <w:spacing w:val="36"/>
          <w:w w:val="102"/>
          <w:sz w:val="32"/>
          <w:szCs w:val="32"/>
        </w:rPr>
      </w:pPr>
    </w:p>
    <w:p w14:paraId="2E62724C">
      <w:pPr>
        <w:keepNext w:val="0"/>
        <w:keepLines w:val="0"/>
        <w:pageBreakBefore w:val="0"/>
        <w:overflowPunct/>
        <w:topLinePunct w:val="0"/>
        <w:bidi w:val="0"/>
        <w:adjustRightInd w:val="0"/>
        <w:snapToGrid w:val="0"/>
        <w:spacing w:line="560" w:lineRule="exact"/>
        <w:jc w:val="both"/>
        <w:rPr>
          <w:rFonts w:ascii="仿宋_GB2312" w:hAnsi="仿宋_GB2312" w:eastAsia="仿宋_GB2312" w:cs="仿宋_GB2312"/>
          <w:color w:val="auto"/>
          <w:spacing w:val="36"/>
          <w:w w:val="102"/>
          <w:sz w:val="32"/>
          <w:szCs w:val="32"/>
        </w:rPr>
      </w:pPr>
    </w:p>
    <w:p w14:paraId="420BCD62">
      <w:pPr>
        <w:keepNext w:val="0"/>
        <w:keepLines w:val="0"/>
        <w:pageBreakBefore w:val="0"/>
        <w:wordWrap w:val="0"/>
        <w:overflowPunct/>
        <w:topLinePunct w:val="0"/>
        <w:bidi w:val="0"/>
        <w:adjustRightInd w:val="0"/>
        <w:snapToGrid w:val="0"/>
        <w:spacing w:line="560" w:lineRule="exact"/>
        <w:ind w:left="0" w:leftChars="0" w:firstLine="796" w:firstLineChars="200"/>
        <w:jc w:val="right"/>
        <w:rPr>
          <w:rFonts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6"/>
          <w:w w:val="102"/>
          <w:sz w:val="32"/>
          <w:szCs w:val="32"/>
          <w:lang w:val="en-US" w:eastAsia="zh-CN"/>
        </w:rPr>
        <w:t xml:space="preserve">     </w:t>
      </w:r>
      <w:r>
        <w:rPr>
          <w:rFonts w:hint="eastAsia" w:ascii="仿宋_GB2312" w:hAnsi="仿宋_GB2312" w:eastAsia="仿宋_GB2312" w:cs="仿宋_GB2312"/>
          <w:color w:val="auto"/>
          <w:spacing w:val="36"/>
          <w:w w:val="102"/>
          <w:sz w:val="32"/>
          <w:szCs w:val="32"/>
        </w:rPr>
        <w:t xml:space="preserve">锡林郭勒盟生态环境局      </w:t>
      </w:r>
    </w:p>
    <w:p w14:paraId="3B895D86">
      <w:pPr>
        <w:pStyle w:val="2"/>
        <w:keepNext w:val="0"/>
        <w:keepLines w:val="0"/>
        <w:pageBreakBefore w:val="0"/>
        <w:wordWrap w:val="0"/>
        <w:overflowPunct/>
        <w:topLinePunct w:val="0"/>
        <w:bidi w:val="0"/>
        <w:adjustRightInd w:val="0"/>
        <w:snapToGrid w:val="0"/>
        <w:spacing w:after="0" w:afterLines="0" w:line="560" w:lineRule="exact"/>
        <w:ind w:left="0" w:leftChars="0" w:firstLine="736" w:firstLineChars="200"/>
        <w:jc w:val="center"/>
        <w:rPr>
          <w:rFonts w:hint="eastAsia" w:ascii="仿宋_GB2312" w:hAnsi="仿宋_GB2312" w:eastAsia="仿宋_GB2312" w:cs="仿宋_GB2312"/>
          <w:color w:val="auto"/>
          <w:spacing w:val="18"/>
          <w:w w:val="104"/>
          <w:sz w:val="32"/>
          <w:szCs w:val="32"/>
          <w:lang w:val="en-US" w:eastAsia="zh-CN"/>
        </w:rPr>
      </w:pPr>
      <w:r>
        <w:rPr>
          <w:rFonts w:hint="eastAsia" w:ascii="仿宋_GB2312" w:hAnsi="仿宋_GB2312" w:eastAsia="仿宋_GB2312" w:cs="仿宋_GB2312"/>
          <w:color w:val="auto"/>
          <w:spacing w:val="18"/>
          <w:w w:val="104"/>
          <w:sz w:val="32"/>
          <w:szCs w:val="32"/>
          <w:lang w:val="en-US" w:eastAsia="zh-CN"/>
        </w:rPr>
        <w:t xml:space="preserve">             </w:t>
      </w:r>
      <w:r>
        <w:rPr>
          <w:rFonts w:hint="eastAsia" w:ascii="仿宋_GB2312" w:hAnsi="仿宋_GB2312" w:eastAsia="仿宋_GB2312" w:cs="仿宋_GB2312"/>
          <w:color w:val="auto"/>
          <w:spacing w:val="18"/>
          <w:w w:val="104"/>
          <w:sz w:val="32"/>
          <w:szCs w:val="32"/>
        </w:rPr>
        <w:t>2024年</w:t>
      </w:r>
      <w:r>
        <w:rPr>
          <w:rFonts w:hint="eastAsia" w:ascii="仿宋_GB2312" w:hAnsi="仿宋_GB2312" w:eastAsia="仿宋_GB2312" w:cs="仿宋_GB2312"/>
          <w:color w:val="auto"/>
          <w:spacing w:val="18"/>
          <w:w w:val="104"/>
          <w:sz w:val="32"/>
          <w:szCs w:val="32"/>
          <w:lang w:val="en-US" w:eastAsia="zh-CN"/>
        </w:rPr>
        <w:t>10</w:t>
      </w:r>
      <w:r>
        <w:rPr>
          <w:rFonts w:hint="eastAsia" w:ascii="仿宋_GB2312" w:hAnsi="仿宋_GB2312" w:eastAsia="仿宋_GB2312" w:cs="仿宋_GB2312"/>
          <w:color w:val="auto"/>
          <w:spacing w:val="18"/>
          <w:w w:val="104"/>
          <w:sz w:val="32"/>
          <w:szCs w:val="32"/>
        </w:rPr>
        <w:t>月</w:t>
      </w:r>
      <w:r>
        <w:rPr>
          <w:rFonts w:hint="eastAsia" w:ascii="仿宋_GB2312" w:hAnsi="仿宋_GB2312" w:eastAsia="仿宋_GB2312" w:cs="仿宋_GB2312"/>
          <w:color w:val="auto"/>
          <w:spacing w:val="18"/>
          <w:w w:val="104"/>
          <w:sz w:val="32"/>
          <w:szCs w:val="32"/>
          <w:lang w:val="en-US" w:eastAsia="zh-CN"/>
        </w:rPr>
        <w:t>21</w:t>
      </w:r>
      <w:r>
        <w:rPr>
          <w:rFonts w:hint="eastAsia" w:ascii="仿宋_GB2312" w:hAnsi="仿宋_GB2312" w:eastAsia="仿宋_GB2312" w:cs="仿宋_GB2312"/>
          <w:color w:val="auto"/>
          <w:spacing w:val="18"/>
          <w:w w:val="104"/>
          <w:sz w:val="32"/>
          <w:szCs w:val="32"/>
        </w:rPr>
        <w:t>日</w:t>
      </w:r>
      <w:r>
        <w:rPr>
          <w:rFonts w:hint="eastAsia" w:ascii="仿宋_GB2312" w:hAnsi="仿宋_GB2312" w:eastAsia="仿宋_GB2312" w:cs="仿宋_GB2312"/>
          <w:color w:val="auto"/>
          <w:spacing w:val="18"/>
          <w:w w:val="104"/>
          <w:sz w:val="32"/>
          <w:szCs w:val="32"/>
          <w:lang w:val="en-US" w:eastAsia="zh-CN"/>
        </w:rPr>
        <w:t xml:space="preserve">        </w:t>
      </w:r>
    </w:p>
    <w:p w14:paraId="0486C523">
      <w:pPr>
        <w:pStyle w:val="2"/>
        <w:keepNext w:val="0"/>
        <w:keepLines w:val="0"/>
        <w:pageBreakBefore w:val="0"/>
        <w:wordWrap w:val="0"/>
        <w:overflowPunct/>
        <w:topLinePunct w:val="0"/>
        <w:bidi w:val="0"/>
        <w:adjustRightInd w:val="0"/>
        <w:snapToGrid w:val="0"/>
        <w:spacing w:after="0" w:afterLines="0" w:line="56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285F1E7A">
      <w:pPr>
        <w:pStyle w:val="2"/>
        <w:keepNext w:val="0"/>
        <w:keepLines w:val="0"/>
        <w:pageBreakBefore w:val="0"/>
        <w:wordWrap w:val="0"/>
        <w:overflowPunct/>
        <w:topLinePunct w:val="0"/>
        <w:bidi w:val="0"/>
        <w:adjustRightInd w:val="0"/>
        <w:snapToGrid w:val="0"/>
        <w:spacing w:after="0" w:afterLines="0" w:line="56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03A4285C">
      <w:pPr>
        <w:pStyle w:val="2"/>
        <w:keepNext w:val="0"/>
        <w:keepLines w:val="0"/>
        <w:pageBreakBefore w:val="0"/>
        <w:wordWrap w:val="0"/>
        <w:overflowPunct/>
        <w:topLinePunct w:val="0"/>
        <w:bidi w:val="0"/>
        <w:adjustRightInd w:val="0"/>
        <w:snapToGrid w:val="0"/>
        <w:spacing w:after="0" w:afterLines="0" w:line="56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6F47D0D4">
      <w:pPr>
        <w:pStyle w:val="2"/>
        <w:keepNext w:val="0"/>
        <w:keepLines w:val="0"/>
        <w:pageBreakBefore w:val="0"/>
        <w:wordWrap w:val="0"/>
        <w:overflowPunct/>
        <w:topLinePunct w:val="0"/>
        <w:bidi w:val="0"/>
        <w:adjustRightInd w:val="0"/>
        <w:snapToGrid w:val="0"/>
        <w:spacing w:after="0" w:afterLines="0" w:line="56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53DBB7A0">
      <w:pPr>
        <w:pStyle w:val="2"/>
        <w:keepNext w:val="0"/>
        <w:keepLines w:val="0"/>
        <w:pageBreakBefore w:val="0"/>
        <w:wordWrap w:val="0"/>
        <w:overflowPunct/>
        <w:topLinePunct w:val="0"/>
        <w:bidi w:val="0"/>
        <w:adjustRightInd w:val="0"/>
        <w:snapToGrid w:val="0"/>
        <w:spacing w:after="0" w:afterLines="0" w:line="560" w:lineRule="exact"/>
        <w:ind w:left="0" w:leftChars="0" w:firstLine="736" w:firstLineChars="200"/>
        <w:jc w:val="right"/>
        <w:rPr>
          <w:rFonts w:hint="eastAsia" w:ascii="仿宋_GB2312" w:hAnsi="仿宋_GB2312" w:eastAsia="仿宋_GB2312" w:cs="仿宋_GB2312"/>
          <w:color w:val="auto"/>
          <w:spacing w:val="18"/>
          <w:w w:val="104"/>
          <w:sz w:val="32"/>
          <w:szCs w:val="32"/>
          <w:lang w:val="en-US" w:eastAsia="zh-CN"/>
        </w:rPr>
      </w:pPr>
    </w:p>
    <w:p w14:paraId="7BBD9168">
      <w:pPr>
        <w:pStyle w:val="2"/>
        <w:keepNext w:val="0"/>
        <w:keepLines w:val="0"/>
        <w:pageBreakBefore w:val="0"/>
        <w:wordWrap w:val="0"/>
        <w:overflowPunct/>
        <w:topLinePunct w:val="0"/>
        <w:bidi w:val="0"/>
        <w:adjustRightInd w:val="0"/>
        <w:snapToGrid w:val="0"/>
        <w:spacing w:after="0" w:afterLines="0" w:line="560" w:lineRule="exact"/>
        <w:ind w:left="0" w:leftChars="0" w:firstLine="0" w:firstLineChars="0"/>
        <w:jc w:val="both"/>
        <w:rPr>
          <w:rFonts w:hint="eastAsia" w:ascii="仿宋_GB2312" w:hAnsi="仿宋_GB2312" w:eastAsia="仿宋_GB2312" w:cs="仿宋_GB2312"/>
          <w:color w:val="auto"/>
          <w:spacing w:val="18"/>
          <w:w w:val="104"/>
          <w:sz w:val="32"/>
          <w:szCs w:val="32"/>
          <w:lang w:val="en-US" w:eastAsia="zh-CN"/>
        </w:rPr>
      </w:pPr>
      <w:r>
        <w:rPr>
          <w:rFonts w:hint="eastAsia" w:ascii="仿宋_GB2312" w:hAnsi="仿宋_GB2312" w:eastAsia="仿宋_GB2312" w:cs="仿宋_GB2312"/>
          <w:color w:val="auto"/>
          <w:spacing w:val="18"/>
          <w:w w:val="104"/>
          <w:sz w:val="32"/>
          <w:szCs w:val="32"/>
          <w:lang w:val="en-US" w:eastAsia="zh-CN"/>
        </w:rPr>
        <w:t xml:space="preserve">  </w:t>
      </w:r>
    </w:p>
    <w:p w14:paraId="7F51BC48">
      <w:pPr>
        <w:pStyle w:val="2"/>
        <w:keepNext w:val="0"/>
        <w:keepLines w:val="0"/>
        <w:pageBreakBefore w:val="0"/>
        <w:wordWrap/>
        <w:overflowPunct/>
        <w:topLinePunct w:val="0"/>
        <w:bidi w:val="0"/>
        <w:adjustRightInd w:val="0"/>
        <w:snapToGrid w:val="0"/>
        <w:spacing w:after="0" w:afterLines="0" w:line="520" w:lineRule="atLeast"/>
        <w:ind w:left="0" w:leftChars="0" w:firstLine="0" w:firstLineChars="0"/>
        <w:jc w:val="both"/>
        <w:rPr>
          <w:rFonts w:hint="default" w:ascii="仿宋_GB2312" w:hAnsi="仿宋_GB2312" w:eastAsia="仿宋_GB2312" w:cs="仿宋_GB2312"/>
          <w:color w:val="auto"/>
          <w:spacing w:val="18"/>
          <w:w w:val="104"/>
          <w:sz w:val="32"/>
          <w:szCs w:val="32"/>
          <w:lang w:val="en-US" w:eastAsia="zh-CN"/>
        </w:rPr>
      </w:pPr>
    </w:p>
    <w:p w14:paraId="10245524">
      <w:pPr>
        <w:spacing w:line="360" w:lineRule="auto"/>
        <w:ind w:firstLine="240" w:firstLineChars="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mc:AlternateContent>
          <mc:Choice Requires="wps">
            <w:drawing>
              <wp:anchor distT="0" distB="0" distL="0" distR="0" simplePos="0" relativeHeight="251660288" behindDoc="0" locked="0" layoutInCell="1" allowOverlap="1">
                <wp:simplePos x="0" y="0"/>
                <wp:positionH relativeFrom="column">
                  <wp:posOffset>-14605</wp:posOffset>
                </wp:positionH>
                <wp:positionV relativeFrom="paragraph">
                  <wp:posOffset>292100</wp:posOffset>
                </wp:positionV>
                <wp:extent cx="5351780" cy="5715"/>
                <wp:effectExtent l="0" t="0" r="0" b="0"/>
                <wp:wrapNone/>
                <wp:docPr id="1027"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1.15pt;margin-top:23pt;height:0.45pt;width:421.4pt;z-index:251660288;mso-width-relative:page;mso-height-relative:page;" filled="f" stroked="t" coordsize="21600,21600" o:gfxdata="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aK1+9YAAAAIAQAADwAAAAAAAAABACAAAAAiAAAAZHJzL2Rvd25yZXYu&#10;eG1sUEsBAhQAFAAAAAgAh07iQKZAijb9AQAA8wMAAA4AAAAAAAAAAQAgAAAAJQEAAGRycy9lMm9E&#10;b2MueG1sUEsFBgAAAAAGAAYAWQEAAJQ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4"/>
          <w:szCs w:val="24"/>
        </w:rPr>
        <w:t>抄送：</w:t>
      </w:r>
      <w:r>
        <w:rPr>
          <w:rFonts w:hint="eastAsia" w:ascii="仿宋_GB2312" w:hAnsi="仿宋_GB2312" w:eastAsia="仿宋_GB2312" w:cs="仿宋_GB2312"/>
          <w:color w:val="auto"/>
          <w:kern w:val="2"/>
          <w:sz w:val="24"/>
          <w:szCs w:val="24"/>
        </w:rPr>
        <w:t>盟生态环境综合行政执法支队</w:t>
      </w:r>
      <w:r>
        <w:rPr>
          <w:rFonts w:hint="eastAsia" w:ascii="仿宋_GB2312" w:hAnsi="仿宋_GB2312" w:eastAsia="仿宋_GB2312" w:cs="仿宋_GB2312"/>
          <w:color w:val="auto"/>
          <w:kern w:val="2"/>
          <w:sz w:val="24"/>
          <w:szCs w:val="24"/>
          <w:lang w:eastAsia="zh-CN"/>
        </w:rPr>
        <w:t>、</w:t>
      </w:r>
      <w:r>
        <w:rPr>
          <w:rFonts w:hint="eastAsia" w:ascii="仿宋_GB2312" w:hAnsi="仿宋_GB2312" w:eastAsia="仿宋_GB2312" w:cs="仿宋_GB2312"/>
          <w:color w:val="auto"/>
          <w:kern w:val="2"/>
          <w:sz w:val="24"/>
          <w:szCs w:val="24"/>
        </w:rPr>
        <w:t>盟生态环境局</w:t>
      </w:r>
      <w:r>
        <w:rPr>
          <w:rFonts w:hint="eastAsia" w:ascii="仿宋_GB2312" w:hAnsi="仿宋_GB2312" w:eastAsia="仿宋_GB2312" w:cs="仿宋_GB2312"/>
          <w:color w:val="auto"/>
          <w:kern w:val="2"/>
          <w:sz w:val="24"/>
          <w:szCs w:val="24"/>
          <w:lang w:val="en-US" w:eastAsia="zh-CN"/>
        </w:rPr>
        <w:t>多伦县</w:t>
      </w:r>
      <w:r>
        <w:rPr>
          <w:rFonts w:hint="eastAsia" w:ascii="仿宋_GB2312" w:hAnsi="仿宋_GB2312" w:eastAsia="仿宋_GB2312" w:cs="仿宋_GB2312"/>
          <w:color w:val="auto"/>
          <w:kern w:val="2"/>
          <w:sz w:val="24"/>
          <w:szCs w:val="24"/>
        </w:rPr>
        <w:t>分局</w:t>
      </w:r>
    </w:p>
    <w:p w14:paraId="5933A466">
      <w:pPr>
        <w:spacing w:line="360" w:lineRule="auto"/>
        <w:ind w:firstLine="280" w:firstLineChars="100"/>
        <w:rPr>
          <w:rFonts w:hint="eastAsia" w:ascii="仿宋_GB2312" w:hAnsi="仿宋_GB2312" w:eastAsia="仿宋_GB2312" w:cs="仿宋_GB2312"/>
          <w:color w:val="auto"/>
          <w:spacing w:val="36"/>
          <w:w w:val="102"/>
          <w:sz w:val="28"/>
          <w:szCs w:val="28"/>
        </w:rPr>
      </w:pPr>
      <w:r>
        <w:rPr>
          <w:rFonts w:hint="eastAsia" w:ascii="仿宋_GB2312" w:hAnsi="仿宋_GB2312" w:eastAsia="仿宋_GB2312" w:cs="仿宋_GB2312"/>
          <w:color w:val="auto"/>
          <w:sz w:val="28"/>
          <w:szCs w:val="28"/>
        </w:rPr>
        <mc:AlternateContent>
          <mc:Choice Requires="wps">
            <w:drawing>
              <wp:anchor distT="0" distB="0" distL="0" distR="0" simplePos="0" relativeHeight="251660288" behindDoc="0" locked="0" layoutInCell="1" allowOverlap="1">
                <wp:simplePos x="0" y="0"/>
                <wp:positionH relativeFrom="column">
                  <wp:posOffset>-635</wp:posOffset>
                </wp:positionH>
                <wp:positionV relativeFrom="paragraph">
                  <wp:posOffset>299085</wp:posOffset>
                </wp:positionV>
                <wp:extent cx="5351780" cy="5715"/>
                <wp:effectExtent l="0" t="0" r="0" b="0"/>
                <wp:wrapNone/>
                <wp:docPr id="2" name="直接连接符 12"/>
                <wp:cNvGraphicFramePr/>
                <a:graphic xmlns:a="http://schemas.openxmlformats.org/drawingml/2006/main">
                  <a:graphicData uri="http://schemas.microsoft.com/office/word/2010/wordprocessingShape">
                    <wps:wsp>
                      <wps:cNvCnPr/>
                      <wps:spPr>
                        <a:xfrm flipV="1">
                          <a:off x="0" y="0"/>
                          <a:ext cx="5351780" cy="571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2" o:spid="_x0000_s1026" o:spt="20" style="position:absolute;left:0pt;flip:y;margin-left:-0.05pt;margin-top:23.55pt;height:0.45pt;width:421.4pt;z-index:251660288;mso-width-relative:page;mso-height-relative:page;" filled="f" stroked="t" coordsize="21600,21600" o:gfxdata="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6+SNUAAAAHAQAADwAAAAAAAAABACAAAAAiAAAAZHJzL2Rvd25yZXYueG1s&#10;UEsBAhQAFAAAAAgAh07iQGACVjv7AQAA8AMAAA4AAAAAAAAAAQAgAAAAJA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锡林郭勒盟生态环境局办公室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2024年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日印发</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A1D26D-EEDF-49A2-B789-B692EA570D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7BC7362-05CC-4916-B484-D5FF499FD8C7}"/>
  </w:font>
  <w:font w:name="仿宋_GB2312">
    <w:panose1 w:val="02010609030101010101"/>
    <w:charset w:val="86"/>
    <w:family w:val="auto"/>
    <w:pitch w:val="default"/>
    <w:sig w:usb0="00000001" w:usb1="080E0000" w:usb2="00000000" w:usb3="00000000" w:csb0="00040000" w:csb1="00000000"/>
    <w:embedRegular r:id="rId3" w:fontKey="{B85D4250-6809-4C6C-A551-4F1F663407B1}"/>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2BF0AF0F-9FEC-4C86-A6FF-D9BD0666D765}"/>
  </w:font>
  <w:font w:name="微软雅黑">
    <w:panose1 w:val="020B0503020204020204"/>
    <w:charset w:val="86"/>
    <w:family w:val="auto"/>
    <w:pitch w:val="default"/>
    <w:sig w:usb0="80000287" w:usb1="280F3C52" w:usb2="00000016" w:usb3="00000000" w:csb0="0004001F" w:csb1="00000000"/>
    <w:embedRegular r:id="rId5" w:fontKey="{6887B585-629D-4F03-936A-170ABBA48E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D95D0">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FEE1E">
                          <w:pPr>
                            <w:pStyle w:val="14"/>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6FEE1E">
                    <w:pPr>
                      <w:pStyle w:val="14"/>
                      <w:rPr>
                        <w:rFonts w:hint="default" w:ascii="Times New Roman" w:hAnsi="Times New Roman" w:cs="Times New Roma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C650C"/>
    <w:multiLevelType w:val="multilevel"/>
    <w:tmpl w:val="467C650C"/>
    <w:lvl w:ilvl="0" w:tentative="0">
      <w:start w:val="1"/>
      <w:numFmt w:val="decimal"/>
      <w:lvlText w:val="%1"/>
      <w:lvlJc w:val="left"/>
      <w:pPr>
        <w:tabs>
          <w:tab w:val="left" w:pos="972"/>
        </w:tabs>
        <w:ind w:left="972" w:hanging="432"/>
      </w:pPr>
      <w:rPr>
        <w:rFonts w:hint="default"/>
      </w:rPr>
    </w:lvl>
    <w:lvl w:ilvl="1" w:tentative="0">
      <w:start w:val="1"/>
      <w:numFmt w:val="decimal"/>
      <w:lvlText w:val="%1.%2"/>
      <w:lvlJc w:val="left"/>
      <w:pPr>
        <w:tabs>
          <w:tab w:val="left" w:pos="567"/>
        </w:tabs>
        <w:ind w:left="425" w:hanging="425"/>
      </w:pPr>
      <w:rPr>
        <w:rFonts w:hint="eastAsia"/>
      </w:rPr>
    </w:lvl>
    <w:lvl w:ilvl="2" w:tentative="0">
      <w:start w:val="1"/>
      <w:numFmt w:val="decimal"/>
      <w:lvlText w:val="%1.%2.%3"/>
      <w:lvlJc w:val="left"/>
      <w:pPr>
        <w:tabs>
          <w:tab w:val="left" w:pos="1980"/>
        </w:tabs>
        <w:ind w:left="1980" w:hanging="720"/>
      </w:pPr>
      <w:rPr>
        <w:rFonts w:hint="eastAsia"/>
      </w:rPr>
    </w:lvl>
    <w:lvl w:ilvl="3" w:tentative="0">
      <w:start w:val="1"/>
      <w:numFmt w:val="decimal"/>
      <w:pStyle w:val="20"/>
      <w:lvlText w:val="%1.%2.%3.%4"/>
      <w:lvlJc w:val="left"/>
      <w:pPr>
        <w:tabs>
          <w:tab w:val="left" w:pos="864"/>
        </w:tabs>
        <w:ind w:left="864" w:hanging="864"/>
      </w:pPr>
      <w:rPr>
        <w:rFonts w:hint="eastAsia"/>
      </w:rPr>
    </w:lvl>
    <w:lvl w:ilvl="4" w:tentative="0">
      <w:start w:val="1"/>
      <w:numFmt w:val="decimal"/>
      <w:pStyle w:val="8"/>
      <w:lvlText w:val="%1.%2.%3.%4.%5"/>
      <w:lvlJc w:val="left"/>
      <w:pPr>
        <w:tabs>
          <w:tab w:val="left" w:pos="1008"/>
        </w:tabs>
        <w:ind w:left="1008" w:hanging="1008"/>
      </w:pPr>
      <w:rPr>
        <w:rFonts w:hint="eastAsia"/>
      </w:rPr>
    </w:lvl>
    <w:lvl w:ilvl="5" w:tentative="0">
      <w:start w:val="1"/>
      <w:numFmt w:val="decimal"/>
      <w:pStyle w:val="9"/>
      <w:lvlText w:val="%1.%2.%3.%4.%5.%6"/>
      <w:lvlJc w:val="left"/>
      <w:pPr>
        <w:tabs>
          <w:tab w:val="left" w:pos="1152"/>
        </w:tabs>
        <w:ind w:left="1152" w:hanging="1152"/>
      </w:pPr>
      <w:rPr>
        <w:rFonts w:hint="eastAsia"/>
      </w:rPr>
    </w:lvl>
    <w:lvl w:ilvl="6" w:tentative="0">
      <w:start w:val="1"/>
      <w:numFmt w:val="decimal"/>
      <w:pStyle w:val="10"/>
      <w:lvlText w:val="%1.%2.%3.%4.%5.%6.%7"/>
      <w:lvlJc w:val="left"/>
      <w:pPr>
        <w:tabs>
          <w:tab w:val="left" w:pos="1296"/>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mM5ZWViZDE5OGI0MjM4NzczOTJkMWU3N2M1YTEifQ=="/>
  </w:docVars>
  <w:rsids>
    <w:rsidRoot w:val="589E3581"/>
    <w:rsid w:val="01351709"/>
    <w:rsid w:val="02185E28"/>
    <w:rsid w:val="02946E78"/>
    <w:rsid w:val="032D3728"/>
    <w:rsid w:val="0393013A"/>
    <w:rsid w:val="04E577C8"/>
    <w:rsid w:val="0737795B"/>
    <w:rsid w:val="087B7D1C"/>
    <w:rsid w:val="08BA5B26"/>
    <w:rsid w:val="08F5187C"/>
    <w:rsid w:val="0BD72AFB"/>
    <w:rsid w:val="0BE67BA2"/>
    <w:rsid w:val="0BEE30CD"/>
    <w:rsid w:val="0DE34399"/>
    <w:rsid w:val="0E4532A6"/>
    <w:rsid w:val="0E991F30"/>
    <w:rsid w:val="0F955B67"/>
    <w:rsid w:val="0FFA1BFE"/>
    <w:rsid w:val="150A66AF"/>
    <w:rsid w:val="158D36CB"/>
    <w:rsid w:val="16AC5A90"/>
    <w:rsid w:val="1D1C3424"/>
    <w:rsid w:val="21D96D62"/>
    <w:rsid w:val="22BC4ED3"/>
    <w:rsid w:val="282565F5"/>
    <w:rsid w:val="2A657603"/>
    <w:rsid w:val="2BC02C27"/>
    <w:rsid w:val="321F3205"/>
    <w:rsid w:val="32FF69F4"/>
    <w:rsid w:val="3536131D"/>
    <w:rsid w:val="388C002D"/>
    <w:rsid w:val="392333DD"/>
    <w:rsid w:val="3D430101"/>
    <w:rsid w:val="3DED7E6B"/>
    <w:rsid w:val="43261F5B"/>
    <w:rsid w:val="44BC219C"/>
    <w:rsid w:val="458C0E8A"/>
    <w:rsid w:val="48972B7C"/>
    <w:rsid w:val="4B5C1005"/>
    <w:rsid w:val="4CAA0A7C"/>
    <w:rsid w:val="4D2D2298"/>
    <w:rsid w:val="4E3B59A5"/>
    <w:rsid w:val="5209326F"/>
    <w:rsid w:val="53CE651E"/>
    <w:rsid w:val="554C0D69"/>
    <w:rsid w:val="5572737D"/>
    <w:rsid w:val="57875362"/>
    <w:rsid w:val="57B86DCB"/>
    <w:rsid w:val="589E3581"/>
    <w:rsid w:val="59043943"/>
    <w:rsid w:val="59AF294E"/>
    <w:rsid w:val="5A5C0D28"/>
    <w:rsid w:val="5D9702C9"/>
    <w:rsid w:val="5E2F22B0"/>
    <w:rsid w:val="5E977899"/>
    <w:rsid w:val="63A96660"/>
    <w:rsid w:val="63C11BFC"/>
    <w:rsid w:val="683F3A37"/>
    <w:rsid w:val="684678F7"/>
    <w:rsid w:val="6AF515D6"/>
    <w:rsid w:val="6B0074AE"/>
    <w:rsid w:val="6EB33F0A"/>
    <w:rsid w:val="721750DD"/>
    <w:rsid w:val="75400D68"/>
    <w:rsid w:val="759023D2"/>
    <w:rsid w:val="786B4972"/>
    <w:rsid w:val="78977D98"/>
    <w:rsid w:val="796F0365"/>
    <w:rsid w:val="7BAD0A4E"/>
    <w:rsid w:val="7BAE6AB2"/>
    <w:rsid w:val="7D7C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19"/>
    <w:autoRedefine/>
    <w:qFormat/>
    <w:uiPriority w:val="0"/>
    <w:pPr>
      <w:keepNext/>
      <w:keepLines/>
      <w:adjustRightInd w:val="0"/>
      <w:snapToGrid w:val="0"/>
      <w:spacing w:line="360" w:lineRule="auto"/>
      <w:ind w:left="0" w:firstLine="883" w:firstLineChars="200"/>
      <w:outlineLvl w:val="0"/>
    </w:pPr>
    <w:rPr>
      <w:rFonts w:ascii="Times New Roman" w:hAnsi="Times New Roman" w:eastAsia="宋体"/>
      <w:b/>
      <w:kern w:val="44"/>
      <w:sz w:val="44"/>
      <w:szCs w:val="20"/>
    </w:rPr>
  </w:style>
  <w:style w:type="paragraph" w:styleId="5">
    <w:name w:val="heading 2"/>
    <w:basedOn w:val="1"/>
    <w:next w:val="1"/>
    <w:link w:val="18"/>
    <w:autoRedefine/>
    <w:semiHidden/>
    <w:unhideWhenUsed/>
    <w:qFormat/>
    <w:uiPriority w:val="0"/>
    <w:pPr>
      <w:keepNext/>
      <w:keepLines/>
      <w:adjustRightInd w:val="0"/>
      <w:snapToGrid w:val="0"/>
      <w:spacing w:line="360" w:lineRule="auto"/>
      <w:outlineLvl w:val="1"/>
    </w:pPr>
    <w:rPr>
      <w:rFonts w:ascii="Times New Roman" w:hAnsi="Times New Roman" w:eastAsia="宋体"/>
      <w:b/>
      <w:bCs/>
      <w:sz w:val="32"/>
      <w:szCs w:val="32"/>
    </w:rPr>
  </w:style>
  <w:style w:type="paragraph" w:styleId="6">
    <w:name w:val="heading 3"/>
    <w:basedOn w:val="1"/>
    <w:next w:val="1"/>
    <w:semiHidden/>
    <w:unhideWhenUsed/>
    <w:qFormat/>
    <w:uiPriority w:val="0"/>
    <w:pPr>
      <w:keepNext/>
      <w:keepLines/>
      <w:adjustRightInd w:val="0"/>
      <w:snapToGrid w:val="0"/>
      <w:spacing w:beforeLines="0" w:beforeAutospacing="0" w:afterLines="0" w:afterAutospacing="0" w:line="360" w:lineRule="auto"/>
      <w:outlineLvl w:val="2"/>
    </w:pPr>
    <w:rPr>
      <w:rFonts w:ascii="Times New Roman" w:hAnsi="Times New Roman" w:eastAsia="宋体"/>
      <w:b/>
      <w:sz w:val="24"/>
    </w:rPr>
  </w:style>
  <w:style w:type="paragraph" w:styleId="7">
    <w:name w:val="heading 4"/>
    <w:basedOn w:val="1"/>
    <w:next w:val="1"/>
    <w:semiHidden/>
    <w:unhideWhenUsed/>
    <w:qFormat/>
    <w:uiPriority w:val="0"/>
    <w:pPr>
      <w:keepNext/>
      <w:keepLines/>
      <w:adjustRightInd w:val="0"/>
      <w:snapToGrid w:val="0"/>
      <w:spacing w:beforeLines="0" w:beforeAutospacing="0" w:afterLines="0" w:afterAutospacing="0" w:line="360" w:lineRule="auto"/>
      <w:ind w:firstLine="883" w:firstLineChars="200"/>
      <w:outlineLvl w:val="3"/>
    </w:pPr>
    <w:rPr>
      <w:rFonts w:ascii="Times New Roman" w:hAnsi="Times New Roman" w:eastAsia="宋体"/>
      <w:b/>
      <w:sz w:val="24"/>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autoRedefine/>
    <w:qFormat/>
    <w:uiPriority w:val="0"/>
    <w:pPr>
      <w:spacing w:after="120" w:afterLines="0" w:afterAutospacing="0"/>
      <w:ind w:left="420" w:leftChars="200"/>
    </w:pPr>
  </w:style>
  <w:style w:type="paragraph" w:styleId="13">
    <w:name w:val="Normal Indent"/>
    <w:basedOn w:val="1"/>
    <w:next w:val="2"/>
    <w:autoRedefine/>
    <w:qFormat/>
    <w:uiPriority w:val="0"/>
    <w:pPr>
      <w:widowControl w:val="0"/>
      <w:ind w:firstLine="420" w:firstLineChars="200"/>
      <w:jc w:val="both"/>
    </w:pPr>
    <w:rPr>
      <w:rFonts w:ascii="Times New Roman" w:hAnsi="Times New Roman" w:eastAsia="宋体" w:cs="Times New Roman"/>
      <w:kern w:val="2"/>
      <w:szCs w:val="24"/>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8">
    <w:name w:val="标题 2 Char"/>
    <w:link w:val="5"/>
    <w:autoRedefine/>
    <w:qFormat/>
    <w:uiPriority w:val="0"/>
    <w:rPr>
      <w:rFonts w:ascii="Times New Roman" w:hAnsi="Times New Roman" w:eastAsia="宋体"/>
      <w:b/>
      <w:bCs/>
      <w:kern w:val="2"/>
      <w:sz w:val="32"/>
      <w:szCs w:val="32"/>
      <w:lang w:val="en-US" w:eastAsia="zh-CN" w:bidi="ar-SA"/>
    </w:rPr>
  </w:style>
  <w:style w:type="character" w:customStyle="1" w:styleId="19">
    <w:name w:val="标题 1 Char"/>
    <w:link w:val="4"/>
    <w:qFormat/>
    <w:uiPriority w:val="0"/>
    <w:rPr>
      <w:rFonts w:ascii="Times New Roman" w:hAnsi="Times New Roman" w:eastAsia="宋体"/>
      <w:b/>
      <w:kern w:val="44"/>
      <w:sz w:val="44"/>
    </w:rPr>
  </w:style>
  <w:style w:type="paragraph" w:customStyle="1" w:styleId="20">
    <w:name w:val="标题四最终"/>
    <w:basedOn w:val="1"/>
    <w:autoRedefine/>
    <w:qFormat/>
    <w:uiPriority w:val="0"/>
    <w:pPr>
      <w:numPr>
        <w:ilvl w:val="3"/>
        <w:numId w:val="1"/>
      </w:numPr>
      <w:ind w:left="864" w:hanging="864"/>
    </w:pPr>
  </w:style>
  <w:style w:type="character" w:customStyle="1" w:styleId="21">
    <w:name w:val="ca-1"/>
    <w:basedOn w:val="17"/>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2160</Words>
  <Characters>2348</Characters>
  <Lines>0</Lines>
  <Paragraphs>0</Paragraphs>
  <TotalTime>13</TotalTime>
  <ScaleCrop>false</ScaleCrop>
  <LinksUpToDate>false</LinksUpToDate>
  <CharactersWithSpaces>2399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2024-05-07T08:16:00Z</dcterms:created>
  <dc:creator>LH。</dc:creator>
  <cp:lastModifiedBy>演示人</cp:lastModifiedBy>
  <cp:lastPrinted>2024-07-23T08:26:00Z</cp:lastPrinted>
  <dcterms:modified xsi:type="dcterms:W3CDTF">2024-10-22T02:07:20Z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A959719F99354DA0BF2ECB38EAA84096_13</vt:lpwstr>
  </property>
</Properties>
</file>