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6310E">
      <w:pPr>
        <w:adjustRightInd w:val="0"/>
        <w:snapToGrid w:val="0"/>
        <w:spacing w:line="360" w:lineRule="auto"/>
        <w:jc w:val="center"/>
        <w:rPr>
          <w:b/>
          <w:bCs/>
          <w:color w:val="000000" w:themeColor="text1"/>
          <w:sz w:val="32"/>
          <w:szCs w:val="32"/>
          <w:highlight w:val="yellow"/>
          <w14:textFill>
            <w14:solidFill>
              <w14:schemeClr w14:val="tx1"/>
            </w14:solidFill>
          </w14:textFill>
        </w:rPr>
      </w:pPr>
      <w:bookmarkStart w:id="0" w:name="_Hlk124747957"/>
    </w:p>
    <w:p w14:paraId="18C94553">
      <w:pPr>
        <w:adjustRightInd w:val="0"/>
        <w:snapToGrid w:val="0"/>
        <w:spacing w:line="360" w:lineRule="auto"/>
        <w:jc w:val="center"/>
        <w:rPr>
          <w:b/>
          <w:bCs/>
          <w:color w:val="000000" w:themeColor="text1"/>
          <w:sz w:val="32"/>
          <w:szCs w:val="32"/>
          <w:highlight w:val="yellow"/>
          <w14:textFill>
            <w14:solidFill>
              <w14:schemeClr w14:val="tx1"/>
            </w14:solidFill>
          </w14:textFill>
        </w:rPr>
      </w:pPr>
    </w:p>
    <w:p w14:paraId="4F38EE41">
      <w:pPr>
        <w:pStyle w:val="11"/>
        <w:rPr>
          <w:b/>
          <w:bCs/>
          <w:color w:val="000000" w:themeColor="text1"/>
          <w:sz w:val="32"/>
          <w:szCs w:val="32"/>
          <w:highlight w:val="yellow"/>
          <w14:textFill>
            <w14:solidFill>
              <w14:schemeClr w14:val="tx1"/>
            </w14:solidFill>
          </w14:textFill>
        </w:rPr>
      </w:pPr>
    </w:p>
    <w:p w14:paraId="7087DABB">
      <w:pPr>
        <w:rPr>
          <w:b/>
          <w:bCs/>
          <w:color w:val="000000" w:themeColor="text1"/>
          <w:sz w:val="32"/>
          <w:szCs w:val="32"/>
          <w:highlight w:val="yellow"/>
          <w14:textFill>
            <w14:solidFill>
              <w14:schemeClr w14:val="tx1"/>
            </w14:solidFill>
          </w14:textFill>
        </w:rPr>
      </w:pPr>
    </w:p>
    <w:p w14:paraId="4CB43705">
      <w:pPr>
        <w:pStyle w:val="11"/>
        <w:rPr>
          <w:b/>
          <w:bCs/>
          <w:color w:val="000000" w:themeColor="text1"/>
          <w:sz w:val="32"/>
          <w:szCs w:val="32"/>
          <w:highlight w:val="yellow"/>
          <w14:textFill>
            <w14:solidFill>
              <w14:schemeClr w14:val="tx1"/>
            </w14:solidFill>
          </w14:textFill>
        </w:rPr>
      </w:pPr>
    </w:p>
    <w:p w14:paraId="68FF3966">
      <w:pPr>
        <w:pStyle w:val="11"/>
        <w:ind w:left="0" w:leftChars="0" w:firstLine="0" w:firstLineChars="0"/>
        <w:rPr>
          <w:b/>
          <w:bCs/>
          <w:color w:val="000000" w:themeColor="text1"/>
          <w:sz w:val="32"/>
          <w:szCs w:val="32"/>
          <w:highlight w:val="yellow"/>
          <w14:textFill>
            <w14:solidFill>
              <w14:schemeClr w14:val="tx1"/>
            </w14:solidFill>
          </w14:textFill>
        </w:rPr>
      </w:pPr>
    </w:p>
    <w:p w14:paraId="18E3545D">
      <w:pPr>
        <w:rPr>
          <w:color w:val="000000" w:themeColor="text1"/>
          <w:highlight w:val="none"/>
          <w14:textFill>
            <w14:solidFill>
              <w14:schemeClr w14:val="tx1"/>
            </w14:solidFill>
          </w14:textFill>
        </w:rPr>
      </w:pPr>
    </w:p>
    <w:p w14:paraId="4FCFB1E8">
      <w:pPr>
        <w:pStyle w:val="11"/>
        <w:rPr>
          <w:color w:val="000000" w:themeColor="text1"/>
          <w:highlight w:val="none"/>
          <w14:textFill>
            <w14:solidFill>
              <w14:schemeClr w14:val="tx1"/>
            </w14:solidFill>
          </w14:textFill>
        </w:rPr>
      </w:pPr>
    </w:p>
    <w:p w14:paraId="74439723">
      <w:pPr>
        <w:rPr>
          <w:color w:val="000000" w:themeColor="text1"/>
          <w:highlight w:val="none"/>
          <w14:textFill>
            <w14:solidFill>
              <w14:schemeClr w14:val="tx1"/>
            </w14:solidFill>
          </w14:textFill>
        </w:rPr>
      </w:pPr>
    </w:p>
    <w:p w14:paraId="69834D94">
      <w:pPr>
        <w:autoSpaceDE w:val="0"/>
        <w:autoSpaceDN w:val="0"/>
        <w:adjustRightInd w:val="0"/>
        <w:snapToGrid w:val="0"/>
        <w:spacing w:line="560" w:lineRule="exact"/>
        <w:jc w:val="center"/>
        <w:rPr>
          <w:rFonts w:ascii="仿宋_GB2312" w:hAnsi="Times New Roman" w:eastAsia="仿宋_GB2312" w:cs="Arial"/>
          <w:color w:val="000000" w:themeColor="text1"/>
          <w:sz w:val="32"/>
          <w:szCs w:val="32"/>
          <w:highlight w:val="none"/>
          <w:lang w:bidi="en-US"/>
          <w14:textFill>
            <w14:solidFill>
              <w14:schemeClr w14:val="tx1"/>
            </w14:solidFill>
          </w14:textFill>
        </w:rPr>
      </w:pPr>
      <w:r>
        <w:rPr>
          <w:rFonts w:hint="eastAsia" w:ascii="仿宋_GB2312" w:hAnsi="Times New Roman" w:eastAsia="仿宋_GB2312" w:cs="Arial"/>
          <w:color w:val="000000" w:themeColor="text1"/>
          <w:sz w:val="32"/>
          <w:szCs w:val="32"/>
          <w:highlight w:val="none"/>
          <w:lang w:bidi="en-US"/>
          <w14:textFill>
            <w14:solidFill>
              <w14:schemeClr w14:val="tx1"/>
            </w14:solidFill>
          </w14:textFill>
        </w:rPr>
        <w:t>锡署环审书〔202</w:t>
      </w:r>
      <w:r>
        <w:rPr>
          <w:rFonts w:hint="eastAsia" w:ascii="仿宋_GB2312" w:hAnsi="Times New Roman" w:eastAsia="仿宋_GB2312" w:cs="Arial"/>
          <w:color w:val="000000" w:themeColor="text1"/>
          <w:sz w:val="32"/>
          <w:szCs w:val="32"/>
          <w:highlight w:val="none"/>
          <w:lang w:val="en-US" w:eastAsia="zh-CN" w:bidi="en-US"/>
          <w14:textFill>
            <w14:solidFill>
              <w14:schemeClr w14:val="tx1"/>
            </w14:solidFill>
          </w14:textFill>
        </w:rPr>
        <w:t>4</w:t>
      </w:r>
      <w:r>
        <w:rPr>
          <w:rFonts w:hint="eastAsia" w:ascii="仿宋_GB2312" w:hAnsi="Times New Roman" w:eastAsia="仿宋_GB2312" w:cs="Arial"/>
          <w:color w:val="000000" w:themeColor="text1"/>
          <w:sz w:val="32"/>
          <w:szCs w:val="32"/>
          <w:highlight w:val="none"/>
          <w:lang w:bidi="en-US"/>
          <w14:textFill>
            <w14:solidFill>
              <w14:schemeClr w14:val="tx1"/>
            </w14:solidFill>
          </w14:textFill>
        </w:rPr>
        <w:t>〕</w:t>
      </w:r>
      <w:r>
        <w:rPr>
          <w:rFonts w:hint="eastAsia" w:ascii="仿宋_GB2312" w:hAnsi="Times New Roman" w:eastAsia="仿宋_GB2312" w:cs="Arial"/>
          <w:color w:val="000000" w:themeColor="text1"/>
          <w:sz w:val="32"/>
          <w:szCs w:val="32"/>
          <w:highlight w:val="none"/>
          <w:lang w:val="en-US" w:eastAsia="zh-CN" w:bidi="en-US"/>
          <w14:textFill>
            <w14:solidFill>
              <w14:schemeClr w14:val="tx1"/>
            </w14:solidFill>
          </w14:textFill>
        </w:rPr>
        <w:t>37</w:t>
      </w:r>
      <w:r>
        <w:rPr>
          <w:rFonts w:hint="eastAsia" w:ascii="仿宋_GB2312" w:hAnsi="Times New Roman" w:eastAsia="仿宋_GB2312" w:cs="Arial"/>
          <w:color w:val="000000" w:themeColor="text1"/>
          <w:sz w:val="32"/>
          <w:szCs w:val="32"/>
          <w:highlight w:val="none"/>
          <w:lang w:bidi="en-US"/>
          <w14:textFill>
            <w14:solidFill>
              <w14:schemeClr w14:val="tx1"/>
            </w14:solidFill>
          </w14:textFill>
        </w:rPr>
        <w:t>号</w:t>
      </w:r>
    </w:p>
    <w:p w14:paraId="102C219D">
      <w:pPr>
        <w:adjustRightInd w:val="0"/>
        <w:snapToGrid w:val="0"/>
        <w:spacing w:line="360" w:lineRule="auto"/>
        <w:jc w:val="center"/>
        <w:rPr>
          <w:b/>
          <w:bCs/>
          <w:color w:val="000000" w:themeColor="text1"/>
          <w:sz w:val="32"/>
          <w:szCs w:val="32"/>
          <w:highlight w:val="none"/>
          <w14:textFill>
            <w14:solidFill>
              <w14:schemeClr w14:val="tx1"/>
            </w14:solidFill>
          </w14:textFill>
        </w:rPr>
      </w:pPr>
    </w:p>
    <w:p w14:paraId="0A343382">
      <w:pPr>
        <w:widowControl/>
        <w:spacing w:line="700" w:lineRule="exact"/>
        <w:jc w:val="center"/>
        <w:textAlignment w:val="baseline"/>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锡林郭勒盟生态环境局</w:t>
      </w:r>
    </w:p>
    <w:bookmarkEnd w:id="0"/>
    <w:p w14:paraId="59A595BF">
      <w:pPr>
        <w:autoSpaceDE w:val="0"/>
        <w:autoSpaceDN w:val="0"/>
        <w:adjustRightInd w:val="0"/>
        <w:snapToGrid w:val="0"/>
        <w:spacing w:line="700" w:lineRule="exact"/>
        <w:jc w:val="center"/>
        <w:rPr>
          <w:rFonts w:ascii="方正小标宋简体" w:hAnsi="方正小标宋简体" w:eastAsia="方正小标宋简体" w:cs="方正小标宋简体"/>
          <w:bCs/>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关于</w:t>
      </w:r>
      <w:r>
        <w:rPr>
          <w:rFonts w:hint="eastAsia" w:ascii="方正小标宋简体" w:hAnsi="方正小标宋简体" w:eastAsia="方正小标宋简体" w:cs="方正小标宋简体"/>
          <w:bCs/>
          <w:color w:val="000000" w:themeColor="text1"/>
          <w:sz w:val="44"/>
          <w:szCs w:val="44"/>
          <w:highlight w:val="none"/>
          <w:lang w:val="en-US" w:eastAsia="zh-CN"/>
          <w14:textFill>
            <w14:solidFill>
              <w14:schemeClr w14:val="tx1"/>
            </w14:solidFill>
          </w14:textFill>
        </w:rPr>
        <w:t>多伦县蓝天热力西热源厂改造（拆除）项目</w:t>
      </w:r>
      <w:r>
        <w:rPr>
          <w:rFonts w:hint="eastAsia" w:ascii="方正小标宋简体" w:hAnsi="方正小标宋简体" w:eastAsia="方正小标宋简体" w:cs="方正小标宋简体"/>
          <w:bCs/>
          <w:color w:val="000000" w:themeColor="text1"/>
          <w:sz w:val="44"/>
          <w:szCs w:val="44"/>
          <w:highlight w:val="none"/>
          <w14:textFill>
            <w14:solidFill>
              <w14:schemeClr w14:val="tx1"/>
            </w14:solidFill>
          </w14:textFill>
        </w:rPr>
        <w:t>环境影响报告书的批复</w:t>
      </w:r>
    </w:p>
    <w:p w14:paraId="53633448">
      <w:pPr>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ascii="仿宋_GB2312" w:hAnsi="仿宋_GB2312" w:eastAsia="仿宋_GB2312" w:cs="仿宋_GB2312"/>
          <w:color w:val="000000" w:themeColor="text1"/>
          <w:sz w:val="32"/>
          <w:szCs w:val="32"/>
          <w:highlight w:val="yellow"/>
          <w:lang w:bidi="en-US"/>
          <w14:textFill>
            <w14:solidFill>
              <w14:schemeClr w14:val="tx1"/>
            </w14:solidFill>
          </w14:textFill>
        </w:rPr>
      </w:pPr>
    </w:p>
    <w:p w14:paraId="349FE5ED">
      <w:pPr>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多伦县蓝天热力有限责任公司</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w:t>
      </w:r>
    </w:p>
    <w:p w14:paraId="30AEC3DE">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你单位报送的《</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多伦县蓝天热力西热源厂改造（拆除）项目</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环境影响报告书》（</w:t>
      </w:r>
      <w:r>
        <w:rPr>
          <w:rFonts w:hint="eastAsia" w:ascii="仿宋_GB2312" w:hAnsi="仿宋_GB2312" w:eastAsia="仿宋_GB2312" w:cs="仿宋_GB2312"/>
          <w:color w:val="000000" w:themeColor="text1"/>
          <w:sz w:val="32"/>
          <w:szCs w:val="32"/>
          <w:highlight w:val="none"/>
          <w:lang w:eastAsia="zh-Hans" w:bidi="en-US"/>
          <w14:textFill>
            <w14:solidFill>
              <w14:schemeClr w14:val="tx1"/>
            </w14:solidFill>
          </w14:textFill>
        </w:rPr>
        <w:t>以下简称《报告书》</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）收悉。经研究，批复如下：</w:t>
      </w:r>
    </w:p>
    <w:p w14:paraId="333232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bidi="en-US"/>
          <w14:textFill>
            <w14:solidFill>
              <w14:schemeClr w14:val="tx1"/>
            </w14:solidFill>
          </w14:textFill>
        </w:rPr>
        <w:t>一、</w:t>
      </w:r>
      <w:r>
        <w:rPr>
          <w:rFonts w:hint="eastAsia" w:ascii="仿宋_GB2312" w:hAnsi="仿宋_GB2312" w:eastAsia="仿宋_GB2312" w:cs="仿宋_GB2312"/>
          <w:color w:val="auto"/>
          <w:sz w:val="32"/>
          <w:szCs w:val="32"/>
          <w:highlight w:val="none"/>
          <w:lang w:val="en-US" w:eastAsia="zh-CN"/>
        </w:rPr>
        <w:t>多伦县蓝天热力西热源厂改造（拆除）</w:t>
      </w:r>
      <w:bookmarkStart w:id="1" w:name="_GoBack"/>
      <w:bookmarkEnd w:id="1"/>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项目</w:t>
      </w: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位于</w:t>
      </w:r>
      <w:r>
        <w:rPr>
          <w:rFonts w:hint="eastAsia" w:ascii="仿宋_GB2312" w:hAnsi="仿宋_GB2312" w:eastAsia="仿宋_GB2312" w:cs="仿宋_GB2312"/>
          <w:color w:val="auto"/>
          <w:sz w:val="32"/>
          <w:szCs w:val="32"/>
          <w:highlight w:val="none"/>
          <w:lang w:val="en-US" w:eastAsia="zh-CN"/>
        </w:rPr>
        <w:t>多伦县蓝天热力西热源厂内</w:t>
      </w: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，厂区占地面积为3000m</w:t>
      </w:r>
      <w:r>
        <w:rPr>
          <w:rFonts w:hint="eastAsia" w:ascii="仿宋_GB2312" w:hAnsi="仿宋_GB2312" w:eastAsia="仿宋_GB2312" w:cs="仿宋_GB2312"/>
          <w:b w:val="0"/>
          <w:bCs/>
          <w:color w:val="000000" w:themeColor="text1"/>
          <w:kern w:val="0"/>
          <w:sz w:val="32"/>
          <w:szCs w:val="32"/>
          <w:highlight w:val="none"/>
          <w:vertAlign w:val="superscript"/>
          <w:lang w:val="en-US" w:eastAsia="zh-CN" w:bidi="ar"/>
          <w14:textFill>
            <w14:solidFill>
              <w14:schemeClr w14:val="tx1"/>
            </w14:solidFill>
          </w14:textFill>
        </w:rPr>
        <w:t>2</w:t>
      </w:r>
      <w:r>
        <w:rPr>
          <w:rFonts w:hint="eastAsia" w:ascii="仿宋_GB2312" w:hAnsi="仿宋_GB2312" w:eastAsia="仿宋_GB2312" w:cs="仿宋_GB2312"/>
          <w:b w:val="0"/>
          <w:bCs/>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auto"/>
          <w:sz w:val="32"/>
          <w:szCs w:val="32"/>
          <w:highlight w:val="none"/>
          <w:lang w:val="en-US" w:eastAsia="zh-CN"/>
        </w:rPr>
        <w:t>本次技改主要为拆除2台21MW循环流化床热水锅炉和1台24.5MW循环流化床热水锅炉，新建3台42MW循环流化床热水锅炉及配套设施，现有6台29MW循环流化床热水锅炉保留。1台42MW循环流化床热水锅炉已正在建设，锡林郭勒盟生态环境局多伦县生态环境分局对其未批先建已作出行政处罚（锡署环罚（多）字[2024]1号）。</w:t>
      </w:r>
    </w:p>
    <w:p w14:paraId="4F7E90A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5711D809">
      <w:pPr>
        <w:pStyle w:val="11"/>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default"/>
          <w:b w:val="0"/>
          <w:bCs w:val="0"/>
          <w:lang w:val="en-US" w:eastAsia="zh-CN"/>
        </w:rPr>
      </w:pPr>
      <w:r>
        <w:rPr>
          <w:rFonts w:hint="eastAsia" w:ascii="仿宋_GB2312" w:hAnsi="仿宋_GB2312" w:eastAsia="仿宋_GB2312" w:cs="仿宋_GB2312"/>
          <w:b w:val="0"/>
          <w:bCs w:val="0"/>
          <w:color w:val="auto"/>
          <w:kern w:val="2"/>
          <w:sz w:val="32"/>
          <w:szCs w:val="32"/>
          <w:highlight w:val="none"/>
          <w:lang w:val="en-US" w:eastAsia="zh-CN" w:bidi="en-US"/>
        </w:rPr>
        <w:t>二、</w:t>
      </w:r>
      <w:r>
        <w:rPr>
          <w:rFonts w:hint="default" w:ascii="仿宋_GB2312" w:hAnsi="仿宋_GB2312" w:eastAsia="仿宋_GB2312" w:cs="仿宋_GB2312"/>
          <w:b w:val="0"/>
          <w:bCs w:val="0"/>
          <w:color w:val="auto"/>
          <w:kern w:val="2"/>
          <w:sz w:val="32"/>
          <w:szCs w:val="32"/>
          <w:highlight w:val="none"/>
          <w:lang w:val="en-US" w:eastAsia="zh-CN" w:bidi="en-US"/>
        </w:rPr>
        <w:t>项目在设计、建设和运营过程中还应做好以下工作</w:t>
      </w:r>
      <w:r>
        <w:rPr>
          <w:rFonts w:hint="eastAsia" w:ascii="仿宋_GB2312" w:hAnsi="仿宋_GB2312" w:eastAsia="仿宋_GB2312" w:cs="仿宋_GB2312"/>
          <w:b w:val="0"/>
          <w:bCs w:val="0"/>
          <w:color w:val="auto"/>
          <w:kern w:val="2"/>
          <w:sz w:val="32"/>
          <w:szCs w:val="32"/>
          <w:highlight w:val="none"/>
          <w:lang w:val="en-US" w:eastAsia="zh-CN" w:bidi="en-US"/>
        </w:rPr>
        <w:t>。</w:t>
      </w:r>
    </w:p>
    <w:p w14:paraId="17648CC8">
      <w:pPr>
        <w:pStyle w:val="29"/>
        <w:keepNext w:val="0"/>
        <w:keepLines w:val="0"/>
        <w:pageBreakBefore w:val="0"/>
        <w:widowControl w:val="0"/>
        <w:kinsoku/>
        <w:wordWrap/>
        <w:overflowPunct/>
        <w:topLinePunct w:val="0"/>
        <w:bidi w:val="0"/>
        <w:adjustRightInd/>
        <w:snapToGrid/>
        <w:spacing w:beforeLines="0" w:afterLines="0" w:line="560" w:lineRule="exact"/>
        <w:textAlignment w:val="auto"/>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t>（一）严格落实各项大气污染防治措施。</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rPr>
        <w:t>3#29MW锅炉经过SNCR脱硝处理+布袋除尘+1#石灰-石膏脱硫塔处理，4#42MW经过SNCR脱硝处理+布袋除尘+4#石灰-石膏脱硫塔，以上废气经1根砖混结构排气筒排放。5#、6#锅炉烟气经SNCR脱硝处理+布袋除尘+2#1套石灰-石膏法脱硫塔处理，7#</w:t>
      </w:r>
      <w:r>
        <w:rPr>
          <w:rFonts w:hint="eastAsia" w:ascii="仿宋_GB2312" w:hAnsi="仿宋_GB2312" w:eastAsia="仿宋_GB2312" w:cs="仿宋_GB2312"/>
          <w:color w:val="auto"/>
          <w:sz w:val="32"/>
          <w:szCs w:val="32"/>
          <w:highlight w:val="none"/>
          <w:lang w:eastAsia="zh-CN"/>
        </w:rPr>
        <w:t>至</w:t>
      </w:r>
      <w:r>
        <w:rPr>
          <w:rFonts w:hint="eastAsia" w:ascii="仿宋_GB2312" w:hAnsi="仿宋_GB2312" w:eastAsia="仿宋_GB2312" w:cs="仿宋_GB2312"/>
          <w:color w:val="auto"/>
          <w:sz w:val="32"/>
          <w:szCs w:val="32"/>
          <w:highlight w:val="none"/>
        </w:rPr>
        <w:t>9#经SNCR脱硝处理+布袋除尘+1套3#石灰-石膏法脱硫塔处理，处理后的烟气通过管道排至1根烟囱达标排放。</w:t>
      </w:r>
      <w:r>
        <w:rPr>
          <w:rFonts w:hint="eastAsia" w:ascii="仿宋_GB2312" w:hAnsi="仿宋_GB2312" w:eastAsia="仿宋_GB2312" w:cs="仿宋_GB2312"/>
          <w:color w:val="auto"/>
          <w:sz w:val="32"/>
          <w:szCs w:val="32"/>
          <w:highlight w:val="none"/>
          <w:lang w:eastAsia="zh-CN"/>
        </w:rPr>
        <w:t>锅炉烟气执行</w:t>
      </w:r>
      <w:r>
        <w:rPr>
          <w:rFonts w:hint="eastAsia" w:ascii="仿宋_GB2312" w:hAnsi="仿宋_GB2312" w:eastAsia="仿宋_GB2312" w:cs="仿宋_GB2312"/>
          <w:color w:val="auto"/>
          <w:sz w:val="32"/>
          <w:szCs w:val="32"/>
          <w:highlight w:val="none"/>
        </w:rPr>
        <w:t>《锅炉大气污染物排放标准》（GB13271-2014）</w:t>
      </w:r>
      <w:r>
        <w:rPr>
          <w:rFonts w:hint="eastAsia" w:ascii="仿宋_GB2312" w:hAnsi="仿宋_GB2312" w:eastAsia="仿宋_GB2312" w:cs="仿宋_GB2312"/>
          <w:color w:val="auto"/>
          <w:sz w:val="32"/>
          <w:szCs w:val="32"/>
          <w:highlight w:val="none"/>
          <w:lang w:eastAsia="zh-CN"/>
        </w:rPr>
        <w:t>标准。</w:t>
      </w:r>
      <w:r>
        <w:rPr>
          <w:rFonts w:hint="eastAsia" w:ascii="仿宋_GB2312" w:hAnsi="仿宋_GB2312" w:eastAsia="仿宋_GB2312" w:cs="仿宋_GB2312"/>
          <w:color w:val="auto"/>
          <w:sz w:val="32"/>
          <w:szCs w:val="32"/>
          <w:highlight w:val="none"/>
        </w:rPr>
        <w:t>技改后原煤储存依托现有储煤间，现有储煤间封闭结构，原煤间无组织控制措施不变；灰渣依托现有封闭灰渣库，锅炉炉渣拌湿后运至现有灰渣库，粉煤灰通过刮板输送装置输送至现有灰渣库，灰渣库上方设置喷雾降尘措施；石灰粉仍依托现有石灰仓，仓顶设仓顶除尘器。依托现有的输煤廊道为封闭结构。厂界无组织颗粒物排放</w:t>
      </w:r>
      <w:r>
        <w:rPr>
          <w:rFonts w:hint="eastAsia" w:ascii="仿宋_GB2312" w:hAnsi="仿宋_GB2312" w:cs="仿宋_GB2312"/>
          <w:color w:val="auto"/>
          <w:sz w:val="32"/>
          <w:szCs w:val="32"/>
          <w:highlight w:val="none"/>
          <w:lang w:eastAsia="zh-CN"/>
        </w:rPr>
        <w:t>执行</w:t>
      </w:r>
      <w:r>
        <w:rPr>
          <w:rFonts w:hint="eastAsia" w:ascii="仿宋_GB2312" w:hAnsi="仿宋_GB2312" w:eastAsia="仿宋_GB2312" w:cs="仿宋_GB2312"/>
          <w:color w:val="auto"/>
          <w:sz w:val="32"/>
          <w:szCs w:val="32"/>
          <w:highlight w:val="none"/>
        </w:rPr>
        <w:t>《大气污染物综合排放标准》（GB16297-1996）标准</w:t>
      </w:r>
      <w:r>
        <w:rPr>
          <w:rFonts w:hint="eastAsia" w:ascii="仿宋_GB2312" w:hAnsi="仿宋_GB2312" w:cs="仿宋_GB2312"/>
          <w:color w:val="auto"/>
          <w:sz w:val="32"/>
          <w:szCs w:val="32"/>
          <w:highlight w:val="none"/>
          <w:lang w:eastAsia="zh-CN"/>
        </w:rPr>
        <w:t>。</w:t>
      </w:r>
    </w:p>
    <w:p w14:paraId="2074F7F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kern w:val="2"/>
          <w:sz w:val="32"/>
          <w:szCs w:val="32"/>
          <w:highlight w:val="yellow"/>
          <w:lang w:val="en-US" w:eastAsia="zh-CN" w:bidi="ar-SA"/>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t>（二）严格落实固体废物污染防治措施。</w:t>
      </w:r>
      <w:r>
        <w:rPr>
          <w:rFonts w:hint="eastAsia" w:ascii="仿宋_GB2312" w:hAnsi="仿宋_GB2312" w:eastAsia="仿宋_GB2312" w:cs="仿宋_GB2312"/>
          <w:color w:val="auto"/>
          <w:kern w:val="2"/>
          <w:sz w:val="32"/>
          <w:szCs w:val="32"/>
          <w:highlight w:val="none"/>
          <w:lang w:val="en-US" w:eastAsia="zh-CN" w:bidi="ar-SA"/>
        </w:rPr>
        <w:t>技改后一般固废种类及处理方式不变，一般固废产生量较技改前有所增加。炉渣全部拌湿、除尘灰、脱硫石膏暂存于灰渣库内，定期运至有资质单位处置；废离子交换树脂、废RO膜更换时厂内暂存定期外卖处理；尿素包装袋收集后外卖；废布袋可回收部分外卖处理，其余与生活垃圾一同处理。在线监测设施产生的废液、机修工作产生的废矿物油和废油桶属于危险废物，收集后暂存厂内危废暂存间，委托有资质单位处置。危废暂存间根据《危险废物贮存污染控制标准》（GB18597-2023）建设。</w:t>
      </w:r>
    </w:p>
    <w:p w14:paraId="0700835C">
      <w:pPr>
        <w:keepNext w:val="0"/>
        <w:keepLines w:val="0"/>
        <w:pageBreakBefore w:val="0"/>
        <w:widowControl w:val="0"/>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color w:val="000000" w:themeColor="text1"/>
          <w:kern w:val="2"/>
          <w:sz w:val="32"/>
          <w:szCs w:val="32"/>
          <w:highlight w:val="yellow"/>
          <w:lang w:val="en-US" w:eastAsia="zh-CN" w:bidi="ar-SA"/>
          <w14:textFill>
            <w14:solidFill>
              <w14:schemeClr w14:val="tx1"/>
            </w14:solidFill>
          </w14:textFill>
        </w:rPr>
      </w:pPr>
      <w:r>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t>（三）严格落实各项水污染防治措施。</w:t>
      </w:r>
      <w:r>
        <w:rPr>
          <w:rFonts w:hint="eastAsia" w:ascii="仿宋_GB2312" w:hAnsi="仿宋_GB2312" w:eastAsia="仿宋_GB2312" w:cs="仿宋_GB2312"/>
          <w:color w:val="auto"/>
          <w:kern w:val="2"/>
          <w:sz w:val="32"/>
          <w:szCs w:val="32"/>
          <w:highlight w:val="none"/>
          <w:lang w:val="en-US" w:eastAsia="zh-CN" w:bidi="ar-SA"/>
        </w:rPr>
        <w:t>本次技改项目废水主要为新增42MW锅炉的不定期排污水、软化水制备产生的浓水，另外为供暖锅炉每年清洗废水。软水制备废水排入脱硫水池作为脱硫用水补充水；锅炉排水排入脱硫水池作为脱硫用水补充水；清洗废水拌合灰渣，用于灰渣降尘用水；技改项目废水厂内循环利用不外排。</w:t>
      </w:r>
    </w:p>
    <w:p w14:paraId="0787EFC5">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en-US"/>
        </w:rPr>
      </w:pPr>
      <w:r>
        <w:rPr>
          <w:rFonts w:hint="eastAsia" w:ascii="楷体" w:hAnsi="楷体" w:eastAsia="楷体" w:cs="楷体"/>
          <w:color w:val="000000" w:themeColor="text1"/>
          <w:kern w:val="2"/>
          <w:sz w:val="32"/>
          <w:szCs w:val="32"/>
          <w:highlight w:val="none"/>
          <w:lang w:val="en-US" w:eastAsia="zh-CN" w:bidi="ar-SA"/>
          <w14:textFill>
            <w14:solidFill>
              <w14:schemeClr w14:val="tx1"/>
            </w14:solidFill>
          </w14:textFill>
        </w:rPr>
        <w:t>严格落实噪声防治措施。</w:t>
      </w:r>
      <w:r>
        <w:rPr>
          <w:rFonts w:hint="eastAsia" w:ascii="仿宋_GB2312" w:hAnsi="仿宋_GB2312" w:eastAsia="仿宋_GB2312" w:cs="仿宋_GB2312"/>
          <w:color w:val="000000" w:themeColor="text1"/>
          <w:sz w:val="32"/>
          <w:szCs w:val="32"/>
          <w:highlight w:val="none"/>
          <w:lang w:val="zh-TW" w:eastAsia="zh-CN" w:bidi="en-US"/>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val="zh-TW" w:eastAsia="zh-TW" w:bidi="en-US"/>
          <w14:textFill>
            <w14:solidFill>
              <w14:schemeClr w14:val="tx1"/>
            </w14:solidFill>
          </w14:textFill>
        </w:rPr>
        <w:t>主要设备为</w:t>
      </w:r>
      <w:r>
        <w:rPr>
          <w:rFonts w:hint="eastAsia" w:ascii="仿宋_GB2312" w:hAnsi="仿宋_GB2312" w:eastAsia="仿宋_GB2312" w:cs="仿宋_GB2312"/>
          <w:color w:val="auto"/>
          <w:kern w:val="2"/>
          <w:sz w:val="32"/>
          <w:szCs w:val="32"/>
          <w:highlight w:val="none"/>
          <w:lang w:val="en-US" w:eastAsia="zh-CN" w:bidi="ar-SA"/>
        </w:rPr>
        <w:t>循环水泵、变频补水泵、除尘器等</w:t>
      </w:r>
      <w:r>
        <w:rPr>
          <w:rFonts w:hint="eastAsia" w:ascii="仿宋_GB2312" w:hAnsi="仿宋_GB2312" w:eastAsia="仿宋_GB2312" w:cs="仿宋_GB2312"/>
          <w:color w:val="000000" w:themeColor="text1"/>
          <w:sz w:val="32"/>
          <w:szCs w:val="32"/>
          <w:highlight w:val="none"/>
          <w:lang w:val="zh-TW" w:eastAsia="zh-TW" w:bidi="en-US"/>
          <w14:textFill>
            <w14:solidFill>
              <w14:schemeClr w14:val="tx1"/>
            </w14:solidFill>
          </w14:textFill>
        </w:rPr>
        <w:t>，针对各设备噪声源特征使用消音、减振</w:t>
      </w:r>
      <w:r>
        <w:rPr>
          <w:rFonts w:hint="eastAsia" w:ascii="仿宋_GB2312" w:hAnsi="仿宋_GB2312" w:eastAsia="仿宋_GB2312" w:cs="仿宋_GB2312"/>
          <w:color w:val="000000" w:themeColor="text1"/>
          <w:sz w:val="32"/>
          <w:szCs w:val="32"/>
          <w:highlight w:val="none"/>
          <w:lang w:val="zh-TW" w:eastAsia="zh-CN" w:bidi="en-US"/>
          <w14:textFill>
            <w14:solidFill>
              <w14:schemeClr w14:val="tx1"/>
            </w14:solidFill>
          </w14:textFill>
        </w:rPr>
        <w:t>、合理布局</w:t>
      </w:r>
      <w:r>
        <w:rPr>
          <w:rFonts w:hint="eastAsia" w:ascii="仿宋_GB2312" w:hAnsi="仿宋_GB2312" w:eastAsia="仿宋_GB2312" w:cs="仿宋_GB2312"/>
          <w:color w:val="000000" w:themeColor="text1"/>
          <w:sz w:val="32"/>
          <w:szCs w:val="32"/>
          <w:highlight w:val="none"/>
          <w:lang w:val="zh-TW" w:eastAsia="zh-TW" w:bidi="en-US"/>
          <w14:textFill>
            <w14:solidFill>
              <w14:schemeClr w14:val="tx1"/>
            </w14:solidFill>
          </w14:textFill>
        </w:rPr>
        <w:t>等噪声治理措施，厂界噪声</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可</w:t>
      </w:r>
      <w:r>
        <w:rPr>
          <w:rFonts w:hint="eastAsia" w:ascii="仿宋_GB2312" w:hAnsi="仿宋_GB2312" w:eastAsia="仿宋_GB2312" w:cs="仿宋_GB2312"/>
          <w:color w:val="000000" w:themeColor="text1"/>
          <w:sz w:val="32"/>
          <w:szCs w:val="32"/>
          <w:highlight w:val="none"/>
          <w:lang w:val="zh-TW" w:eastAsia="zh-TW" w:bidi="en-US"/>
          <w14:textFill>
            <w14:solidFill>
              <w14:schemeClr w14:val="tx1"/>
            </w14:solidFill>
          </w14:textFill>
        </w:rPr>
        <w:t>满足《工业企业厂界环境噪声排放标准》(GB12348-2008)</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zh-TW" w:eastAsia="zh-TW" w:bidi="en-US"/>
          <w14:textFill>
            <w14:solidFill>
              <w14:schemeClr w14:val="tx1"/>
            </w14:solidFill>
          </w14:textFill>
        </w:rPr>
        <w:t>类标准限值。</w:t>
      </w:r>
    </w:p>
    <w:p w14:paraId="6C2936F3">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楷体" w:hAnsi="楷体" w:eastAsia="楷体" w:cs="楷体"/>
          <w:color w:val="auto"/>
          <w:kern w:val="2"/>
          <w:sz w:val="32"/>
          <w:szCs w:val="32"/>
          <w:highlight w:val="none"/>
          <w:lang w:val="en-US" w:eastAsia="zh-CN" w:bidi="en-US"/>
        </w:rPr>
        <w:t>强化各项环境风险防范措施。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按照规范要求存放风险物质；加强生产过程设备的管理与维修，防止跑、冒、滴、漏现象的发生；建立完善的环境管理制度和事故应急措施，制定切实可行的环境风险应急预案，加强对危废暂存间的管理；严格落实风险防范措施和应急预案，切实杜绝环境风险事故。</w:t>
      </w:r>
    </w:p>
    <w:p w14:paraId="518D70E2">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楷体" w:hAnsi="楷体" w:eastAsia="楷体" w:cs="楷体"/>
          <w:color w:val="auto"/>
          <w:sz w:val="32"/>
          <w:szCs w:val="32"/>
          <w:highlight w:val="none"/>
          <w:lang w:bidi="en-US"/>
        </w:rPr>
        <w:t>严格落实运营期污染源监测计划。</w:t>
      </w:r>
      <w:r>
        <w:rPr>
          <w:rFonts w:hint="eastAsia" w:ascii="仿宋_GB2312" w:hAnsi="仿宋_GB2312" w:eastAsia="仿宋_GB2312" w:cs="仿宋_GB2312"/>
          <w:color w:val="000000"/>
          <w:kern w:val="2"/>
          <w:sz w:val="32"/>
          <w:szCs w:val="32"/>
          <w:lang w:val="en-US" w:eastAsia="zh-CN" w:bidi="ar-SA"/>
        </w:rPr>
        <w:t>按照国家和地方有关规定设置规范的污染物排放口，并设立标志牌。按照相关标准、规范等要求，落实《报告书》提出的环境管理及监测计划。强化污染源与无组织排放源管理，制定自行监测方案，落实环境管理与监测计划，按规定开展自行监测和信息公开。各排气筒应按照规范要求预留永久性监测口和采样监测平台。如出现污染物超标排放情况，应立即查明原因并采取进一步污染物减排措施。</w:t>
      </w:r>
    </w:p>
    <w:p w14:paraId="23612A5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bidi="en-US"/>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72C03212">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bidi="en-US"/>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我局委托锡林郭勒盟生态环境局</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多伦县</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分局对该项目各项污染防治措施落实情况进行监督检查和管理。</w:t>
      </w:r>
    </w:p>
    <w:p w14:paraId="5CC478AC">
      <w:pPr>
        <w:keepNext w:val="0"/>
        <w:keepLines w:val="0"/>
        <w:pageBreakBefore w:val="0"/>
        <w:widowControl w:val="0"/>
        <w:kinsoku/>
        <w:wordWrap/>
        <w:overflowPunct/>
        <w:bidi w:val="0"/>
        <w:spacing w:line="520" w:lineRule="exact"/>
        <w:rPr>
          <w:rFonts w:hint="eastAsia" w:ascii="仿宋_GB2312" w:hAnsi="仿宋_GB2312" w:eastAsia="仿宋_GB2312" w:cs="仿宋_GB2312"/>
          <w:color w:val="000000" w:themeColor="text1"/>
          <w:sz w:val="32"/>
          <w:szCs w:val="32"/>
          <w:highlight w:val="none"/>
          <w14:textFill>
            <w14:solidFill>
              <w14:schemeClr w14:val="tx1"/>
            </w14:solidFill>
          </w14:textFill>
        </w:rPr>
      </w:pPr>
    </w:p>
    <w:p w14:paraId="5FF4F26F">
      <w:pPr>
        <w:keepNext w:val="0"/>
        <w:keepLines w:val="0"/>
        <w:pageBreakBefore w:val="0"/>
        <w:widowControl w:val="0"/>
        <w:kinsoku/>
        <w:wordWrap/>
        <w:overflowPunct/>
        <w:bidi w:val="0"/>
        <w:spacing w:line="520" w:lineRule="exact"/>
        <w:rPr>
          <w:rFonts w:hint="eastAsia"/>
          <w:color w:val="000000" w:themeColor="text1"/>
          <w:highlight w:val="none"/>
          <w14:textFill>
            <w14:solidFill>
              <w14:schemeClr w14:val="tx1"/>
            </w14:solidFill>
          </w14:textFill>
        </w:rPr>
      </w:pPr>
    </w:p>
    <w:p w14:paraId="5BD3EA96">
      <w:pPr>
        <w:keepNext w:val="0"/>
        <w:keepLines w:val="0"/>
        <w:pageBreakBefore w:val="0"/>
        <w:widowControl w:val="0"/>
        <w:kinsoku/>
        <w:wordWrap/>
        <w:overflowPunct/>
        <w:autoSpaceDE w:val="0"/>
        <w:autoSpaceDN w:val="0"/>
        <w:bidi w:val="0"/>
        <w:adjustRightInd w:val="0"/>
        <w:snapToGrid w:val="0"/>
        <w:spacing w:line="520" w:lineRule="exact"/>
        <w:ind w:firstLine="4160" w:firstLineChars="1300"/>
        <w:textAlignment w:val="auto"/>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锡林郭勒盟生态环境局</w:t>
      </w:r>
    </w:p>
    <w:p w14:paraId="06F8D0F1">
      <w:pPr>
        <w:keepNext w:val="0"/>
        <w:keepLines w:val="0"/>
        <w:pageBreakBefore w:val="0"/>
        <w:widowControl w:val="0"/>
        <w:kinsoku/>
        <w:wordWrap/>
        <w:overflowPunct/>
        <w:autoSpaceDE w:val="0"/>
        <w:autoSpaceDN w:val="0"/>
        <w:bidi w:val="0"/>
        <w:adjustRightInd w:val="0"/>
        <w:snapToGrid w:val="0"/>
        <w:spacing w:line="520" w:lineRule="exact"/>
        <w:ind w:firstLine="4800" w:firstLineChars="1500"/>
        <w:textAlignment w:val="auto"/>
        <w:rPr>
          <w:rFonts w:hint="eastAsia" w:ascii="仿宋" w:hAnsi="仿宋" w:eastAsia="仿宋" w:cs="仿宋"/>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11</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bidi="en-US"/>
          <w14:textFill>
            <w14:solidFill>
              <w14:schemeClr w14:val="tx1"/>
            </w14:solidFill>
          </w14:textFill>
        </w:rPr>
        <w:t>19</w:t>
      </w:r>
      <w:r>
        <w:rPr>
          <w:rFonts w:hint="eastAsia" w:ascii="仿宋_GB2312" w:hAnsi="仿宋_GB2312" w:eastAsia="仿宋_GB2312" w:cs="仿宋_GB2312"/>
          <w:color w:val="000000" w:themeColor="text1"/>
          <w:sz w:val="32"/>
          <w:szCs w:val="32"/>
          <w:highlight w:val="none"/>
          <w:lang w:bidi="en-US"/>
          <w14:textFill>
            <w14:solidFill>
              <w14:schemeClr w14:val="tx1"/>
            </w14:solidFill>
          </w14:textFill>
        </w:rPr>
        <w:t>日</w:t>
      </w:r>
    </w:p>
    <w:p w14:paraId="55B3D1AA">
      <w:pPr>
        <w:pStyle w:val="17"/>
        <w:keepNext w:val="0"/>
        <w:keepLines w:val="0"/>
        <w:pageBreakBefore w:val="0"/>
        <w:widowControl w:val="0"/>
        <w:kinsoku/>
        <w:wordWrap/>
        <w:overflowPunct/>
        <w:bidi w:val="0"/>
        <w:spacing w:line="520" w:lineRule="exact"/>
        <w:rPr>
          <w:rFonts w:hint="eastAsia" w:ascii="仿宋" w:hAnsi="仿宋" w:eastAsia="仿宋" w:cs="仿宋"/>
          <w:color w:val="000000" w:themeColor="text1"/>
          <w:highlight w:val="none"/>
          <w14:textFill>
            <w14:solidFill>
              <w14:schemeClr w14:val="tx1"/>
            </w14:solidFill>
          </w14:textFill>
        </w:rPr>
      </w:pPr>
    </w:p>
    <w:p w14:paraId="5CE13D44">
      <w:pPr>
        <w:pStyle w:val="17"/>
        <w:keepNext w:val="0"/>
        <w:keepLines w:val="0"/>
        <w:pageBreakBefore w:val="0"/>
        <w:widowControl w:val="0"/>
        <w:kinsoku/>
        <w:wordWrap/>
        <w:overflowPunct/>
        <w:topLinePunct w:val="0"/>
        <w:bidi w:val="0"/>
        <w:snapToGrid/>
        <w:spacing w:line="520" w:lineRule="exact"/>
        <w:jc w:val="both"/>
        <w:textAlignment w:val="auto"/>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pPr>
      <w:r>
        <w:rPr>
          <w:rFonts w:hint="eastAsia" w:ascii="仿宋" w:hAnsi="仿宋" w:eastAsia="仿宋" w:cs="仿宋"/>
          <w:color w:val="000000" w:themeColor="text1"/>
          <w:kern w:val="2"/>
          <w:sz w:val="28"/>
          <w:szCs w:val="28"/>
          <w:highlight w:val="none"/>
          <w:lang w:bidi="en-US"/>
          <w14:textFill>
            <w14:solidFill>
              <w14:schemeClr w14:val="tx1"/>
            </w14:solidFill>
          </w14:textFill>
        </w:rPr>
        <w:t>抄送：盟生态环境综合行政执法支队</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w:t>
      </w:r>
      <w:r>
        <w:rPr>
          <w:rFonts w:hint="eastAsia" w:ascii="仿宋" w:hAnsi="仿宋" w:eastAsia="仿宋" w:cs="仿宋"/>
          <w:color w:val="000000" w:themeColor="text1"/>
          <w:kern w:val="2"/>
          <w:sz w:val="28"/>
          <w:szCs w:val="28"/>
          <w:highlight w:val="none"/>
          <w:lang w:bidi="en-US"/>
          <w14:textFill>
            <w14:solidFill>
              <w14:schemeClr w14:val="tx1"/>
            </w14:solidFill>
          </w14:textFill>
        </w:rPr>
        <w:t>盟生态环境</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局</w:t>
      </w:r>
      <w:r>
        <w:rPr>
          <w:rFonts w:hint="eastAsia" w:ascii="仿宋" w:hAnsi="仿宋" w:eastAsia="仿宋" w:cs="仿宋"/>
          <w:color w:val="000000" w:themeColor="text1"/>
          <w:kern w:val="2"/>
          <w:sz w:val="28"/>
          <w:szCs w:val="28"/>
          <w:highlight w:val="none"/>
          <w:lang w:val="en-US" w:eastAsia="zh-CN" w:bidi="en-US"/>
          <w14:textFill>
            <w14:solidFill>
              <w14:schemeClr w14:val="tx1"/>
            </w14:solidFill>
          </w14:textFill>
        </w:rPr>
        <w:t>多伦县分局</w:t>
      </w:r>
    </w:p>
    <w:p w14:paraId="014EAE89">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20" w:lineRule="exac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锡林郭勒盟生态环境局办公室             202</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19</w:t>
      </w:r>
      <w:r>
        <w:rPr>
          <w:rFonts w:hint="eastAsia" w:ascii="仿宋" w:hAnsi="仿宋" w:eastAsia="仿宋" w:cs="仿宋"/>
          <w:color w:val="000000" w:themeColor="text1"/>
          <w:sz w:val="28"/>
          <w:szCs w:val="28"/>
          <w:highlight w:val="none"/>
          <w14:textFill>
            <w14:solidFill>
              <w14:schemeClr w14:val="tx1"/>
            </w14:solidFill>
          </w14:textFill>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E412D">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50A0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E850A0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940A54"/>
    <w:multiLevelType w:val="singleLevel"/>
    <w:tmpl w:val="4B940A54"/>
    <w:lvl w:ilvl="0" w:tentative="0">
      <w:start w:val="4"/>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4082137"/>
    <w:rsid w:val="064265FE"/>
    <w:rsid w:val="07B436A2"/>
    <w:rsid w:val="07E80A5E"/>
    <w:rsid w:val="08125FE6"/>
    <w:rsid w:val="09866978"/>
    <w:rsid w:val="09F707CE"/>
    <w:rsid w:val="0C7A4895"/>
    <w:rsid w:val="0D6D6C1D"/>
    <w:rsid w:val="0EE27BE5"/>
    <w:rsid w:val="12DA6EB3"/>
    <w:rsid w:val="134A4ECA"/>
    <w:rsid w:val="1ABE32D5"/>
    <w:rsid w:val="1B5543FC"/>
    <w:rsid w:val="1C873B06"/>
    <w:rsid w:val="1D61177E"/>
    <w:rsid w:val="1F9C573C"/>
    <w:rsid w:val="25C45CCE"/>
    <w:rsid w:val="27B80082"/>
    <w:rsid w:val="297A1B3E"/>
    <w:rsid w:val="29D8150D"/>
    <w:rsid w:val="2CBC077F"/>
    <w:rsid w:val="2CF929A0"/>
    <w:rsid w:val="2DFD607A"/>
    <w:rsid w:val="2F1F3E8C"/>
    <w:rsid w:val="2F6915D5"/>
    <w:rsid w:val="2F7E7F6E"/>
    <w:rsid w:val="31255C7D"/>
    <w:rsid w:val="33327BDA"/>
    <w:rsid w:val="349F5B8C"/>
    <w:rsid w:val="36604982"/>
    <w:rsid w:val="3A963E04"/>
    <w:rsid w:val="3FC419CD"/>
    <w:rsid w:val="46B26845"/>
    <w:rsid w:val="474C1E32"/>
    <w:rsid w:val="48252DD1"/>
    <w:rsid w:val="4A3B72B4"/>
    <w:rsid w:val="56990422"/>
    <w:rsid w:val="5A1D0200"/>
    <w:rsid w:val="5B1C2265"/>
    <w:rsid w:val="5CAF2C65"/>
    <w:rsid w:val="5F626BFA"/>
    <w:rsid w:val="65980358"/>
    <w:rsid w:val="67927E4C"/>
    <w:rsid w:val="68387D94"/>
    <w:rsid w:val="6A793230"/>
    <w:rsid w:val="6E1A4AAF"/>
    <w:rsid w:val="70EA0941"/>
    <w:rsid w:val="78CC1696"/>
    <w:rsid w:val="7CE53CE8"/>
    <w:rsid w:val="7F6C2C5A"/>
    <w:rsid w:val="7FD62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autoRedefine/>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1]正文"/>
    <w:basedOn w:val="1"/>
    <w:autoRedefine/>
    <w:qFormat/>
    <w:uiPriority w:val="0"/>
    <w:pPr>
      <w:widowControl/>
      <w:snapToGrid w:val="0"/>
      <w:jc w:val="left"/>
    </w:pPr>
    <w:rPr>
      <w:szCs w:val="28"/>
      <w:lang w:val="zh-CN"/>
    </w:rPr>
  </w:style>
  <w:style w:type="paragraph" w:styleId="4">
    <w:name w:val="Normal Indent"/>
    <w:basedOn w:val="1"/>
    <w:next w:val="1"/>
    <w:qFormat/>
    <w:uiPriority w:val="0"/>
    <w:pPr>
      <w:ind w:firstLine="420" w:firstLineChars="200"/>
    </w:pPr>
    <w:rPr>
      <w:rFonts w:ascii="Times New Roman" w:hAnsi="Times New Roman" w:eastAsia="宋体"/>
      <w:szCs w:val="24"/>
    </w:rPr>
  </w:style>
  <w:style w:type="paragraph" w:styleId="5">
    <w:name w:val="annotation text"/>
    <w:basedOn w:val="1"/>
    <w:link w:val="26"/>
    <w:semiHidden/>
    <w:unhideWhenUsed/>
    <w:qFormat/>
    <w:uiPriority w:val="99"/>
    <w:pPr>
      <w:jc w:val="left"/>
    </w:pPr>
  </w:style>
  <w:style w:type="paragraph" w:styleId="6">
    <w:name w:val="Body Text Indent"/>
    <w:basedOn w:val="1"/>
    <w:next w:val="1"/>
    <w:autoRedefine/>
    <w:qFormat/>
    <w:uiPriority w:val="0"/>
    <w:pPr>
      <w:spacing w:after="120"/>
      <w:ind w:left="420" w:leftChars="200"/>
    </w:pPr>
    <w:rPr>
      <w:rFonts w:ascii="Times New Roman" w:hAnsi="Times New Roman" w:eastAsia="宋体" w:cs="Times New Roman"/>
      <w:szCs w:val="20"/>
    </w:rPr>
  </w:style>
  <w:style w:type="paragraph" w:styleId="7">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tabs>
        <w:tab w:val="left" w:pos="284"/>
        <w:tab w:val="right" w:leader="dot" w:pos="8296"/>
      </w:tabs>
    </w:pPr>
  </w:style>
  <w:style w:type="paragraph" w:styleId="10">
    <w:name w:val="annotation subject"/>
    <w:basedOn w:val="5"/>
    <w:next w:val="5"/>
    <w:link w:val="27"/>
    <w:autoRedefine/>
    <w:semiHidden/>
    <w:unhideWhenUsed/>
    <w:qFormat/>
    <w:uiPriority w:val="99"/>
    <w:rPr>
      <w:b/>
      <w:bCs/>
    </w:rPr>
  </w:style>
  <w:style w:type="paragraph" w:styleId="11">
    <w:name w:val="Body Text First Indent 2"/>
    <w:basedOn w:val="6"/>
    <w:next w:val="1"/>
    <w:autoRedefine/>
    <w:qFormat/>
    <w:uiPriority w:val="0"/>
    <w:pPr>
      <w:adjustRightInd w:val="0"/>
      <w:ind w:firstLine="420"/>
      <w:textAlignment w:val="baseline"/>
    </w:pPr>
    <w:rPr>
      <w:rFonts w:ascii="宋体" w:hAnsi="宋体"/>
      <w:sz w:val="18"/>
      <w:szCs w:val="18"/>
    </w:rPr>
  </w:style>
  <w:style w:type="character" w:styleId="14">
    <w:name w:val="Hyperlink"/>
    <w:basedOn w:val="13"/>
    <w:autoRedefine/>
    <w:unhideWhenUsed/>
    <w:qFormat/>
    <w:uiPriority w:val="99"/>
    <w:rPr>
      <w:color w:val="0563C1" w:themeColor="hyperlink"/>
      <w:u w:val="single"/>
      <w14:textFill>
        <w14:solidFill>
          <w14:schemeClr w14:val="hlink"/>
        </w14:solidFill>
      </w14:textFill>
    </w:rPr>
  </w:style>
  <w:style w:type="character" w:styleId="15">
    <w:name w:val="annotation reference"/>
    <w:basedOn w:val="13"/>
    <w:autoRedefine/>
    <w:semiHidden/>
    <w:unhideWhenUsed/>
    <w:qFormat/>
    <w:uiPriority w:val="99"/>
    <w:rPr>
      <w:sz w:val="21"/>
      <w:szCs w:val="21"/>
    </w:rPr>
  </w:style>
  <w:style w:type="paragraph" w:customStyle="1" w:styleId="16">
    <w:name w:val="样式 正文文本缩进 + 行距: 1.5 倍行距"/>
    <w:basedOn w:val="1"/>
    <w:autoRedefine/>
    <w:qFormat/>
    <w:uiPriority w:val="0"/>
    <w:pPr>
      <w:spacing w:after="120" w:line="360" w:lineRule="auto"/>
      <w:ind w:left="90" w:leftChars="32" w:firstLine="560" w:firstLineChars="200"/>
    </w:pPr>
    <w:rPr>
      <w:rFonts w:ascii="Calibri" w:hAnsi="Calibri" w:cs="宋体"/>
      <w:szCs w:val="24"/>
    </w:rPr>
  </w:style>
  <w:style w:type="paragraph" w:customStyle="1" w:styleId="17">
    <w:name w:val="Default"/>
    <w:basedOn w:val="18"/>
    <w:autoRedefine/>
    <w:qFormat/>
    <w:uiPriority w:val="0"/>
    <w:pPr>
      <w:widowControl w:val="0"/>
      <w:tabs>
        <w:tab w:val="left" w:pos="0"/>
        <w:tab w:val="left" w:pos="7012"/>
      </w:tabs>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环保正文"/>
    <w:basedOn w:val="1"/>
    <w:qFormat/>
    <w:uiPriority w:val="99"/>
    <w:pPr>
      <w:tabs>
        <w:tab w:val="left" w:pos="0"/>
        <w:tab w:val="left" w:pos="7012"/>
      </w:tabs>
      <w:autoSpaceDE w:val="0"/>
      <w:autoSpaceDN w:val="0"/>
      <w:spacing w:line="360" w:lineRule="auto"/>
      <w:ind w:firstLine="200" w:firstLineChars="200"/>
    </w:pPr>
    <w:rPr>
      <w:rFonts w:ascii="Times New Roman"/>
    </w:rPr>
  </w:style>
  <w:style w:type="paragraph" w:customStyle="1" w:styleId="19">
    <w:name w:val="纯文本1"/>
    <w:basedOn w:val="1"/>
    <w:autoRedefine/>
    <w:qFormat/>
    <w:uiPriority w:val="0"/>
    <w:rPr>
      <w:rFonts w:ascii="宋体" w:hAnsi="Courier New"/>
      <w:szCs w:val="20"/>
    </w:rPr>
  </w:style>
  <w:style w:type="paragraph" w:customStyle="1" w:styleId="20">
    <w:name w:val="正文1"/>
    <w:basedOn w:val="17"/>
    <w:next w:val="1"/>
    <w:autoRedefine/>
    <w:qFormat/>
    <w:uiPriority w:val="0"/>
    <w:pPr>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21">
    <w:name w:val="未处理的提及1"/>
    <w:basedOn w:val="13"/>
    <w:autoRedefine/>
    <w:semiHidden/>
    <w:unhideWhenUsed/>
    <w:qFormat/>
    <w:uiPriority w:val="99"/>
    <w:rPr>
      <w:color w:val="605E5C"/>
      <w:shd w:val="clear" w:color="auto" w:fill="E1DFDD"/>
    </w:rPr>
  </w:style>
  <w:style w:type="character" w:customStyle="1" w:styleId="22">
    <w:name w:val="页眉 字符"/>
    <w:basedOn w:val="13"/>
    <w:link w:val="8"/>
    <w:autoRedefine/>
    <w:qFormat/>
    <w:uiPriority w:val="99"/>
    <w:rPr>
      <w:kern w:val="2"/>
      <w:sz w:val="18"/>
      <w:szCs w:val="18"/>
    </w:rPr>
  </w:style>
  <w:style w:type="paragraph" w:customStyle="1" w:styleId="23">
    <w:name w:val="表文"/>
    <w:basedOn w:val="1"/>
    <w:autoRedefine/>
    <w:qFormat/>
    <w:uiPriority w:val="0"/>
    <w:pPr>
      <w:overflowPunct w:val="0"/>
      <w:spacing w:line="440" w:lineRule="exact"/>
      <w:jc w:val="center"/>
      <w:textAlignment w:val="baseline"/>
    </w:pPr>
    <w:rPr>
      <w:rFonts w:ascii="Arial" w:hAnsi="Arial" w:eastAsia="宋体" w:cs="Times New Roman"/>
      <w:szCs w:val="20"/>
    </w:rPr>
  </w:style>
  <w:style w:type="paragraph" w:customStyle="1" w:styleId="24">
    <w:name w:val="样式 (符号) 宋体 小四 行距: 1.5 倍行距"/>
    <w:basedOn w:val="1"/>
    <w:autoRedefine/>
    <w:qFormat/>
    <w:uiPriority w:val="0"/>
    <w:pPr>
      <w:spacing w:line="360" w:lineRule="auto"/>
      <w:ind w:firstLine="200" w:firstLineChars="200"/>
    </w:pPr>
    <w:rPr>
      <w:rFonts w:ascii="Times New Roman" w:hAnsi="Times New Roman" w:eastAsia="宋体" w:cs="宋体"/>
      <w:sz w:val="24"/>
      <w:szCs w:val="24"/>
    </w:rPr>
  </w:style>
  <w:style w:type="paragraph" w:styleId="25">
    <w:name w:val="List Paragraph"/>
    <w:basedOn w:val="1"/>
    <w:autoRedefine/>
    <w:qFormat/>
    <w:uiPriority w:val="99"/>
    <w:pPr>
      <w:ind w:firstLine="420" w:firstLineChars="200"/>
    </w:pPr>
  </w:style>
  <w:style w:type="character" w:customStyle="1" w:styleId="26">
    <w:name w:val="批注文字 字符"/>
    <w:basedOn w:val="13"/>
    <w:link w:val="5"/>
    <w:autoRedefine/>
    <w:semiHidden/>
    <w:qFormat/>
    <w:uiPriority w:val="99"/>
    <w:rPr>
      <w:kern w:val="2"/>
      <w:sz w:val="21"/>
      <w:szCs w:val="22"/>
    </w:rPr>
  </w:style>
  <w:style w:type="character" w:customStyle="1" w:styleId="27">
    <w:name w:val="批注主题 字符"/>
    <w:basedOn w:val="26"/>
    <w:link w:val="10"/>
    <w:autoRedefine/>
    <w:semiHidden/>
    <w:qFormat/>
    <w:uiPriority w:val="99"/>
    <w:rPr>
      <w:b/>
      <w:bCs/>
      <w:kern w:val="2"/>
      <w:sz w:val="21"/>
      <w:szCs w:val="22"/>
    </w:rPr>
  </w:style>
  <w:style w:type="paragraph" w:customStyle="1" w:styleId="28">
    <w:name w:val="高-正文"/>
    <w:basedOn w:val="1"/>
    <w:autoRedefine/>
    <w:qFormat/>
    <w:uiPriority w:val="0"/>
    <w:pPr>
      <w:topLinePunct/>
      <w:adjustRightInd w:val="0"/>
      <w:snapToGrid w:val="0"/>
      <w:spacing w:line="480" w:lineRule="exact"/>
      <w:ind w:firstLine="600"/>
    </w:pPr>
    <w:rPr>
      <w:rFonts w:ascii="等线" w:hAnsi="等线" w:eastAsia="等线"/>
    </w:rPr>
  </w:style>
  <w:style w:type="paragraph" w:customStyle="1" w:styleId="29">
    <w:name w:val="环评正文"/>
    <w:basedOn w:val="20"/>
    <w:qFormat/>
    <w:uiPriority w:val="0"/>
    <w:pPr>
      <w:adjustRightInd w:val="0"/>
      <w:snapToGrid w:val="0"/>
    </w:pPr>
    <w:rPr>
      <w:rFonts w:asci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1856</Words>
  <Characters>1985</Characters>
  <Lines>19</Lines>
  <Paragraphs>5</Paragraphs>
  <TotalTime>1</TotalTime>
  <ScaleCrop>false</ScaleCrop>
  <LinksUpToDate>false</LinksUpToDate>
  <CharactersWithSpaces>1998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2023-01-30T09:32:00Z</dcterms:created>
  <dc:creator>hui hui</dc:creator>
  <cp:lastModifiedBy>ོʚ 中ོ然ོ ɞ</cp:lastModifiedBy>
  <cp:lastPrinted>2023-01-30T09:39:00Z</cp:lastPrinted>
  <dcterms:modified xsi:type="dcterms:W3CDTF">2024-11-18T14:05:42Z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4990396B170A4826AB673BDB764BB8B9_13</vt:lpwstr>
  </property>
</Properties>
</file>