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612B6">
      <w:pPr>
        <w:adjustRightInd w:val="0"/>
        <w:snapToGrid w:val="0"/>
        <w:spacing w:line="360" w:lineRule="auto"/>
        <w:jc w:val="center"/>
        <w:rPr>
          <w:b/>
          <w:bCs/>
          <w:sz w:val="32"/>
          <w:szCs w:val="32"/>
        </w:rPr>
      </w:pPr>
      <w:bookmarkStart w:id="0" w:name="_Hlk124747957"/>
    </w:p>
    <w:p w14:paraId="057E8264">
      <w:pPr>
        <w:adjustRightInd w:val="0"/>
        <w:snapToGrid w:val="0"/>
        <w:spacing w:line="360" w:lineRule="auto"/>
        <w:jc w:val="center"/>
        <w:rPr>
          <w:b/>
          <w:bCs/>
          <w:sz w:val="32"/>
          <w:szCs w:val="32"/>
        </w:rPr>
      </w:pPr>
    </w:p>
    <w:p w14:paraId="5A9AF1DC">
      <w:pPr>
        <w:pStyle w:val="3"/>
        <w:rPr>
          <w:b/>
          <w:bCs/>
          <w:sz w:val="32"/>
          <w:szCs w:val="32"/>
        </w:rPr>
      </w:pPr>
    </w:p>
    <w:p w14:paraId="754F25A7">
      <w:pPr>
        <w:rPr>
          <w:b/>
          <w:bCs/>
          <w:sz w:val="32"/>
          <w:szCs w:val="32"/>
        </w:rPr>
      </w:pPr>
    </w:p>
    <w:p w14:paraId="4A9578EF">
      <w:pPr>
        <w:pStyle w:val="3"/>
        <w:rPr>
          <w:b/>
          <w:bCs/>
          <w:sz w:val="32"/>
          <w:szCs w:val="32"/>
        </w:rPr>
      </w:pPr>
    </w:p>
    <w:p w14:paraId="279A8F48">
      <w:pPr>
        <w:rPr>
          <w:b/>
          <w:bCs/>
          <w:sz w:val="32"/>
          <w:szCs w:val="32"/>
        </w:rPr>
      </w:pPr>
    </w:p>
    <w:p w14:paraId="0B8B09F0">
      <w:pPr>
        <w:pStyle w:val="3"/>
        <w:rPr>
          <w:b/>
          <w:bCs/>
          <w:sz w:val="32"/>
          <w:szCs w:val="32"/>
        </w:rPr>
      </w:pPr>
    </w:p>
    <w:p w14:paraId="11F91515"/>
    <w:p w14:paraId="4A5658EA">
      <w:pPr>
        <w:pStyle w:val="3"/>
      </w:pPr>
    </w:p>
    <w:p w14:paraId="1794DC8A"/>
    <w:p w14:paraId="150EB807">
      <w:pPr>
        <w:autoSpaceDE w:val="0"/>
        <w:autoSpaceDN w:val="0"/>
        <w:adjustRightInd w:val="0"/>
        <w:snapToGrid w:val="0"/>
        <w:spacing w:line="560" w:lineRule="exact"/>
        <w:jc w:val="center"/>
        <w:rPr>
          <w:rFonts w:ascii="仿宋_GB2312" w:hAnsi="Times New Roman" w:eastAsia="仿宋_GB2312" w:cs="Arial"/>
          <w:color w:val="000000"/>
          <w:sz w:val="32"/>
          <w:szCs w:val="32"/>
          <w:lang w:bidi="en-US"/>
        </w:rPr>
      </w:pPr>
      <w:r>
        <w:rPr>
          <w:rFonts w:hint="eastAsia" w:ascii="仿宋_GB2312" w:hAnsi="Times New Roman" w:eastAsia="仿宋_GB2312" w:cs="Arial"/>
          <w:color w:val="000000"/>
          <w:sz w:val="32"/>
          <w:szCs w:val="32"/>
          <w:lang w:bidi="en-US"/>
        </w:rPr>
        <w:t>锡署环审书〔202</w:t>
      </w:r>
      <w:r>
        <w:rPr>
          <w:rFonts w:hint="eastAsia" w:ascii="仿宋_GB2312" w:hAnsi="Times New Roman" w:eastAsia="仿宋_GB2312" w:cs="Arial"/>
          <w:color w:val="000000"/>
          <w:sz w:val="32"/>
          <w:szCs w:val="32"/>
          <w:lang w:val="en-US" w:eastAsia="zh-CN" w:bidi="en-US"/>
        </w:rPr>
        <w:t>4</w:t>
      </w:r>
      <w:r>
        <w:rPr>
          <w:rFonts w:hint="eastAsia" w:ascii="仿宋_GB2312" w:hAnsi="Times New Roman" w:eastAsia="仿宋_GB2312" w:cs="Arial"/>
          <w:color w:val="000000"/>
          <w:sz w:val="32"/>
          <w:szCs w:val="32"/>
          <w:lang w:bidi="en-US"/>
        </w:rPr>
        <w:t>〕</w:t>
      </w:r>
      <w:r>
        <w:rPr>
          <w:rFonts w:hint="eastAsia" w:ascii="仿宋_GB2312" w:hAnsi="Times New Roman" w:eastAsia="仿宋_GB2312" w:cs="Arial"/>
          <w:color w:val="000000"/>
          <w:sz w:val="32"/>
          <w:szCs w:val="32"/>
          <w:lang w:val="en-US" w:eastAsia="zh-CN" w:bidi="en-US"/>
        </w:rPr>
        <w:t>40</w:t>
      </w:r>
      <w:r>
        <w:rPr>
          <w:rFonts w:hint="eastAsia" w:ascii="仿宋_GB2312" w:hAnsi="Times New Roman" w:eastAsia="仿宋_GB2312" w:cs="Arial"/>
          <w:color w:val="000000"/>
          <w:sz w:val="32"/>
          <w:szCs w:val="32"/>
          <w:lang w:bidi="en-US"/>
        </w:rPr>
        <w:t>号</w:t>
      </w:r>
    </w:p>
    <w:p w14:paraId="17683F43">
      <w:pPr>
        <w:keepNext w:val="0"/>
        <w:keepLines w:val="0"/>
        <w:pageBreakBefore w:val="0"/>
        <w:kinsoku/>
        <w:wordWrap/>
        <w:overflowPunct/>
        <w:topLinePunct w:val="0"/>
        <w:bidi w:val="0"/>
        <w:adjustRightInd w:val="0"/>
        <w:snapToGrid w:val="0"/>
        <w:spacing w:line="560" w:lineRule="exact"/>
        <w:ind w:firstLine="640" w:firstLineChars="200"/>
        <w:jc w:val="center"/>
        <w:rPr>
          <w:b/>
          <w:bCs/>
          <w:sz w:val="32"/>
          <w:szCs w:val="32"/>
        </w:rPr>
      </w:pPr>
    </w:p>
    <w:p w14:paraId="3D29D805">
      <w:pPr>
        <w:keepNext w:val="0"/>
        <w:keepLines w:val="0"/>
        <w:pageBreakBefore w:val="0"/>
        <w:widowControl/>
        <w:kinsoku/>
        <w:wordWrap/>
        <w:overflowPunct/>
        <w:topLinePunct w:val="0"/>
        <w:autoSpaceDE/>
        <w:autoSpaceDN/>
        <w:bidi w:val="0"/>
        <w:adjustRightInd/>
        <w:snapToGrid/>
        <w:spacing w:line="700" w:lineRule="exact"/>
        <w:jc w:val="center"/>
        <w:textAlignment w:val="baseline"/>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锡林郭勒盟生态环境局</w:t>
      </w:r>
    </w:p>
    <w:bookmarkEnd w:id="0"/>
    <w:p w14:paraId="596E6AF1">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val="en-US" w:eastAsia="zh-CN"/>
        </w:rPr>
        <w:t>内蒙古自治区锡林郭勒盟东乌珠穆沁旗生活垃圾及餐厨垃圾处理改建工程</w:t>
      </w:r>
    </w:p>
    <w:p w14:paraId="5D6918BB">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环境影响报告书的批复</w:t>
      </w:r>
    </w:p>
    <w:p w14:paraId="6A748DE1">
      <w:pPr>
        <w:keepNext w:val="0"/>
        <w:keepLines w:val="0"/>
        <w:pageBreakBefore w:val="0"/>
        <w:kinsoku/>
        <w:wordWrap/>
        <w:overflowPunct/>
        <w:topLinePunct w:val="0"/>
        <w:bidi w:val="0"/>
        <w:spacing w:line="560" w:lineRule="exact"/>
        <w:ind w:firstLine="420" w:firstLineChars="200"/>
      </w:pPr>
    </w:p>
    <w:p w14:paraId="0E12ECF0">
      <w:pPr>
        <w:keepNext w:val="0"/>
        <w:keepLines w:val="0"/>
        <w:pageBreakBefore w:val="0"/>
        <w:kinsoku/>
        <w:wordWrap/>
        <w:overflowPunct/>
        <w:topLinePunct w:val="0"/>
        <w:bidi w:val="0"/>
        <w:adjustRightInd/>
        <w:snapToGrid/>
        <w:spacing w:line="560" w:lineRule="exact"/>
        <w:ind w:left="0" w:lef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东乌珠穆沁旗蒙投环境工程有限公司：</w:t>
      </w:r>
    </w:p>
    <w:p w14:paraId="1AA84D9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你单位报送的《内蒙古自治区锡林郭勒盟东乌珠穆沁旗生活垃圾及餐厨垃圾处理改建工程</w:t>
      </w:r>
      <w:r>
        <w:rPr>
          <w:rFonts w:hint="eastAsia" w:ascii="仿宋_GB2312" w:hAnsi="仿宋_GB2312" w:eastAsia="仿宋_GB2312" w:cs="仿宋_GB2312"/>
          <w:color w:val="auto"/>
          <w:sz w:val="32"/>
          <w:szCs w:val="32"/>
          <w:lang w:val="en-US" w:eastAsia="zh-CN"/>
        </w:rPr>
        <w:t>环境影响报告书</w:t>
      </w:r>
      <w:r>
        <w:rPr>
          <w:rFonts w:hint="default" w:ascii="仿宋_GB2312" w:hAnsi="仿宋_GB2312" w:eastAsia="仿宋_GB2312" w:cs="仿宋_GB2312"/>
          <w:color w:val="auto"/>
          <w:sz w:val="32"/>
          <w:szCs w:val="32"/>
          <w:lang w:val="en-US" w:eastAsia="zh-CN"/>
        </w:rPr>
        <w:t>》（以下简称《报告书》）收悉。经研究，批复如下：</w:t>
      </w:r>
    </w:p>
    <w:p w14:paraId="1BA35BD5">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一、项目位于原东乌珠穆沁旗乌里雅斯太镇工业园区东南侧项目现有厂区内，中心坐标为N45°28'44.91"、E117°02'43.16"</w:t>
      </w:r>
      <w:r>
        <w:rPr>
          <w:rFonts w:hint="eastAsia" w:ascii="仿宋_GB2312" w:hAnsi="仿宋_GB2312" w:eastAsia="仿宋_GB2312" w:cs="仿宋_GB2312"/>
          <w:color w:val="000000"/>
          <w:sz w:val="32"/>
          <w:szCs w:val="32"/>
          <w:lang w:val="en-US" w:eastAsia="zh-CN" w:bidi="en-US"/>
        </w:rPr>
        <w:t>，总占地面积为19173.00m</w:t>
      </w:r>
      <w:r>
        <w:rPr>
          <w:rFonts w:hint="eastAsia" w:ascii="仿宋_GB2312" w:hAnsi="仿宋_GB2312" w:eastAsia="仿宋_GB2312" w:cs="仿宋_GB2312"/>
          <w:color w:val="000000"/>
          <w:sz w:val="32"/>
          <w:szCs w:val="32"/>
          <w:vertAlign w:val="superscript"/>
          <w:lang w:val="en-US" w:eastAsia="zh-CN" w:bidi="en-US"/>
        </w:rPr>
        <w:t>2</w:t>
      </w:r>
      <w:r>
        <w:rPr>
          <w:rFonts w:hint="eastAsia" w:ascii="仿宋_GB2312" w:hAnsi="仿宋_GB2312" w:eastAsia="仿宋_GB2312" w:cs="仿宋_GB2312"/>
          <w:color w:val="000000"/>
          <w:sz w:val="32"/>
          <w:szCs w:val="32"/>
          <w:lang w:val="en-US" w:eastAsia="zh-CN" w:bidi="en-US"/>
        </w:rPr>
        <w:t>。改建</w:t>
      </w:r>
      <w:r>
        <w:rPr>
          <w:rFonts w:hint="eastAsia" w:ascii="仿宋_GB2312" w:hAnsi="仿宋_GB2312" w:eastAsia="仿宋_GB2312" w:cs="仿宋_GB2312"/>
          <w:color w:val="auto"/>
          <w:sz w:val="32"/>
          <w:szCs w:val="32"/>
          <w:highlight w:val="none"/>
          <w:lang w:val="en-US" w:eastAsia="zh-CN"/>
        </w:rPr>
        <w:t>项目将原有工程生活垃圾碳化裂解系统改为机械炉排炉焚烧处理系统，原有餐厨垃圾处理系统不变，日处理生活垃圾100吨保持不变。</w:t>
      </w:r>
    </w:p>
    <w:p w14:paraId="3C56212C">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lang w:eastAsia="zh-CN" w:bidi="en-US"/>
        </w:rPr>
      </w:pPr>
      <w:r>
        <w:rPr>
          <w:rFonts w:hint="eastAsia" w:ascii="仿宋_GB2312" w:hAnsi="仿宋_GB2312" w:eastAsia="仿宋_GB2312" w:cs="仿宋_GB2312"/>
          <w:color w:val="000000"/>
          <w:sz w:val="32"/>
          <w:szCs w:val="32"/>
          <w:highlight w:val="none"/>
          <w:lang w:val="en-US" w:eastAsia="zh-CN" w:bidi="en-US"/>
        </w:rPr>
        <w:t>经锡林郭勒盟生态环境局东乌旗分局综合执法大队认定该项目属于未批先建违法行为。2024年11月15日东乌旗分局出具《关于内蒙古自治区锡林郭勒盟东乌珠穆沁旗生活垃圾及餐厨垃圾处理改建工程免于处罚的决定》(东环发[2024]111号)。《报告书》认为，在全面落实各项生态保护和污</w:t>
      </w:r>
      <w:r>
        <w:rPr>
          <w:rFonts w:hint="eastAsia" w:ascii="仿宋_GB2312" w:hAnsi="仿宋_GB2312" w:eastAsia="仿宋_GB2312" w:cs="仿宋_GB2312"/>
          <w:color w:val="000000"/>
          <w:sz w:val="32"/>
          <w:szCs w:val="32"/>
          <w:lang w:bidi="en-US"/>
        </w:rPr>
        <w:t>染防治措施的前提下，项目建设对环境的不利影响能够得到一定的缓解和控制。因此，我局原则同意本项目按照《报告书》所列的建设项目性质、规模、地点和拟采取的污染防治措施及下述要求进行建设。</w:t>
      </w:r>
    </w:p>
    <w:p w14:paraId="237A78B7">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二、项目在设计、建设和运营过程中还应做好以下工作。</w:t>
      </w:r>
    </w:p>
    <w:p w14:paraId="4F7AAA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bidi="en-US"/>
        </w:rPr>
      </w:pPr>
      <w:r>
        <w:rPr>
          <w:rFonts w:hint="eastAsia" w:ascii="楷体" w:hAnsi="楷体" w:eastAsia="楷体" w:cs="楷体"/>
          <w:color w:val="auto"/>
          <w:sz w:val="32"/>
          <w:szCs w:val="32"/>
          <w:highlight w:val="none"/>
          <w:lang w:val="en-US" w:eastAsia="zh-CN" w:bidi="en-US"/>
        </w:rPr>
        <w:t>（一）严格落实各项大气污染防治措施。</w:t>
      </w:r>
      <w:r>
        <w:rPr>
          <w:rFonts w:hint="eastAsia" w:ascii="仿宋_GB2312" w:hAnsi="仿宋_GB2312" w:eastAsia="仿宋_GB2312" w:cs="仿宋_GB2312"/>
          <w:b w:val="0"/>
          <w:bCs w:val="0"/>
          <w:color w:val="auto"/>
          <w:kern w:val="2"/>
          <w:sz w:val="32"/>
          <w:szCs w:val="32"/>
          <w:highlight w:val="none"/>
          <w:lang w:val="en-US" w:eastAsia="zh-CN" w:bidi="en-US"/>
        </w:rPr>
        <w:t>焚烧炉烟气采用“SNCR炉内脱硝+急冷半干法脱酸+消石灰干法脱酸+活性炭吸附+布袋除尘”净化工艺，经过净化后的烟气通过烟囱排放，其污染物排放满足《生活垃圾焚烧污染控制标准》（GB18485-2014）相应限值要求。分选车间、堆肥车间及餐厨垃圾处理车间产生的有组织排放恶臭气体通过设置集气系统、“碱喷淋塔+光氧活性炭一体机”等除臭设施处理后经排气筒排放，餐厨垃圾处理车间产生的有组织排放恶臭气体通过设置集气系统、生物除臭液+碱喷淋塔除臭设施处理后经排气筒排放，其污染物排放满足《恶臭污染物排放标准》（GB14554-93）表2相应限值要求；无组织排放恶臭气体通过在生产车间出、入口大门处设计空气帘、自动门，对污水处理设施构筑物进行密闭，在厂区内周边种植绿化隔离带等措施处理后，其排放浓度满足《恶臭污染物排放标准》（GB14554-1993）中相应限值要求。</w:t>
      </w:r>
    </w:p>
    <w:p w14:paraId="317FF907">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000000"/>
          <w:sz w:val="32"/>
          <w:szCs w:val="32"/>
          <w:highlight w:val="none"/>
          <w:lang w:val="en-US" w:eastAsia="zh-CN" w:bidi="en-US"/>
        </w:rPr>
        <w:t>（二）严格落实固体废物污染防治措施。</w:t>
      </w:r>
      <w:r>
        <w:rPr>
          <w:rFonts w:hint="eastAsia" w:ascii="仿宋_GB2312" w:hAnsi="仿宋_GB2312" w:eastAsia="仿宋_GB2312" w:cs="仿宋_GB2312"/>
          <w:color w:val="000000"/>
          <w:sz w:val="32"/>
          <w:szCs w:val="32"/>
          <w:highlight w:val="none"/>
          <w:lang w:val="en-US" w:eastAsia="zh-CN" w:bidi="en-US"/>
        </w:rPr>
        <w:t>炉渣暂存于</w:t>
      </w:r>
      <w:r>
        <w:rPr>
          <w:rFonts w:hint="eastAsia" w:ascii="仿宋_GB2312" w:hAnsi="仿宋_GB2312" w:eastAsia="仿宋_GB2312" w:cs="仿宋_GB2312"/>
          <w:color w:val="auto"/>
          <w:kern w:val="2"/>
          <w:sz w:val="32"/>
          <w:szCs w:val="32"/>
          <w:highlight w:val="none"/>
          <w:lang w:val="en-US" w:eastAsia="zh-CN" w:bidi="en-US"/>
        </w:rPr>
        <w:t>渣库</w:t>
      </w:r>
      <w:r>
        <w:rPr>
          <w:rFonts w:hint="eastAsia" w:ascii="仿宋_GB2312" w:hAnsi="仿宋_GB2312" w:eastAsia="仿宋_GB2312" w:cs="仿宋_GB2312"/>
          <w:color w:val="000000"/>
          <w:sz w:val="32"/>
          <w:szCs w:val="32"/>
          <w:highlight w:val="none"/>
          <w:lang w:val="en-US" w:eastAsia="zh-CN" w:bidi="en-US"/>
        </w:rPr>
        <w:t>，</w:t>
      </w:r>
      <w:r>
        <w:rPr>
          <w:rFonts w:hint="eastAsia" w:ascii="仿宋_GB2312" w:hAnsi="仿宋_GB2312" w:eastAsia="仿宋_GB2312" w:cs="仿宋_GB2312"/>
          <w:color w:val="auto"/>
          <w:kern w:val="2"/>
          <w:sz w:val="32"/>
          <w:szCs w:val="32"/>
          <w:highlight w:val="none"/>
          <w:lang w:val="en-US" w:eastAsia="zh-CN" w:bidi="en-US"/>
        </w:rPr>
        <w:t>堆肥车间不可发酵物在车间专用区域临时堆存，</w:t>
      </w:r>
      <w:r>
        <w:rPr>
          <w:rFonts w:hint="eastAsia" w:ascii="仿宋_GB2312" w:hAnsi="仿宋_GB2312" w:eastAsia="仿宋_GB2312" w:cs="仿宋_GB2312"/>
          <w:color w:val="000000"/>
          <w:sz w:val="32"/>
          <w:szCs w:val="32"/>
          <w:highlight w:val="none"/>
          <w:lang w:val="en-US" w:eastAsia="zh-CN" w:bidi="en-US"/>
        </w:rPr>
        <w:t>定期运输至指定处置单位综合利用</w:t>
      </w:r>
      <w:r>
        <w:rPr>
          <w:rFonts w:hint="eastAsia" w:ascii="仿宋_GB2312" w:hAnsi="仿宋_GB2312" w:eastAsia="仿宋_GB2312" w:cs="仿宋_GB2312"/>
          <w:color w:val="auto"/>
          <w:kern w:val="2"/>
          <w:sz w:val="32"/>
          <w:szCs w:val="32"/>
          <w:highlight w:val="none"/>
          <w:lang w:val="en-US" w:eastAsia="zh-CN" w:bidi="en-US"/>
        </w:rPr>
        <w:t>；餐厨垃圾处理车间产生的不可发酵物，日产日清，每天送分选车间进行处理；油水分离产出的粗油脂采用专用油脂桶盛放于餐厨车间专用区域内，定期外运集中处理；污水处理站运行过程中产生的污泥，日产日清送堆肥车间堆肥处理。飞灰暂存于危废暂存间，定期交由有资质单位进行处理；破碎布袋、废活性炭、废机油暂存危废暂存间，定期交由有资质单位进行处理。危废暂存间的建设及设计满足《危险废物贮存污染控制标准》（GB18597-2023）要求。</w:t>
      </w:r>
    </w:p>
    <w:p w14:paraId="64606D5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bidi="en-US"/>
        </w:rPr>
      </w:pPr>
      <w:r>
        <w:rPr>
          <w:rFonts w:hint="eastAsia" w:ascii="楷体" w:hAnsi="楷体" w:eastAsia="楷体" w:cs="楷体"/>
          <w:color w:val="000000"/>
          <w:sz w:val="32"/>
          <w:szCs w:val="32"/>
          <w:highlight w:val="none"/>
          <w:lang w:val="en-US" w:eastAsia="zh-CN" w:bidi="en-US"/>
        </w:rPr>
        <w:t>（三）严格落实各项水污染防治措施。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化学水处理系统排水、生活垃圾渗滤液、锅炉排污水、餐厨垃圾含油废水均排入场区污水处理站统一处</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理后排入东乌珠穆沁旗乌里雅斯太镇污水处理厂</w:t>
      </w:r>
      <w:r>
        <w:rPr>
          <w:rFonts w:hint="eastAsia" w:ascii="仿宋_GB2312" w:hAnsi="仿宋_GB2312" w:eastAsia="仿宋_GB2312" w:cs="仿宋_GB2312"/>
          <w:b w:val="0"/>
          <w:bCs w:val="0"/>
          <w:color w:val="auto"/>
          <w:kern w:val="2"/>
          <w:sz w:val="32"/>
          <w:szCs w:val="32"/>
          <w:highlight w:val="none"/>
          <w:lang w:val="en-US" w:eastAsia="zh-CN" w:bidi="en-US"/>
        </w:rPr>
        <w:t>，循环冷却水排水回用于道路洒水抑尘。生活污水排入场区化粪池</w:t>
      </w:r>
      <w:r>
        <w:rPr>
          <w:rFonts w:hint="eastAsia" w:ascii="仿宋_GB2312" w:hAnsi="仿宋_GB2312" w:eastAsia="仿宋_GB2312" w:cs="仿宋_GB2312"/>
          <w:color w:val="auto"/>
          <w:kern w:val="2"/>
          <w:sz w:val="32"/>
          <w:szCs w:val="32"/>
          <w:highlight w:val="none"/>
          <w:lang w:val="en-US" w:eastAsia="zh-CN" w:bidi="en-US"/>
        </w:rPr>
        <w:t xml:space="preserve">后抽运至东乌珠穆沁旗乌里雅斯太镇污水处理厂。外排废水污染物排放满足《污水综合排放标准》（GB8978-1996）三级标准限值。 </w:t>
      </w:r>
    </w:p>
    <w:p w14:paraId="3F538998">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楷体" w:hAnsi="楷体" w:eastAsia="楷体" w:cs="楷体"/>
          <w:color w:val="000000"/>
          <w:sz w:val="32"/>
          <w:szCs w:val="32"/>
          <w:highlight w:val="none"/>
          <w:lang w:bidi="en-US"/>
        </w:rPr>
        <w:t>（四）严格落实噪声防治措施。</w:t>
      </w:r>
      <w:r>
        <w:rPr>
          <w:rFonts w:hint="eastAsia" w:ascii="仿宋_GB2312" w:hAnsi="仿宋_GB2312" w:eastAsia="仿宋_GB2312" w:cs="仿宋_GB2312"/>
          <w:color w:val="000000"/>
          <w:sz w:val="32"/>
          <w:szCs w:val="32"/>
          <w:highlight w:val="none"/>
          <w:lang w:bidi="en-US"/>
        </w:rPr>
        <w:t>优先选用低噪声设备，优化高噪声设备布局，采取消声、隔声、减振、屏蔽等降噪措施，确保厂界噪声满足《工业企业厂界环境噪声排放标准》</w:t>
      </w:r>
      <w:r>
        <w:rPr>
          <w:rFonts w:hint="eastAsia" w:ascii="仿宋_GB2312" w:hAnsi="仿宋_GB2312" w:eastAsia="仿宋_GB2312" w:cs="仿宋_GB2312"/>
          <w:color w:val="000000"/>
          <w:sz w:val="32"/>
          <w:szCs w:val="32"/>
          <w:highlight w:val="none"/>
          <w:lang w:eastAsia="zh-CN" w:bidi="en-US"/>
        </w:rPr>
        <w:t>（</w:t>
      </w:r>
      <w:bookmarkStart w:id="1" w:name="_GoBack"/>
      <w:bookmarkEnd w:id="1"/>
      <w:r>
        <w:rPr>
          <w:rFonts w:hint="eastAsia" w:ascii="仿宋_GB2312" w:hAnsi="仿宋_GB2312" w:eastAsia="仿宋_GB2312" w:cs="仿宋_GB2312"/>
          <w:color w:val="000000"/>
          <w:sz w:val="32"/>
          <w:szCs w:val="32"/>
          <w:highlight w:val="none"/>
          <w:lang w:bidi="en-US"/>
        </w:rPr>
        <w:t>GB12348-2008</w:t>
      </w:r>
      <w:r>
        <w:rPr>
          <w:rFonts w:hint="eastAsia" w:ascii="仿宋_GB2312" w:hAnsi="仿宋_GB2312" w:eastAsia="仿宋_GB2312" w:cs="仿宋_GB2312"/>
          <w:color w:val="000000"/>
          <w:sz w:val="32"/>
          <w:szCs w:val="32"/>
          <w:highlight w:val="none"/>
          <w:lang w:eastAsia="zh-CN" w:bidi="en-US"/>
        </w:rPr>
        <w:t>）</w:t>
      </w:r>
      <w:r>
        <w:rPr>
          <w:rFonts w:hint="eastAsia" w:ascii="仿宋_GB2312" w:hAnsi="仿宋_GB2312" w:eastAsia="仿宋_GB2312" w:cs="仿宋_GB2312"/>
          <w:color w:val="000000"/>
          <w:sz w:val="32"/>
          <w:szCs w:val="32"/>
          <w:highlight w:val="none"/>
          <w:lang w:bidi="en-US"/>
        </w:rPr>
        <w:t>中</w:t>
      </w:r>
      <w:r>
        <w:rPr>
          <w:rFonts w:hint="eastAsia" w:ascii="仿宋_GB2312" w:hAnsi="仿宋_GB2312" w:eastAsia="仿宋_GB2312" w:cs="仿宋_GB2312"/>
          <w:color w:val="000000"/>
          <w:sz w:val="32"/>
          <w:szCs w:val="32"/>
          <w:highlight w:val="none"/>
          <w:lang w:val="en-US" w:eastAsia="zh-CN" w:bidi="en-US"/>
        </w:rPr>
        <w:t>3</w:t>
      </w:r>
      <w:r>
        <w:rPr>
          <w:rFonts w:hint="eastAsia" w:ascii="仿宋_GB2312" w:hAnsi="仿宋_GB2312" w:eastAsia="仿宋_GB2312" w:cs="仿宋_GB2312"/>
          <w:color w:val="000000"/>
          <w:sz w:val="32"/>
          <w:szCs w:val="32"/>
          <w:highlight w:val="none"/>
          <w:lang w:bidi="en-US"/>
        </w:rPr>
        <w:t>类标准。</w:t>
      </w:r>
    </w:p>
    <w:p w14:paraId="1852917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楷体" w:hAnsi="楷体" w:eastAsia="楷体" w:cs="楷体"/>
          <w:kern w:val="0"/>
          <w:sz w:val="32"/>
          <w:szCs w:val="32"/>
          <w:lang w:bidi="ar"/>
        </w:rPr>
        <w:t>（五）</w:t>
      </w:r>
      <w:r>
        <w:rPr>
          <w:rFonts w:hint="eastAsia" w:ascii="楷体" w:hAnsi="楷体" w:eastAsia="楷体" w:cs="楷体"/>
          <w:kern w:val="0"/>
          <w:sz w:val="32"/>
          <w:szCs w:val="32"/>
          <w:lang w:val="en-US" w:eastAsia="zh-CN" w:bidi="ar"/>
        </w:rPr>
        <w:t>严格落实土壤和地下水污染防治措施。</w:t>
      </w:r>
      <w:r>
        <w:rPr>
          <w:rFonts w:hint="eastAsia" w:ascii="仿宋_GB2312" w:hAnsi="仿宋_GB2312" w:eastAsia="仿宋_GB2312" w:cs="仿宋_GB2312"/>
          <w:color w:val="auto"/>
          <w:kern w:val="0"/>
          <w:sz w:val="32"/>
          <w:szCs w:val="32"/>
          <w:lang w:val="en-US" w:eastAsia="zh-CN" w:bidi="ar"/>
        </w:rPr>
        <w:t>按照“源头控制、分区防控、污染监控、应急响应”相结合的原则采取分区防渗，其中</w:t>
      </w:r>
      <w:r>
        <w:rPr>
          <w:rFonts w:hint="default" w:ascii="仿宋_GB2312" w:hAnsi="仿宋_GB2312" w:eastAsia="仿宋_GB2312" w:cs="仿宋_GB2312"/>
          <w:kern w:val="0"/>
          <w:sz w:val="32"/>
          <w:szCs w:val="32"/>
          <w:lang w:bidi="ar"/>
        </w:rPr>
        <w:t>危险废物暂存间</w:t>
      </w:r>
      <w:r>
        <w:rPr>
          <w:rFonts w:hint="eastAsia" w:ascii="仿宋_GB2312" w:hAnsi="仿宋_GB2312" w:eastAsia="仿宋_GB2312" w:cs="仿宋_GB2312"/>
          <w:kern w:val="0"/>
          <w:sz w:val="32"/>
          <w:szCs w:val="32"/>
          <w:lang w:val="en-US" w:eastAsia="zh-CN" w:bidi="ar"/>
        </w:rPr>
        <w:t>采取重点防渗措施；焚烧车间、污水处理站、渗滤液收集池、分选车间、可燃垃圾存放间、堆肥车间、餐厨垃圾处理车间、循环水池等</w:t>
      </w:r>
      <w:r>
        <w:rPr>
          <w:rFonts w:hint="eastAsia" w:ascii="仿宋_GB2312" w:hAnsi="仿宋_GB2312" w:eastAsia="仿宋_GB2312" w:cs="仿宋_GB2312"/>
          <w:color w:val="auto"/>
          <w:kern w:val="0"/>
          <w:sz w:val="32"/>
          <w:szCs w:val="32"/>
          <w:lang w:val="en-US" w:eastAsia="zh-CN" w:bidi="ar"/>
        </w:rPr>
        <w:t>采取一般防渗措施；办公楼、门卫室、停车场等采取简单防渗措施。</w:t>
      </w:r>
    </w:p>
    <w:p w14:paraId="2FDA792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 w:hAnsi="楷体" w:eastAsia="楷体" w:cs="楷体"/>
          <w:kern w:val="0"/>
          <w:sz w:val="32"/>
          <w:szCs w:val="32"/>
          <w:lang w:val="en-US" w:eastAsia="zh-CN" w:bidi="ar"/>
        </w:rPr>
        <w:t>（六）严格落实环境风险防治措施。</w:t>
      </w:r>
      <w:r>
        <w:rPr>
          <w:rFonts w:hint="eastAsia" w:ascii="仿宋_GB2312" w:hAnsi="仿宋_GB2312" w:eastAsia="仿宋_GB2312" w:cs="仿宋_GB2312"/>
          <w:color w:val="auto"/>
          <w:kern w:val="0"/>
          <w:sz w:val="32"/>
          <w:szCs w:val="32"/>
          <w:highlight w:val="none"/>
          <w:lang w:val="en-US" w:eastAsia="zh-CN" w:bidi="ar"/>
        </w:rPr>
        <w:t>按照规范布置罐区，设围堰和防火堤；加强</w:t>
      </w:r>
      <w:r>
        <w:rPr>
          <w:rFonts w:hint="eastAsia" w:ascii="仿宋_GB2312" w:hAnsi="仿宋_GB2312" w:eastAsia="仿宋_GB2312" w:cs="仿宋_GB2312"/>
          <w:color w:val="auto"/>
          <w:kern w:val="0"/>
          <w:sz w:val="32"/>
          <w:szCs w:val="32"/>
          <w:lang w:val="en-US" w:eastAsia="zh-CN" w:bidi="ar"/>
        </w:rPr>
        <w:t>生产过程设备的管理与维修，防止跑、冒、滴、漏现象的发生</w:t>
      </w:r>
      <w:r>
        <w:rPr>
          <w:rFonts w:hint="eastAsia" w:ascii="仿宋_GB2312" w:hAnsi="仿宋_GB2312" w:eastAsia="仿宋_GB2312" w:cs="仿宋_GB2312"/>
          <w:color w:val="auto"/>
          <w:kern w:val="0"/>
          <w:sz w:val="32"/>
          <w:szCs w:val="32"/>
          <w:highlight w:val="none"/>
          <w:lang w:val="en-US" w:eastAsia="zh-CN" w:bidi="ar"/>
        </w:rPr>
        <w:t>；在有可能泄漏可燃气体和有毒气体的部位设置可燃气和有毒气体探测器和通风除臭系统，</w:t>
      </w:r>
      <w:r>
        <w:rPr>
          <w:rFonts w:hint="eastAsia" w:ascii="仿宋_GB2312" w:hAnsi="仿宋_GB2312" w:eastAsia="仿宋_GB2312" w:cs="仿宋_GB2312"/>
          <w:color w:val="auto"/>
          <w:kern w:val="2"/>
          <w:sz w:val="32"/>
          <w:szCs w:val="32"/>
          <w:highlight w:val="none"/>
          <w:lang w:val="en-US" w:eastAsia="zh-CN" w:bidi="ar-SA"/>
        </w:rPr>
        <w:t>一旦发生泄漏及时报警；</w:t>
      </w:r>
      <w:r>
        <w:rPr>
          <w:rFonts w:hint="eastAsia" w:ascii="仿宋_GB2312" w:hAnsi="仿宋_GB2312" w:eastAsia="仿宋_GB2312" w:cs="仿宋_GB2312"/>
          <w:color w:val="000000"/>
          <w:kern w:val="2"/>
          <w:sz w:val="32"/>
          <w:szCs w:val="32"/>
          <w:lang w:val="en-US" w:eastAsia="zh-CN" w:bidi="ar-SA"/>
        </w:rPr>
        <w:t>建立完善的环境监督制度和事故应急措施，制定切实可行的环境风险应急预案，加强对生活垃圾和厨余垃圾的收集、运输、贮存过程和对处置工程主体装置、环保设施的运行管理；严格落实风险防范措施和应急预案，切实杜绝环境风险事故。</w:t>
      </w:r>
    </w:p>
    <w:p w14:paraId="57E90B8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楷体" w:hAnsi="楷体" w:eastAsia="楷体" w:cs="楷体"/>
          <w:kern w:val="0"/>
          <w:sz w:val="32"/>
          <w:szCs w:val="32"/>
          <w:lang w:val="en-US" w:eastAsia="zh-CN" w:bidi="ar"/>
        </w:rPr>
        <w:t>（七）严格落实运营期污染源监测计划。</w:t>
      </w:r>
      <w:r>
        <w:rPr>
          <w:rFonts w:hint="default" w:ascii="仿宋_GB2312" w:hAnsi="仿宋_GB2312" w:eastAsia="仿宋_GB2312" w:cs="仿宋_GB2312"/>
          <w:color w:val="000000"/>
          <w:kern w:val="2"/>
          <w:sz w:val="32"/>
          <w:szCs w:val="32"/>
          <w:lang w:val="en-US" w:eastAsia="zh-CN" w:bidi="ar-SA"/>
        </w:rPr>
        <w:t>按照</w:t>
      </w:r>
      <w:r>
        <w:rPr>
          <w:rFonts w:hint="eastAsia" w:ascii="仿宋_GB2312" w:hAnsi="仿宋_GB2312" w:eastAsia="仿宋_GB2312" w:cs="仿宋_GB2312"/>
          <w:color w:val="000000"/>
          <w:kern w:val="2"/>
          <w:sz w:val="32"/>
          <w:szCs w:val="32"/>
          <w:lang w:val="en-US" w:eastAsia="zh-CN" w:bidi="ar-SA"/>
        </w:rPr>
        <w:t>国家和地方有关规定设置规范的污染物排放口，并设立标志牌。按照相关标准、规范等要求，落实《报告书》提出的环境管理及监测计划，安装烟气自动连续监测等感知端系统，并与生态环境部门联网。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14:paraId="7FD2EC6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sz w:val="32"/>
          <w:szCs w:val="32"/>
        </w:rPr>
      </w:pPr>
      <w:r>
        <w:rPr>
          <w:rFonts w:hint="eastAsia" w:ascii="楷体" w:hAnsi="楷体" w:eastAsia="楷体" w:cs="楷体"/>
          <w:kern w:val="0"/>
          <w:sz w:val="32"/>
          <w:szCs w:val="32"/>
          <w:lang w:val="en-US" w:eastAsia="zh-CN" w:bidi="ar"/>
        </w:rPr>
        <w:t>（八）建立畅通的公众参与平台。</w:t>
      </w:r>
      <w:r>
        <w:rPr>
          <w:rFonts w:hint="eastAsia" w:ascii="仿宋_GB2312" w:hAnsi="仿宋_GB2312" w:eastAsia="仿宋_GB2312" w:cs="仿宋_GB2312"/>
          <w:color w:val="000000"/>
          <w:sz w:val="32"/>
          <w:szCs w:val="32"/>
        </w:rPr>
        <w:t>加强宣传和沟通工作，关注周边居民意见，及时解决公众担忧的环境问题，满足公众合理的环境诉求。</w:t>
      </w:r>
    </w:p>
    <w:p w14:paraId="516E8375">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59CC917D">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四、我局委托锡林郭勒盟生态环境局</w:t>
      </w:r>
      <w:r>
        <w:rPr>
          <w:rFonts w:hint="eastAsia" w:ascii="仿宋_GB2312" w:hAnsi="仿宋_GB2312" w:eastAsia="仿宋_GB2312" w:cs="仿宋_GB2312"/>
          <w:color w:val="000000"/>
          <w:sz w:val="32"/>
          <w:szCs w:val="32"/>
          <w:lang w:val="en-US" w:eastAsia="zh-CN" w:bidi="en-US"/>
        </w:rPr>
        <w:t>东乌珠穆沁旗</w:t>
      </w:r>
      <w:r>
        <w:rPr>
          <w:rFonts w:hint="eastAsia" w:ascii="仿宋_GB2312" w:hAnsi="仿宋_GB2312" w:eastAsia="仿宋_GB2312" w:cs="仿宋_GB2312"/>
          <w:color w:val="000000"/>
          <w:sz w:val="32"/>
          <w:szCs w:val="32"/>
          <w:highlight w:val="none"/>
          <w:lang w:bidi="en-US"/>
        </w:rPr>
        <w:t>分局对该项目各项污染防治措施落实情况进行监督检查和管理。</w:t>
      </w:r>
    </w:p>
    <w:p w14:paraId="7EEF31A1">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p>
    <w:p w14:paraId="470C286D">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p>
    <w:p w14:paraId="6991C186">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3520" w:firstLineChars="11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锡林郭勒盟生态环境局</w:t>
      </w:r>
    </w:p>
    <w:p w14:paraId="0F39A196">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4160" w:firstLineChars="13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202</w:t>
      </w:r>
      <w:r>
        <w:rPr>
          <w:rFonts w:hint="eastAsia" w:ascii="仿宋_GB2312" w:hAnsi="仿宋_GB2312" w:eastAsia="仿宋_GB2312" w:cs="仿宋_GB2312"/>
          <w:color w:val="000000"/>
          <w:sz w:val="32"/>
          <w:szCs w:val="32"/>
          <w:highlight w:val="none"/>
          <w:lang w:val="en-US" w:eastAsia="zh-CN" w:bidi="en-US"/>
        </w:rPr>
        <w:t>4</w:t>
      </w:r>
      <w:r>
        <w:rPr>
          <w:rFonts w:hint="eastAsia" w:ascii="仿宋_GB2312" w:hAnsi="仿宋_GB2312" w:eastAsia="仿宋_GB2312" w:cs="仿宋_GB2312"/>
          <w:color w:val="000000"/>
          <w:sz w:val="32"/>
          <w:szCs w:val="32"/>
          <w:highlight w:val="none"/>
          <w:lang w:bidi="en-US"/>
        </w:rPr>
        <w:t>年</w:t>
      </w:r>
      <w:r>
        <w:rPr>
          <w:rFonts w:hint="eastAsia" w:ascii="仿宋_GB2312" w:hAnsi="仿宋_GB2312" w:eastAsia="仿宋_GB2312" w:cs="仿宋_GB2312"/>
          <w:color w:val="000000"/>
          <w:sz w:val="32"/>
          <w:szCs w:val="32"/>
          <w:highlight w:val="none"/>
          <w:lang w:val="en-US" w:eastAsia="zh-CN" w:bidi="en-US"/>
        </w:rPr>
        <w:t>11</w:t>
      </w:r>
      <w:r>
        <w:rPr>
          <w:rFonts w:hint="eastAsia" w:ascii="仿宋_GB2312" w:hAnsi="仿宋_GB2312" w:eastAsia="仿宋_GB2312" w:cs="仿宋_GB2312"/>
          <w:color w:val="000000"/>
          <w:sz w:val="32"/>
          <w:szCs w:val="32"/>
          <w:highlight w:val="none"/>
          <w:lang w:bidi="en-US"/>
        </w:rPr>
        <w:t>月</w:t>
      </w:r>
      <w:r>
        <w:rPr>
          <w:rFonts w:hint="eastAsia" w:ascii="仿宋_GB2312" w:hAnsi="仿宋_GB2312" w:eastAsia="仿宋_GB2312" w:cs="仿宋_GB2312"/>
          <w:color w:val="000000"/>
          <w:sz w:val="32"/>
          <w:szCs w:val="32"/>
          <w:highlight w:val="none"/>
          <w:lang w:val="en-US" w:eastAsia="zh-CN" w:bidi="en-US"/>
        </w:rPr>
        <w:t>19</w:t>
      </w:r>
      <w:r>
        <w:rPr>
          <w:rFonts w:hint="eastAsia" w:ascii="仿宋_GB2312" w:hAnsi="仿宋_GB2312" w:eastAsia="仿宋_GB2312" w:cs="仿宋_GB2312"/>
          <w:color w:val="000000"/>
          <w:sz w:val="32"/>
          <w:szCs w:val="32"/>
          <w:highlight w:val="none"/>
          <w:lang w:bidi="en-US"/>
        </w:rPr>
        <w:t>日</w:t>
      </w:r>
    </w:p>
    <w:p w14:paraId="6901B815">
      <w:pPr>
        <w:pStyle w:val="12"/>
        <w:ind w:left="0" w:leftChars="0" w:firstLine="0" w:firstLineChars="0"/>
        <w:rPr>
          <w:rFonts w:hint="eastAsia"/>
          <w:sz w:val="32"/>
          <w:szCs w:val="32"/>
          <w:highlight w:val="none"/>
        </w:rPr>
      </w:pPr>
    </w:p>
    <w:p w14:paraId="3286FE8C">
      <w:pPr>
        <w:rPr>
          <w:rFonts w:hint="eastAsia"/>
          <w:sz w:val="32"/>
          <w:szCs w:val="32"/>
          <w:highlight w:val="none"/>
        </w:rPr>
      </w:pPr>
    </w:p>
    <w:p w14:paraId="21BABD93">
      <w:pPr>
        <w:pStyle w:val="2"/>
        <w:rPr>
          <w:rFonts w:hint="eastAsia"/>
          <w:sz w:val="32"/>
          <w:szCs w:val="32"/>
          <w:highlight w:val="none"/>
        </w:rPr>
      </w:pPr>
    </w:p>
    <w:p w14:paraId="731B8831">
      <w:pPr>
        <w:pStyle w:val="3"/>
        <w:rPr>
          <w:rFonts w:hint="eastAsia"/>
          <w:sz w:val="32"/>
          <w:szCs w:val="32"/>
          <w:highlight w:val="none"/>
        </w:rPr>
      </w:pPr>
    </w:p>
    <w:p w14:paraId="4D719E7C">
      <w:pPr>
        <w:pStyle w:val="12"/>
        <w:rPr>
          <w:rFonts w:hint="eastAsia"/>
          <w:sz w:val="32"/>
          <w:szCs w:val="32"/>
          <w:highlight w:val="none"/>
        </w:rPr>
      </w:pPr>
    </w:p>
    <w:p w14:paraId="55F4FDFA">
      <w:pPr>
        <w:rPr>
          <w:rFonts w:hint="eastAsia"/>
          <w:sz w:val="32"/>
          <w:szCs w:val="32"/>
          <w:highlight w:val="none"/>
        </w:rPr>
      </w:pPr>
    </w:p>
    <w:p w14:paraId="1EDEACEA">
      <w:pPr>
        <w:rPr>
          <w:rFonts w:hint="eastAsia"/>
          <w:sz w:val="32"/>
          <w:szCs w:val="32"/>
          <w:highlight w:val="none"/>
        </w:rPr>
      </w:pPr>
    </w:p>
    <w:p w14:paraId="408486FB">
      <w:pPr>
        <w:rPr>
          <w:rFonts w:hint="eastAsia"/>
          <w:sz w:val="32"/>
          <w:szCs w:val="32"/>
          <w:highlight w:val="none"/>
        </w:rPr>
      </w:pPr>
    </w:p>
    <w:p w14:paraId="3F84380A">
      <w:pPr>
        <w:rPr>
          <w:rFonts w:hint="eastAsia"/>
          <w:sz w:val="32"/>
          <w:szCs w:val="32"/>
          <w:highlight w:val="none"/>
        </w:rPr>
      </w:pPr>
    </w:p>
    <w:p w14:paraId="0E2F9D58">
      <w:pPr>
        <w:rPr>
          <w:rFonts w:hint="eastAsia"/>
          <w:sz w:val="32"/>
          <w:szCs w:val="32"/>
          <w:highlight w:val="none"/>
        </w:rPr>
      </w:pPr>
    </w:p>
    <w:p w14:paraId="12AB2EFF">
      <w:pPr>
        <w:rPr>
          <w:rFonts w:hint="eastAsia"/>
          <w:sz w:val="32"/>
          <w:szCs w:val="32"/>
          <w:highlight w:val="none"/>
        </w:rPr>
      </w:pPr>
    </w:p>
    <w:p w14:paraId="10193BCC">
      <w:pPr>
        <w:rPr>
          <w:rFonts w:hint="eastAsia"/>
          <w:sz w:val="32"/>
          <w:szCs w:val="32"/>
          <w:highlight w:val="none"/>
        </w:rPr>
      </w:pPr>
    </w:p>
    <w:p w14:paraId="7818486C">
      <w:pPr>
        <w:rPr>
          <w:rFonts w:hint="eastAsia"/>
          <w:sz w:val="32"/>
          <w:szCs w:val="32"/>
          <w:highlight w:val="none"/>
        </w:rPr>
      </w:pPr>
    </w:p>
    <w:p w14:paraId="5FE894FF">
      <w:pPr>
        <w:rPr>
          <w:rFonts w:hint="eastAsia"/>
          <w:sz w:val="32"/>
          <w:szCs w:val="32"/>
          <w:highlight w:val="none"/>
        </w:rPr>
      </w:pPr>
    </w:p>
    <w:p w14:paraId="4F5B1654">
      <w:pPr>
        <w:rPr>
          <w:rFonts w:hint="eastAsia"/>
          <w:sz w:val="32"/>
          <w:szCs w:val="32"/>
          <w:highlight w:val="none"/>
        </w:rPr>
      </w:pPr>
    </w:p>
    <w:p w14:paraId="6ECA1E43">
      <w:pPr>
        <w:rPr>
          <w:rFonts w:hint="eastAsia"/>
          <w:sz w:val="32"/>
          <w:szCs w:val="32"/>
          <w:highlight w:val="none"/>
        </w:rPr>
      </w:pPr>
    </w:p>
    <w:p w14:paraId="7363C92C">
      <w:pPr>
        <w:rPr>
          <w:rFonts w:hint="eastAsia"/>
          <w:sz w:val="32"/>
          <w:szCs w:val="32"/>
          <w:highlight w:val="none"/>
        </w:rPr>
      </w:pPr>
    </w:p>
    <w:p w14:paraId="7F5CD93E">
      <w:pPr>
        <w:rPr>
          <w:rFonts w:hint="eastAsia"/>
          <w:sz w:val="32"/>
          <w:szCs w:val="32"/>
          <w:highlight w:val="none"/>
        </w:rPr>
      </w:pPr>
    </w:p>
    <w:p w14:paraId="6D689E2F">
      <w:pPr>
        <w:rPr>
          <w:rFonts w:hint="eastAsia"/>
          <w:sz w:val="32"/>
          <w:szCs w:val="32"/>
          <w:highlight w:val="none"/>
        </w:rPr>
      </w:pPr>
    </w:p>
    <w:p w14:paraId="305E6E68">
      <w:pPr>
        <w:rPr>
          <w:rFonts w:hint="eastAsia"/>
          <w:sz w:val="32"/>
          <w:szCs w:val="32"/>
          <w:highlight w:val="none"/>
        </w:rPr>
      </w:pPr>
    </w:p>
    <w:p w14:paraId="00D2E901">
      <w:pPr>
        <w:rPr>
          <w:rFonts w:hint="eastAsia"/>
          <w:sz w:val="32"/>
          <w:szCs w:val="32"/>
          <w:highlight w:val="none"/>
        </w:rPr>
      </w:pPr>
    </w:p>
    <w:p w14:paraId="41F778C7">
      <w:pPr>
        <w:rPr>
          <w:rFonts w:hint="eastAsia"/>
          <w:sz w:val="32"/>
          <w:szCs w:val="32"/>
          <w:highlight w:val="none"/>
        </w:rPr>
      </w:pPr>
    </w:p>
    <w:p w14:paraId="3D83B53D">
      <w:pPr>
        <w:rPr>
          <w:rFonts w:hint="eastAsia"/>
          <w:sz w:val="32"/>
          <w:szCs w:val="32"/>
          <w:highlight w:val="none"/>
        </w:rPr>
      </w:pPr>
    </w:p>
    <w:p w14:paraId="23F3310F">
      <w:pPr>
        <w:rPr>
          <w:rFonts w:hint="eastAsia"/>
          <w:sz w:val="32"/>
          <w:szCs w:val="32"/>
          <w:highlight w:val="none"/>
        </w:rPr>
      </w:pPr>
    </w:p>
    <w:p w14:paraId="68F810C5">
      <w:pPr>
        <w:rPr>
          <w:rFonts w:hint="eastAsia"/>
          <w:sz w:val="32"/>
          <w:szCs w:val="32"/>
          <w:highlight w:val="none"/>
        </w:rPr>
      </w:pPr>
    </w:p>
    <w:p w14:paraId="6CAF895C">
      <w:pPr>
        <w:rPr>
          <w:rFonts w:hint="eastAsia"/>
          <w:sz w:val="32"/>
          <w:szCs w:val="32"/>
          <w:highlight w:val="none"/>
        </w:rPr>
      </w:pPr>
    </w:p>
    <w:p w14:paraId="254288FF">
      <w:pPr>
        <w:rPr>
          <w:rFonts w:hint="eastAsia"/>
          <w:sz w:val="32"/>
          <w:szCs w:val="32"/>
          <w:highlight w:val="none"/>
        </w:rPr>
      </w:pPr>
    </w:p>
    <w:p w14:paraId="6F2B56AE">
      <w:pPr>
        <w:pStyle w:val="8"/>
        <w:rPr>
          <w:rFonts w:hint="eastAsia"/>
          <w:highlight w:val="none"/>
        </w:rPr>
      </w:pPr>
    </w:p>
    <w:p w14:paraId="291CA0A4">
      <w:pPr>
        <w:rPr>
          <w:rFonts w:hint="eastAsia"/>
          <w:highlight w:val="none"/>
        </w:rPr>
      </w:pPr>
    </w:p>
    <w:p w14:paraId="5B89FA3A">
      <w:pPr>
        <w:pStyle w:val="8"/>
        <w:rPr>
          <w:rFonts w:hint="default" w:eastAsia="宋体"/>
          <w:highlight w:val="none"/>
          <w:u w:val="single"/>
          <w:lang w:val="en-US" w:eastAsia="zh-CN"/>
        </w:rPr>
      </w:pPr>
      <w:r>
        <w:rPr>
          <w:rFonts w:hint="eastAsia"/>
          <w:highlight w:val="none"/>
          <w:u w:val="single"/>
          <w:lang w:val="en-US" w:eastAsia="zh-CN"/>
        </w:rPr>
        <w:t xml:space="preserve">                                                                                            </w:t>
      </w:r>
    </w:p>
    <w:p w14:paraId="75BE276E">
      <w:pPr>
        <w:pStyle w:val="17"/>
        <w:keepNext w:val="0"/>
        <w:keepLines w:val="0"/>
        <w:pageBreakBefore w:val="0"/>
        <w:kinsoku/>
        <w:wordWrap/>
        <w:overflowPunct/>
        <w:topLinePunct w:val="0"/>
        <w:bidi w:val="0"/>
        <w:spacing w:line="240" w:lineRule="auto"/>
        <w:jc w:val="both"/>
        <w:rPr>
          <w:rFonts w:ascii="仿宋" w:hAnsi="仿宋" w:eastAsia="仿宋" w:cs="仿宋"/>
          <w:color w:val="auto"/>
          <w:kern w:val="2"/>
          <w:sz w:val="28"/>
          <w:szCs w:val="28"/>
          <w:highlight w:val="none"/>
          <w:lang w:bidi="en-US"/>
        </w:rPr>
      </w:pPr>
      <w:r>
        <w:rPr>
          <w:rFonts w:hint="eastAsia" w:ascii="仿宋" w:hAnsi="仿宋" w:eastAsia="仿宋" w:cs="仿宋"/>
          <w:color w:val="auto"/>
          <w:spacing w:val="1"/>
          <w:w w:val="96"/>
          <w:kern w:val="0"/>
          <w:sz w:val="28"/>
          <w:szCs w:val="28"/>
          <w:highlight w:val="none"/>
          <w:fitText w:val="8400" w:id="2050116686"/>
          <w:lang w:bidi="en-US"/>
        </w:rPr>
        <w:t>抄送：盟生态环境综合行政执法支队，盟生态环境局</w:t>
      </w:r>
      <w:r>
        <w:rPr>
          <w:rFonts w:hint="eastAsia" w:ascii="仿宋" w:hAnsi="仿宋" w:eastAsia="仿宋" w:cs="仿宋"/>
          <w:color w:val="auto"/>
          <w:spacing w:val="1"/>
          <w:w w:val="96"/>
          <w:kern w:val="0"/>
          <w:sz w:val="28"/>
          <w:szCs w:val="28"/>
          <w:highlight w:val="none"/>
          <w:fitText w:val="8400" w:id="2050116686"/>
          <w:lang w:val="en-US" w:eastAsia="zh-CN" w:bidi="en-US"/>
        </w:rPr>
        <w:t>东乌珠穆沁旗</w:t>
      </w:r>
      <w:r>
        <w:rPr>
          <w:rFonts w:hint="eastAsia" w:ascii="仿宋" w:hAnsi="仿宋" w:eastAsia="仿宋" w:cs="仿宋"/>
          <w:color w:val="auto"/>
          <w:spacing w:val="1"/>
          <w:w w:val="96"/>
          <w:kern w:val="0"/>
          <w:sz w:val="28"/>
          <w:szCs w:val="28"/>
          <w:highlight w:val="none"/>
          <w:fitText w:val="8400" w:id="2050116686"/>
          <w:lang w:bidi="en-US"/>
        </w:rPr>
        <w:t>分</w:t>
      </w:r>
      <w:r>
        <w:rPr>
          <w:rFonts w:hint="eastAsia" w:ascii="仿宋" w:hAnsi="仿宋" w:eastAsia="仿宋" w:cs="仿宋"/>
          <w:color w:val="auto"/>
          <w:spacing w:val="32"/>
          <w:w w:val="96"/>
          <w:kern w:val="0"/>
          <w:sz w:val="28"/>
          <w:szCs w:val="28"/>
          <w:highlight w:val="none"/>
          <w:fitText w:val="8400" w:id="2050116686"/>
          <w:lang w:bidi="en-US"/>
        </w:rPr>
        <w:t>局</w:t>
      </w:r>
    </w:p>
    <w:p w14:paraId="0FDDAA17">
      <w:pPr>
        <w:keepNext w:val="0"/>
        <w:keepLines w:val="0"/>
        <w:pageBreakBefore w:val="0"/>
        <w:pBdr>
          <w:top w:val="single" w:color="auto" w:sz="4" w:space="1"/>
          <w:left w:val="none" w:color="auto" w:sz="0" w:space="4"/>
          <w:bottom w:val="single" w:color="auto" w:sz="4" w:space="1"/>
          <w:right w:val="none" w:color="auto" w:sz="0" w:space="4"/>
        </w:pBdr>
        <w:kinsoku/>
        <w:wordWrap/>
        <w:overflowPunct/>
        <w:topLinePunct w:val="0"/>
        <w:bidi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锡林郭勒盟生态环境局办公室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487D599-E5F9-4EFD-850F-06079732F80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61D08EE-439A-4E0F-BB99-DA94A5785FF4}"/>
  </w:font>
  <w:font w:name="方正小标宋简体">
    <w:panose1 w:val="03000509000000000000"/>
    <w:charset w:val="86"/>
    <w:family w:val="auto"/>
    <w:pitch w:val="default"/>
    <w:sig w:usb0="00000001" w:usb1="080E0000" w:usb2="00000000" w:usb3="00000000" w:csb0="00040000" w:csb1="00000000"/>
    <w:embedRegular r:id="rId3" w:fontKey="{2FB75FEF-27B4-4323-885B-4A6742B38EA0}"/>
  </w:font>
  <w:font w:name="楷体">
    <w:panose1 w:val="02010609060101010101"/>
    <w:charset w:val="86"/>
    <w:family w:val="auto"/>
    <w:pitch w:val="default"/>
    <w:sig w:usb0="800002BF" w:usb1="38CF7CFA" w:usb2="00000016" w:usb3="00000000" w:csb0="00040001" w:csb1="00000000"/>
    <w:embedRegular r:id="rId4" w:fontKey="{8B445BA1-4A9A-4AB8-B9AE-2E5755D3CD02}"/>
  </w:font>
  <w:font w:name="仿宋">
    <w:panose1 w:val="02010609060101010101"/>
    <w:charset w:val="86"/>
    <w:family w:val="modern"/>
    <w:pitch w:val="default"/>
    <w:sig w:usb0="800002BF" w:usb1="38CF7CFA" w:usb2="00000016" w:usb3="00000000" w:csb0="00040001" w:csb1="00000000"/>
    <w:embedRegular r:id="rId5" w:fontKey="{9BBAAB57-A939-4CFC-86A9-ACEFC5599D6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1481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E2A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7CE2A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 w:name="KSO_WPS_MARK_KEY" w:val="09d15ec7-0bf2-44f8-8c61-ef6b5d062c09"/>
  </w:docVars>
  <w:rsids>
    <w:rsidRoot w:val="00BE15C5"/>
    <w:rsid w:val="0023504A"/>
    <w:rsid w:val="0024349F"/>
    <w:rsid w:val="0029260D"/>
    <w:rsid w:val="00314696"/>
    <w:rsid w:val="00351DD5"/>
    <w:rsid w:val="00565FD0"/>
    <w:rsid w:val="005E036A"/>
    <w:rsid w:val="0078439C"/>
    <w:rsid w:val="008A103C"/>
    <w:rsid w:val="00BE15C5"/>
    <w:rsid w:val="00CA00EE"/>
    <w:rsid w:val="00F61EA1"/>
    <w:rsid w:val="010966B9"/>
    <w:rsid w:val="021332F5"/>
    <w:rsid w:val="035110CA"/>
    <w:rsid w:val="0C0A7D34"/>
    <w:rsid w:val="20530B64"/>
    <w:rsid w:val="22346735"/>
    <w:rsid w:val="30E740DE"/>
    <w:rsid w:val="39930C47"/>
    <w:rsid w:val="3A953833"/>
    <w:rsid w:val="3B6415BF"/>
    <w:rsid w:val="3C0C16CC"/>
    <w:rsid w:val="3C3E2C88"/>
    <w:rsid w:val="3F214472"/>
    <w:rsid w:val="400841FD"/>
    <w:rsid w:val="413B5CBF"/>
    <w:rsid w:val="4287527F"/>
    <w:rsid w:val="4533740B"/>
    <w:rsid w:val="454B6EE5"/>
    <w:rsid w:val="47D65885"/>
    <w:rsid w:val="48A15F89"/>
    <w:rsid w:val="49B27247"/>
    <w:rsid w:val="4ED63954"/>
    <w:rsid w:val="53082155"/>
    <w:rsid w:val="540E7578"/>
    <w:rsid w:val="541B62E3"/>
    <w:rsid w:val="565E0EBF"/>
    <w:rsid w:val="59761363"/>
    <w:rsid w:val="5C304204"/>
    <w:rsid w:val="5DB93D9B"/>
    <w:rsid w:val="603C62C1"/>
    <w:rsid w:val="660D2688"/>
    <w:rsid w:val="66E16111"/>
    <w:rsid w:val="6BF4175A"/>
    <w:rsid w:val="6D01193E"/>
    <w:rsid w:val="6D5745A9"/>
    <w:rsid w:val="6E1A4AAF"/>
    <w:rsid w:val="70C71F9F"/>
    <w:rsid w:val="728A58AF"/>
    <w:rsid w:val="72C07522"/>
    <w:rsid w:val="744D770B"/>
    <w:rsid w:val="772E3597"/>
    <w:rsid w:val="776A0FBB"/>
    <w:rsid w:val="7B9B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rFonts w:eastAsia="宋体"/>
      <w:sz w:val="21"/>
    </w:rPr>
  </w:style>
  <w:style w:type="paragraph" w:styleId="3">
    <w:name w:val="Body Text First Indent 2"/>
    <w:basedOn w:val="4"/>
    <w:next w:val="1"/>
    <w:autoRedefine/>
    <w:qFormat/>
    <w:uiPriority w:val="0"/>
    <w:pPr>
      <w:adjustRightInd w:val="0"/>
      <w:ind w:firstLine="420"/>
      <w:textAlignment w:val="baseline"/>
    </w:pPr>
    <w:rPr>
      <w:rFonts w:ascii="宋体" w:hAnsi="宋体"/>
      <w:sz w:val="18"/>
      <w:szCs w:val="18"/>
    </w:rPr>
  </w:style>
  <w:style w:type="paragraph" w:styleId="4">
    <w:name w:val="Body Text Indent"/>
    <w:basedOn w:val="1"/>
    <w:next w:val="1"/>
    <w:autoRedefine/>
    <w:qFormat/>
    <w:uiPriority w:val="0"/>
    <w:pPr>
      <w:spacing w:after="120"/>
      <w:ind w:left="420" w:leftChars="200"/>
    </w:pPr>
    <w:rPr>
      <w:rFonts w:ascii="Times New Roman" w:hAnsi="Times New Roman" w:eastAsia="宋体" w:cs="Times New Roman"/>
      <w:szCs w:val="20"/>
    </w:rPr>
  </w:style>
  <w:style w:type="paragraph" w:styleId="5">
    <w:name w:val="annotation text"/>
    <w:basedOn w:val="1"/>
    <w:autoRedefine/>
    <w:semiHidden/>
    <w:unhideWhenUsed/>
    <w:qFormat/>
    <w:uiPriority w:val="99"/>
    <w:pPr>
      <w:jc w:val="left"/>
    </w:pPr>
  </w:style>
  <w:style w:type="paragraph" w:styleId="6">
    <w:name w:val="Body Text"/>
    <w:basedOn w:val="1"/>
    <w:next w:val="7"/>
    <w:autoRedefine/>
    <w:qFormat/>
    <w:uiPriority w:val="0"/>
    <w:pPr>
      <w:spacing w:after="120" w:afterLines="0" w:afterAutospacing="0"/>
    </w:pPr>
  </w:style>
  <w:style w:type="paragraph" w:customStyle="1" w:styleId="7">
    <w:name w:val="Date1"/>
    <w:basedOn w:val="1"/>
    <w:next w:val="1"/>
    <w:autoRedefine/>
    <w:semiHidden/>
    <w:qFormat/>
    <w:locked/>
    <w:uiPriority w:val="0"/>
    <w:pPr>
      <w:adjustRightInd w:val="0"/>
      <w:spacing w:line="312" w:lineRule="atLeast"/>
      <w:ind w:firstLine="0" w:firstLineChars="0"/>
      <w:jc w:val="right"/>
      <w:textAlignment w:val="baseline"/>
    </w:pPr>
    <w:rPr>
      <w:rFonts w:ascii="隶书" w:eastAsia="隶书"/>
      <w:kern w:val="0"/>
      <w:sz w:val="32"/>
      <w:szCs w:val="20"/>
    </w:rPr>
  </w:style>
  <w:style w:type="paragraph" w:styleId="8">
    <w:name w:val="footer"/>
    <w:basedOn w:val="1"/>
    <w:next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left" w:pos="284"/>
        <w:tab w:val="right" w:leader="dot" w:pos="8296"/>
      </w:tabs>
    </w:pPr>
  </w:style>
  <w:style w:type="paragraph" w:styleId="11">
    <w:name w:val="Body Text Indent 3"/>
    <w:basedOn w:val="1"/>
    <w:autoRedefine/>
    <w:unhideWhenUsed/>
    <w:qFormat/>
    <w:uiPriority w:val="0"/>
    <w:pPr>
      <w:ind w:firstLine="570"/>
    </w:pPr>
    <w:rPr>
      <w:szCs w:val="20"/>
    </w:rPr>
  </w:style>
  <w:style w:type="paragraph" w:styleId="12">
    <w:name w:val="Body Text First Indent"/>
    <w:basedOn w:val="6"/>
    <w:next w:val="1"/>
    <w:autoRedefine/>
    <w:qFormat/>
    <w:uiPriority w:val="0"/>
    <w:pPr>
      <w:spacing w:before="120" w:after="240"/>
      <w:ind w:firstLine="420" w:firstLineChars="100"/>
    </w:pPr>
    <w:rPr>
      <w:rFonts w:ascii="宋体" w:hAnsi="宋体" w:cstheme="minorBidi"/>
      <w:szCs w:val="28"/>
      <w:lang w:val="en-US" w:eastAsia="en-US" w:bidi="ar-SA"/>
    </w:rPr>
  </w:style>
  <w:style w:type="character" w:styleId="15">
    <w:name w:val="Hyperlink"/>
    <w:basedOn w:val="14"/>
    <w:autoRedefine/>
    <w:unhideWhenUsed/>
    <w:qFormat/>
    <w:uiPriority w:val="99"/>
    <w:rPr>
      <w:color w:val="0563C1" w:themeColor="hyperlink"/>
      <w:u w:val="single"/>
      <w14:textFill>
        <w14:solidFill>
          <w14:schemeClr w14:val="hlink"/>
        </w14:solidFill>
      </w14:textFill>
    </w:rPr>
  </w:style>
  <w:style w:type="character" w:customStyle="1" w:styleId="16">
    <w:name w:val="未处理的提及1"/>
    <w:basedOn w:val="14"/>
    <w:autoRedefine/>
    <w:semiHidden/>
    <w:unhideWhenUsed/>
    <w:qFormat/>
    <w:uiPriority w:val="99"/>
    <w:rPr>
      <w:color w:val="605E5C"/>
      <w:shd w:val="clear" w:color="auto" w:fill="E1DFDD"/>
    </w:rPr>
  </w:style>
  <w:style w:type="paragraph" w:customStyle="1" w:styleId="1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页眉 字符"/>
    <w:basedOn w:val="14"/>
    <w:link w:val="9"/>
    <w:autoRedefine/>
    <w:qFormat/>
    <w:uiPriority w:val="99"/>
    <w:rPr>
      <w:kern w:val="2"/>
      <w:sz w:val="18"/>
      <w:szCs w:val="18"/>
    </w:rPr>
  </w:style>
  <w:style w:type="paragraph" w:customStyle="1" w:styleId="19">
    <w:name w:val="表文"/>
    <w:basedOn w:val="1"/>
    <w:autoRedefine/>
    <w:qFormat/>
    <w:uiPriority w:val="0"/>
    <w:pPr>
      <w:overflowPunct w:val="0"/>
      <w:spacing w:line="440" w:lineRule="exact"/>
      <w:jc w:val="center"/>
      <w:textAlignment w:val="baseline"/>
    </w:pPr>
    <w:rPr>
      <w:rFonts w:ascii="Arial" w:hAnsi="Arial" w:eastAsia="宋体" w:cs="Times New Roman"/>
      <w:sz w:val="21"/>
      <w:szCs w:val="20"/>
    </w:rPr>
  </w:style>
  <w:style w:type="paragraph" w:customStyle="1" w:styleId="20">
    <w:name w:val="样式 (符号) 宋体 小四 行距: 1.5 倍行距"/>
    <w:basedOn w:val="1"/>
    <w:autoRedefine/>
    <w:qFormat/>
    <w:uiPriority w:val="0"/>
    <w:pPr>
      <w:spacing w:line="360" w:lineRule="auto"/>
      <w:ind w:firstLine="200" w:firstLineChars="200"/>
    </w:pPr>
    <w:rPr>
      <w:rFonts w:ascii="Times New Roman" w:hAnsi="Times New Roman" w:eastAsia="宋体" w:cs="宋体"/>
      <w:sz w:val="24"/>
    </w:rPr>
  </w:style>
  <w:style w:type="paragraph" w:customStyle="1" w:styleId="21">
    <w:name w:val="样式5"/>
    <w:basedOn w:val="22"/>
    <w:qFormat/>
    <w:uiPriority w:val="0"/>
    <w:pPr>
      <w:widowControl/>
      <w:snapToGrid w:val="0"/>
      <w:spacing w:line="360" w:lineRule="auto"/>
      <w:ind w:firstLine="510"/>
      <w:jc w:val="left"/>
    </w:pPr>
    <w:rPr>
      <w:sz w:val="24"/>
      <w:szCs w:val="24"/>
    </w:rPr>
  </w:style>
  <w:style w:type="paragraph" w:customStyle="1" w:styleId="22">
    <w:name w:val="正文1"/>
    <w:basedOn w:val="1"/>
    <w:qFormat/>
    <w:uiPriority w:val="0"/>
    <w:pPr>
      <w:spacing w:line="360" w:lineRule="auto"/>
      <w:ind w:firstLine="200" w:firstLineChars="200"/>
    </w:pPr>
    <w:rPr>
      <w:snapToGrid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2229</Words>
  <Characters>2360</Characters>
  <Lines>12</Lines>
  <Paragraphs>3</Paragraphs>
  <TotalTime>4</TotalTime>
  <ScaleCrop>false</ScaleCrop>
  <LinksUpToDate>false</LinksUpToDate>
  <CharactersWithSpaces>2466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2023-01-29T20:14:00Z</dcterms:created>
  <dc:creator>hui hui</dc:creator>
  <cp:lastModifiedBy>ོʚ 中ོ然ོ ɞ</cp:lastModifiedBy>
  <dcterms:modified xsi:type="dcterms:W3CDTF">2024-11-20T08:07:08Z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DDE6FC7FC8304804BD3B868FEBB769BB_13</vt:lpwstr>
  </property>
</Properties>
</file>