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beforeLines="100" w:line="700" w:lineRule="exact"/>
        <w:jc w:val="center"/>
        <w:rPr>
          <w:rFonts w:ascii="Calibri" w:hAnsi="Calibri" w:eastAsia="宋体" w:cs="黑体"/>
          <w:color w:val="auto"/>
          <w:sz w:val="36"/>
          <w:szCs w:val="36"/>
        </w:rPr>
      </w:pPr>
      <w:bookmarkStart w:id="0" w:name="_Toc1382367"/>
    </w:p>
    <w:p>
      <w:pPr>
        <w:spacing w:before="240" w:beforeLines="100" w:line="700" w:lineRule="exact"/>
        <w:jc w:val="center"/>
        <w:rPr>
          <w:rFonts w:ascii="Calibri" w:hAnsi="Calibri" w:eastAsia="宋体" w:cs="黑体"/>
          <w:color w:val="auto"/>
          <w:sz w:val="36"/>
          <w:szCs w:val="36"/>
        </w:rPr>
      </w:pPr>
    </w:p>
    <w:p>
      <w:pPr>
        <w:widowControl/>
        <w:jc w:val="center"/>
        <w:rPr>
          <w:rFonts w:hint="eastAsia" w:ascii="Calibri" w:hAnsi="Calibri" w:cs="黑体"/>
          <w:color w:val="auto"/>
          <w:sz w:val="48"/>
          <w:szCs w:val="48"/>
          <w:lang w:eastAsia="zh-CN"/>
        </w:rPr>
      </w:pPr>
      <w:r>
        <w:rPr>
          <w:rFonts w:hint="eastAsia" w:ascii="Calibri" w:hAnsi="Calibri" w:cs="黑体"/>
          <w:color w:val="auto"/>
          <w:sz w:val="48"/>
          <w:szCs w:val="48"/>
          <w:lang w:eastAsia="zh-CN"/>
        </w:rPr>
        <w:t>内蒙古自治区阿巴嘎旗巴彦图嘎三队</w:t>
      </w:r>
    </w:p>
    <w:p>
      <w:pPr>
        <w:widowControl/>
        <w:jc w:val="center"/>
        <w:rPr>
          <w:rFonts w:hint="eastAsia" w:ascii="Calibri" w:hAnsi="Calibri" w:cs="黑体"/>
          <w:color w:val="auto"/>
          <w:sz w:val="48"/>
          <w:szCs w:val="48"/>
          <w:lang w:eastAsia="zh-CN"/>
        </w:rPr>
      </w:pPr>
      <w:r>
        <w:rPr>
          <w:rFonts w:hint="eastAsia" w:ascii="Calibri" w:hAnsi="Calibri" w:cs="黑体"/>
          <w:color w:val="auto"/>
          <w:sz w:val="48"/>
          <w:szCs w:val="48"/>
          <w:lang w:eastAsia="zh-CN"/>
        </w:rPr>
        <w:t>李瑛萤石矿改扩建工程</w:t>
      </w:r>
    </w:p>
    <w:p>
      <w:pPr>
        <w:widowControl/>
        <w:jc w:val="center"/>
        <w:rPr>
          <w:rFonts w:hint="eastAsia" w:ascii="Calibri" w:hAnsi="Calibri" w:eastAsia="宋体" w:cs="黑体"/>
          <w:color w:val="auto"/>
          <w:sz w:val="48"/>
          <w:szCs w:val="48"/>
          <w:lang w:eastAsia="zh-CN"/>
        </w:rPr>
      </w:pPr>
      <w:r>
        <w:rPr>
          <w:rFonts w:hint="eastAsia" w:ascii="Calibri" w:hAnsi="Calibri" w:cs="黑体"/>
          <w:color w:val="auto"/>
          <w:sz w:val="48"/>
          <w:szCs w:val="48"/>
          <w:lang w:eastAsia="zh-CN"/>
        </w:rPr>
        <w:t>（二期150万吨/年采矿工程）</w:t>
      </w:r>
    </w:p>
    <w:p>
      <w:pPr>
        <w:widowControl/>
        <w:jc w:val="center"/>
        <w:rPr>
          <w:rFonts w:ascii="Calibri" w:hAnsi="Calibri" w:eastAsia="宋体" w:cs="黑体"/>
          <w:color w:val="auto"/>
          <w:sz w:val="44"/>
          <w:szCs w:val="44"/>
        </w:rPr>
      </w:pPr>
    </w:p>
    <w:p>
      <w:pPr>
        <w:spacing w:before="240" w:beforeLines="100" w:line="700" w:lineRule="exact"/>
        <w:jc w:val="center"/>
        <w:rPr>
          <w:rFonts w:ascii="黑体" w:hAnsi="黑体" w:eastAsia="黑体"/>
          <w:color w:val="auto"/>
          <w:sz w:val="72"/>
          <w:szCs w:val="72"/>
        </w:rPr>
      </w:pPr>
      <w:r>
        <w:rPr>
          <w:rFonts w:hint="eastAsia" w:ascii="黑体" w:hAnsi="黑体" w:eastAsia="黑体"/>
          <w:color w:val="auto"/>
          <w:sz w:val="72"/>
          <w:szCs w:val="72"/>
        </w:rPr>
        <w:t>公众参与说明</w:t>
      </w: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ind w:firstLine="480" w:firstLineChars="200"/>
        <w:rPr>
          <w:color w:val="auto"/>
          <w:sz w:val="24"/>
        </w:rPr>
      </w:pPr>
    </w:p>
    <w:p>
      <w:pPr>
        <w:spacing w:line="440" w:lineRule="exact"/>
        <w:rPr>
          <w:color w:val="auto"/>
          <w:sz w:val="24"/>
        </w:rPr>
      </w:pPr>
    </w:p>
    <w:p>
      <w:pPr>
        <w:spacing w:line="440" w:lineRule="exact"/>
        <w:rPr>
          <w:color w:val="auto"/>
          <w:sz w:val="24"/>
        </w:rPr>
      </w:pPr>
    </w:p>
    <w:p>
      <w:pPr>
        <w:spacing w:line="440" w:lineRule="exact"/>
        <w:rPr>
          <w:color w:val="auto"/>
          <w:sz w:val="24"/>
        </w:rPr>
      </w:pPr>
    </w:p>
    <w:p>
      <w:pPr>
        <w:widowControl/>
        <w:spacing w:line="360" w:lineRule="auto"/>
        <w:jc w:val="center"/>
        <w:rPr>
          <w:rFonts w:hint="eastAsia" w:ascii="宋体" w:hAnsi="宋体"/>
          <w:color w:val="auto"/>
          <w:sz w:val="32"/>
          <w:szCs w:val="32"/>
          <w:lang w:eastAsia="zh-CN"/>
        </w:rPr>
      </w:pPr>
      <w:r>
        <w:rPr>
          <w:rFonts w:hint="eastAsia" w:ascii="宋体" w:hAnsi="宋体"/>
          <w:color w:val="auto"/>
          <w:sz w:val="32"/>
          <w:szCs w:val="32"/>
          <w:lang w:eastAsia="zh-CN"/>
        </w:rPr>
        <w:t>锡林郭勒盟隆兴矿业有限责任公司</w:t>
      </w:r>
    </w:p>
    <w:p>
      <w:pPr>
        <w:widowControl/>
        <w:spacing w:line="360" w:lineRule="auto"/>
        <w:jc w:val="center"/>
        <w:rPr>
          <w:rFonts w:ascii="宋体" w:hAnsi="宋体"/>
          <w:color w:val="auto"/>
          <w:sz w:val="32"/>
          <w:szCs w:val="32"/>
        </w:rPr>
      </w:pPr>
      <w:r>
        <w:rPr>
          <w:rFonts w:hint="eastAsia" w:ascii="宋体" w:hAnsi="宋体"/>
          <w:color w:val="auto"/>
          <w:sz w:val="32"/>
          <w:szCs w:val="32"/>
        </w:rPr>
        <w:t>二〇二</w:t>
      </w:r>
      <w:r>
        <w:rPr>
          <w:rFonts w:hint="eastAsia" w:ascii="宋体" w:hAnsi="宋体"/>
          <w:color w:val="auto"/>
          <w:sz w:val="32"/>
          <w:szCs w:val="32"/>
          <w:lang w:val="en-US" w:eastAsia="zh-CN"/>
        </w:rPr>
        <w:t>四</w:t>
      </w:r>
      <w:r>
        <w:rPr>
          <w:rFonts w:hint="eastAsia" w:ascii="宋体" w:hAnsi="宋体"/>
          <w:color w:val="auto"/>
          <w:sz w:val="32"/>
          <w:szCs w:val="32"/>
        </w:rPr>
        <w:t>年</w:t>
      </w:r>
      <w:r>
        <w:rPr>
          <w:rFonts w:hint="eastAsia" w:ascii="宋体" w:hAnsi="宋体"/>
          <w:color w:val="auto"/>
          <w:sz w:val="32"/>
          <w:szCs w:val="32"/>
          <w:lang w:val="en-US" w:eastAsia="zh-CN"/>
        </w:rPr>
        <w:t>四</w:t>
      </w:r>
      <w:r>
        <w:rPr>
          <w:rFonts w:hint="eastAsia" w:ascii="宋体" w:hAnsi="宋体"/>
          <w:color w:val="auto"/>
          <w:sz w:val="32"/>
          <w:szCs w:val="32"/>
        </w:rPr>
        <w:t>月</w:t>
      </w:r>
    </w:p>
    <w:p>
      <w:pPr>
        <w:rPr>
          <w:rFonts w:ascii="宋体" w:hAnsi="宋体"/>
          <w:color w:val="auto"/>
          <w:sz w:val="32"/>
          <w:szCs w:val="32"/>
        </w:rPr>
      </w:pPr>
      <w:r>
        <w:rPr>
          <w:rFonts w:ascii="宋体" w:hAnsi="宋体"/>
          <w:color w:val="auto"/>
          <w:sz w:val="32"/>
          <w:szCs w:val="32"/>
        </w:rPr>
        <w:br w:type="page"/>
      </w:r>
    </w:p>
    <w:p>
      <w:pPr>
        <w:jc w:val="center"/>
        <w:rPr>
          <w:rFonts w:ascii="Calibri" w:hAnsi="Calibri" w:eastAsia="宋体" w:cs="黑体"/>
          <w:b/>
          <w:color w:val="auto"/>
          <w:sz w:val="36"/>
          <w:szCs w:val="22"/>
        </w:rPr>
      </w:pPr>
      <w:r>
        <w:rPr>
          <w:rFonts w:hint="eastAsia" w:ascii="Calibri" w:hAnsi="Calibri" w:eastAsia="宋体" w:cs="黑体"/>
          <w:b/>
          <w:color w:val="auto"/>
          <w:sz w:val="36"/>
          <w:szCs w:val="22"/>
        </w:rPr>
        <w:t>目录</w:t>
      </w:r>
      <w:bookmarkStart w:id="42" w:name="_GoBack"/>
      <w:bookmarkEnd w:id="42"/>
    </w:p>
    <w:p>
      <w:pPr>
        <w:rPr>
          <w:rFonts w:ascii="Calibri" w:hAnsi="Calibri" w:eastAsia="宋体" w:cs="黑体"/>
          <w:color w:val="auto"/>
          <w:szCs w:val="22"/>
        </w:rPr>
      </w:pPr>
    </w:p>
    <w:p>
      <w:pPr>
        <w:rPr>
          <w:rFonts w:ascii="Calibri" w:hAnsi="Calibri" w:eastAsia="宋体" w:cs="黑体"/>
          <w:color w:val="auto"/>
          <w:szCs w:val="22"/>
        </w:rPr>
      </w:pPr>
    </w:p>
    <w:p>
      <w:pPr>
        <w:pStyle w:val="15"/>
        <w:tabs>
          <w:tab w:val="right" w:leader="dot" w:pos="8302"/>
        </w:tabs>
        <w:spacing w:line="360" w:lineRule="auto"/>
        <w:ind w:left="0" w:leftChars="0"/>
        <w:rPr>
          <w:rFonts w:ascii="Calibri" w:hAnsi="Calibri" w:eastAsia="宋体" w:cs="黑体"/>
          <w:color w:val="auto"/>
          <w:sz w:val="24"/>
          <w:szCs w:val="22"/>
        </w:rPr>
      </w:pPr>
      <w:r>
        <w:rPr>
          <w:rFonts w:ascii="Calibri" w:hAnsi="Calibri" w:eastAsia="宋体" w:cs="黑体"/>
          <w:color w:val="auto"/>
          <w:szCs w:val="22"/>
        </w:rPr>
        <w:fldChar w:fldCharType="begin"/>
      </w:r>
      <w:r>
        <w:rPr>
          <w:rFonts w:ascii="Calibri" w:hAnsi="Calibri" w:eastAsia="宋体" w:cs="黑体"/>
          <w:color w:val="auto"/>
          <w:szCs w:val="22"/>
        </w:rPr>
        <w:instrText xml:space="preserve"> TOC \o "1-3" \h \z \u </w:instrText>
      </w:r>
      <w:r>
        <w:rPr>
          <w:rFonts w:ascii="Calibri" w:hAnsi="Calibri" w:eastAsia="宋体" w:cs="黑体"/>
          <w:color w:val="auto"/>
          <w:szCs w:val="22"/>
        </w:rPr>
        <w:fldChar w:fldCharType="separate"/>
      </w:r>
      <w:r>
        <w:rPr>
          <w:color w:val="auto"/>
        </w:rPr>
        <w:fldChar w:fldCharType="begin"/>
      </w:r>
      <w:r>
        <w:rPr>
          <w:color w:val="auto"/>
        </w:rPr>
        <w:instrText xml:space="preserve"> HYPERLINK \l "_Toc22547804" </w:instrText>
      </w:r>
      <w:r>
        <w:rPr>
          <w:color w:val="auto"/>
        </w:rPr>
        <w:fldChar w:fldCharType="separate"/>
      </w:r>
      <w:r>
        <w:rPr>
          <w:rStyle w:val="24"/>
          <w:color w:val="auto"/>
          <w:sz w:val="24"/>
        </w:rPr>
        <w:t xml:space="preserve">1 </w:t>
      </w:r>
      <w:r>
        <w:rPr>
          <w:rStyle w:val="24"/>
          <w:rFonts w:hint="eastAsia"/>
          <w:color w:val="auto"/>
          <w:sz w:val="24"/>
        </w:rPr>
        <w:t>公众参与的目的</w:t>
      </w:r>
      <w:r>
        <w:rPr>
          <w:color w:val="auto"/>
          <w:sz w:val="24"/>
        </w:rPr>
        <w:tab/>
      </w:r>
      <w:r>
        <w:rPr>
          <w:color w:val="auto"/>
          <w:sz w:val="24"/>
        </w:rPr>
        <w:fldChar w:fldCharType="begin"/>
      </w:r>
      <w:r>
        <w:rPr>
          <w:color w:val="auto"/>
          <w:sz w:val="24"/>
        </w:rPr>
        <w:instrText xml:space="preserve"> PAGEREF _Toc22547804 \h </w:instrText>
      </w:r>
      <w:r>
        <w:rPr>
          <w:color w:val="auto"/>
          <w:sz w:val="24"/>
        </w:rPr>
        <w:fldChar w:fldCharType="separate"/>
      </w:r>
      <w:r>
        <w:rPr>
          <w:color w:val="auto"/>
          <w:sz w:val="24"/>
        </w:rPr>
        <w:t>1</w:t>
      </w:r>
      <w:r>
        <w:rPr>
          <w:color w:val="auto"/>
          <w:sz w:val="24"/>
        </w:rPr>
        <w:fldChar w:fldCharType="end"/>
      </w:r>
      <w:r>
        <w:rPr>
          <w:color w:val="auto"/>
          <w:sz w:val="24"/>
        </w:rPr>
        <w:fldChar w:fldCharType="end"/>
      </w:r>
    </w:p>
    <w:p>
      <w:pPr>
        <w:pStyle w:val="15"/>
        <w:tabs>
          <w:tab w:val="right" w:leader="dot" w:pos="8302"/>
        </w:tabs>
        <w:spacing w:line="360" w:lineRule="auto"/>
        <w:ind w:left="0" w:leftChars="0"/>
        <w:rPr>
          <w:rFonts w:ascii="Calibri" w:hAnsi="Calibri" w:eastAsia="宋体" w:cs="黑体"/>
          <w:color w:val="auto"/>
          <w:sz w:val="24"/>
          <w:szCs w:val="22"/>
        </w:rPr>
      </w:pPr>
      <w:r>
        <w:rPr>
          <w:color w:val="auto"/>
        </w:rPr>
        <w:fldChar w:fldCharType="begin"/>
      </w:r>
      <w:r>
        <w:rPr>
          <w:color w:val="auto"/>
        </w:rPr>
        <w:instrText xml:space="preserve"> HYPERLINK \l "_Toc22547805" </w:instrText>
      </w:r>
      <w:r>
        <w:rPr>
          <w:color w:val="auto"/>
        </w:rPr>
        <w:fldChar w:fldCharType="separate"/>
      </w:r>
      <w:r>
        <w:rPr>
          <w:rStyle w:val="24"/>
          <w:color w:val="auto"/>
          <w:sz w:val="24"/>
        </w:rPr>
        <w:t xml:space="preserve">2 </w:t>
      </w:r>
      <w:r>
        <w:rPr>
          <w:rStyle w:val="24"/>
          <w:rFonts w:hint="eastAsia"/>
          <w:color w:val="auto"/>
          <w:sz w:val="24"/>
        </w:rPr>
        <w:t>公众参与调查方法与调查范围</w:t>
      </w:r>
      <w:r>
        <w:rPr>
          <w:color w:val="auto"/>
          <w:sz w:val="24"/>
        </w:rPr>
        <w:tab/>
      </w:r>
      <w:r>
        <w:rPr>
          <w:color w:val="auto"/>
          <w:sz w:val="24"/>
        </w:rPr>
        <w:fldChar w:fldCharType="begin"/>
      </w:r>
      <w:r>
        <w:rPr>
          <w:color w:val="auto"/>
          <w:sz w:val="24"/>
        </w:rPr>
        <w:instrText xml:space="preserve"> PAGEREF _Toc22547805 \h </w:instrText>
      </w:r>
      <w:r>
        <w:rPr>
          <w:color w:val="auto"/>
          <w:sz w:val="24"/>
        </w:rPr>
        <w:fldChar w:fldCharType="separate"/>
      </w:r>
      <w:r>
        <w:rPr>
          <w:color w:val="auto"/>
          <w:sz w:val="24"/>
        </w:rPr>
        <w:t>1</w:t>
      </w:r>
      <w:r>
        <w:rPr>
          <w:color w:val="auto"/>
          <w:sz w:val="24"/>
        </w:rPr>
        <w:fldChar w:fldCharType="end"/>
      </w:r>
      <w:r>
        <w:rPr>
          <w:color w:val="auto"/>
          <w:sz w:val="24"/>
        </w:rPr>
        <w:fldChar w:fldCharType="end"/>
      </w:r>
    </w:p>
    <w:p>
      <w:pPr>
        <w:pStyle w:val="15"/>
        <w:tabs>
          <w:tab w:val="right" w:leader="dot" w:pos="8302"/>
        </w:tabs>
        <w:spacing w:line="360" w:lineRule="auto"/>
        <w:ind w:left="0" w:leftChars="0"/>
        <w:rPr>
          <w:rFonts w:ascii="Calibri" w:hAnsi="Calibri" w:eastAsia="宋体" w:cs="黑体"/>
          <w:color w:val="auto"/>
          <w:sz w:val="24"/>
          <w:szCs w:val="22"/>
        </w:rPr>
      </w:pPr>
      <w:r>
        <w:rPr>
          <w:color w:val="auto"/>
        </w:rPr>
        <w:fldChar w:fldCharType="begin"/>
      </w:r>
      <w:r>
        <w:rPr>
          <w:color w:val="auto"/>
        </w:rPr>
        <w:instrText xml:space="preserve"> HYPERLINK \l "_Toc22547806" </w:instrText>
      </w:r>
      <w:r>
        <w:rPr>
          <w:color w:val="auto"/>
        </w:rPr>
        <w:fldChar w:fldCharType="separate"/>
      </w:r>
      <w:r>
        <w:rPr>
          <w:rStyle w:val="24"/>
          <w:color w:val="auto"/>
          <w:sz w:val="24"/>
        </w:rPr>
        <w:t xml:space="preserve">3 </w:t>
      </w:r>
      <w:r>
        <w:rPr>
          <w:rStyle w:val="24"/>
          <w:rFonts w:hint="eastAsia"/>
          <w:color w:val="auto"/>
          <w:sz w:val="24"/>
        </w:rPr>
        <w:t>公众参与调查过程</w:t>
      </w:r>
      <w:r>
        <w:rPr>
          <w:color w:val="auto"/>
          <w:sz w:val="24"/>
        </w:rPr>
        <w:tab/>
      </w:r>
      <w:r>
        <w:rPr>
          <w:color w:val="auto"/>
          <w:sz w:val="24"/>
        </w:rPr>
        <w:fldChar w:fldCharType="begin"/>
      </w:r>
      <w:r>
        <w:rPr>
          <w:color w:val="auto"/>
          <w:sz w:val="24"/>
        </w:rPr>
        <w:instrText xml:space="preserve"> PAGEREF _Toc22547806 \h </w:instrText>
      </w:r>
      <w:r>
        <w:rPr>
          <w:color w:val="auto"/>
          <w:sz w:val="24"/>
        </w:rPr>
        <w:fldChar w:fldCharType="separate"/>
      </w:r>
      <w:r>
        <w:rPr>
          <w:color w:val="auto"/>
          <w:sz w:val="24"/>
        </w:rPr>
        <w:t>1</w:t>
      </w:r>
      <w:r>
        <w:rPr>
          <w:color w:val="auto"/>
          <w:sz w:val="24"/>
        </w:rPr>
        <w:fldChar w:fldCharType="end"/>
      </w:r>
      <w:r>
        <w:rPr>
          <w:color w:val="auto"/>
          <w:sz w:val="24"/>
        </w:rPr>
        <w:fldChar w:fldCharType="end"/>
      </w:r>
    </w:p>
    <w:p>
      <w:pPr>
        <w:pStyle w:val="10"/>
        <w:tabs>
          <w:tab w:val="right" w:leader="dot" w:pos="8302"/>
        </w:tabs>
        <w:spacing w:line="360" w:lineRule="auto"/>
        <w:ind w:left="0" w:leftChars="0" w:firstLine="105" w:firstLineChars="50"/>
        <w:rPr>
          <w:rFonts w:ascii="Calibri" w:hAnsi="Calibri" w:eastAsia="宋体" w:cs="黑体"/>
          <w:color w:val="auto"/>
          <w:sz w:val="24"/>
          <w:szCs w:val="22"/>
        </w:rPr>
      </w:pPr>
      <w:r>
        <w:rPr>
          <w:color w:val="auto"/>
        </w:rPr>
        <w:fldChar w:fldCharType="begin"/>
      </w:r>
      <w:r>
        <w:rPr>
          <w:color w:val="auto"/>
        </w:rPr>
        <w:instrText xml:space="preserve"> HYPERLINK \l "_Toc22547807" </w:instrText>
      </w:r>
      <w:r>
        <w:rPr>
          <w:color w:val="auto"/>
        </w:rPr>
        <w:fldChar w:fldCharType="separate"/>
      </w:r>
      <w:r>
        <w:rPr>
          <w:rStyle w:val="24"/>
          <w:color w:val="auto"/>
          <w:sz w:val="24"/>
        </w:rPr>
        <w:t xml:space="preserve">3.1 </w:t>
      </w:r>
      <w:r>
        <w:rPr>
          <w:rStyle w:val="24"/>
          <w:rFonts w:hint="eastAsia"/>
          <w:color w:val="auto"/>
          <w:sz w:val="24"/>
        </w:rPr>
        <w:t>第一次公示</w:t>
      </w:r>
      <w:r>
        <w:rPr>
          <w:color w:val="auto"/>
          <w:sz w:val="24"/>
        </w:rPr>
        <w:tab/>
      </w:r>
      <w:r>
        <w:rPr>
          <w:color w:val="auto"/>
          <w:sz w:val="24"/>
        </w:rPr>
        <w:fldChar w:fldCharType="begin"/>
      </w:r>
      <w:r>
        <w:rPr>
          <w:color w:val="auto"/>
          <w:sz w:val="24"/>
        </w:rPr>
        <w:instrText xml:space="preserve"> PAGEREF _Toc22547807 \h </w:instrText>
      </w:r>
      <w:r>
        <w:rPr>
          <w:color w:val="auto"/>
          <w:sz w:val="24"/>
        </w:rPr>
        <w:fldChar w:fldCharType="separate"/>
      </w:r>
      <w:r>
        <w:rPr>
          <w:color w:val="auto"/>
          <w:sz w:val="24"/>
        </w:rPr>
        <w:t>1</w:t>
      </w:r>
      <w:r>
        <w:rPr>
          <w:color w:val="auto"/>
          <w:sz w:val="24"/>
        </w:rPr>
        <w:fldChar w:fldCharType="end"/>
      </w:r>
      <w:r>
        <w:rPr>
          <w:color w:val="auto"/>
          <w:sz w:val="24"/>
        </w:rPr>
        <w:fldChar w:fldCharType="end"/>
      </w:r>
    </w:p>
    <w:p>
      <w:pPr>
        <w:pStyle w:val="10"/>
        <w:tabs>
          <w:tab w:val="right" w:leader="dot" w:pos="8302"/>
        </w:tabs>
        <w:spacing w:line="360" w:lineRule="auto"/>
        <w:ind w:left="0" w:leftChars="0" w:firstLine="105" w:firstLineChars="50"/>
        <w:rPr>
          <w:rStyle w:val="24"/>
          <w:color w:val="auto"/>
          <w:sz w:val="24"/>
        </w:rPr>
      </w:pPr>
      <w:r>
        <w:rPr>
          <w:color w:val="auto"/>
        </w:rPr>
        <w:fldChar w:fldCharType="begin"/>
      </w:r>
      <w:r>
        <w:rPr>
          <w:color w:val="auto"/>
        </w:rPr>
        <w:instrText xml:space="preserve"> HYPERLINK \l "_Toc22547811" </w:instrText>
      </w:r>
      <w:r>
        <w:rPr>
          <w:color w:val="auto"/>
        </w:rPr>
        <w:fldChar w:fldCharType="separate"/>
      </w:r>
      <w:r>
        <w:rPr>
          <w:rStyle w:val="24"/>
          <w:color w:val="auto"/>
          <w:sz w:val="24"/>
        </w:rPr>
        <w:t xml:space="preserve">3.2 </w:t>
      </w:r>
      <w:r>
        <w:rPr>
          <w:rStyle w:val="24"/>
          <w:rFonts w:hint="eastAsia"/>
          <w:color w:val="auto"/>
          <w:sz w:val="24"/>
        </w:rPr>
        <w:t>第二次公示</w:t>
      </w:r>
      <w:r>
        <w:rPr>
          <w:color w:val="auto"/>
          <w:sz w:val="24"/>
        </w:rPr>
        <w:tab/>
      </w:r>
      <w:r>
        <w:rPr>
          <w:color w:val="auto"/>
          <w:sz w:val="24"/>
        </w:rPr>
        <w:fldChar w:fldCharType="begin"/>
      </w:r>
      <w:r>
        <w:rPr>
          <w:color w:val="auto"/>
          <w:sz w:val="24"/>
        </w:rPr>
        <w:instrText xml:space="preserve"> PAGEREF _Toc22547811 \h </w:instrText>
      </w:r>
      <w:r>
        <w:rPr>
          <w:color w:val="auto"/>
          <w:sz w:val="24"/>
        </w:rPr>
        <w:fldChar w:fldCharType="separate"/>
      </w:r>
      <w:r>
        <w:rPr>
          <w:color w:val="auto"/>
          <w:sz w:val="24"/>
        </w:rPr>
        <w:t>4</w:t>
      </w:r>
      <w:r>
        <w:rPr>
          <w:color w:val="auto"/>
          <w:sz w:val="24"/>
        </w:rPr>
        <w:fldChar w:fldCharType="end"/>
      </w:r>
      <w:r>
        <w:rPr>
          <w:color w:val="auto"/>
          <w:sz w:val="24"/>
        </w:rPr>
        <w:fldChar w:fldCharType="end"/>
      </w:r>
    </w:p>
    <w:p>
      <w:pPr>
        <w:pStyle w:val="10"/>
        <w:tabs>
          <w:tab w:val="right" w:leader="dot" w:pos="8302"/>
        </w:tabs>
        <w:spacing w:line="360" w:lineRule="auto"/>
        <w:ind w:left="0" w:leftChars="0" w:firstLine="105" w:firstLineChars="50"/>
        <w:rPr>
          <w:rStyle w:val="24"/>
          <w:color w:val="auto"/>
          <w:sz w:val="24"/>
        </w:rPr>
      </w:pPr>
      <w:r>
        <w:rPr>
          <w:color w:val="auto"/>
        </w:rPr>
        <w:fldChar w:fldCharType="begin"/>
      </w:r>
      <w:r>
        <w:rPr>
          <w:color w:val="auto"/>
        </w:rPr>
        <w:instrText xml:space="preserve"> HYPERLINK \l "_Toc22547811" </w:instrText>
      </w:r>
      <w:r>
        <w:rPr>
          <w:color w:val="auto"/>
        </w:rPr>
        <w:fldChar w:fldCharType="separate"/>
      </w:r>
      <w:r>
        <w:rPr>
          <w:rStyle w:val="24"/>
          <w:color w:val="auto"/>
          <w:sz w:val="24"/>
        </w:rPr>
        <w:t>3.</w:t>
      </w:r>
      <w:r>
        <w:rPr>
          <w:rStyle w:val="24"/>
          <w:rFonts w:hint="eastAsia"/>
          <w:color w:val="auto"/>
          <w:sz w:val="24"/>
        </w:rPr>
        <w:t>3</w:t>
      </w:r>
      <w:r>
        <w:rPr>
          <w:rStyle w:val="24"/>
          <w:color w:val="auto"/>
          <w:sz w:val="24"/>
        </w:rPr>
        <w:t xml:space="preserve"> </w:t>
      </w:r>
      <w:r>
        <w:rPr>
          <w:rStyle w:val="24"/>
          <w:rFonts w:hint="eastAsia"/>
          <w:color w:val="auto"/>
          <w:sz w:val="24"/>
        </w:rPr>
        <w:t>公众参与结论</w:t>
      </w:r>
      <w:r>
        <w:rPr>
          <w:color w:val="auto"/>
          <w:sz w:val="24"/>
        </w:rPr>
        <w:tab/>
      </w:r>
      <w:r>
        <w:rPr>
          <w:rFonts w:hint="eastAsia"/>
          <w:color w:val="auto"/>
          <w:sz w:val="24"/>
        </w:rPr>
        <w:t>1</w:t>
      </w:r>
      <w:r>
        <w:rPr>
          <w:color w:val="auto"/>
          <w:sz w:val="24"/>
        </w:rPr>
        <w:fldChar w:fldCharType="begin"/>
      </w:r>
      <w:r>
        <w:rPr>
          <w:color w:val="auto"/>
          <w:sz w:val="24"/>
        </w:rPr>
        <w:instrText xml:space="preserve"> PAGEREF _Toc22547811 \h </w:instrText>
      </w:r>
      <w:r>
        <w:rPr>
          <w:color w:val="auto"/>
          <w:sz w:val="24"/>
        </w:rPr>
        <w:fldChar w:fldCharType="separate"/>
      </w:r>
      <w:r>
        <w:rPr>
          <w:color w:val="auto"/>
          <w:sz w:val="24"/>
        </w:rPr>
        <w:t>4</w:t>
      </w:r>
      <w:r>
        <w:rPr>
          <w:color w:val="auto"/>
          <w:sz w:val="24"/>
        </w:rPr>
        <w:fldChar w:fldCharType="end"/>
      </w:r>
      <w:r>
        <w:rPr>
          <w:color w:val="auto"/>
          <w:sz w:val="24"/>
        </w:rPr>
        <w:fldChar w:fldCharType="end"/>
      </w:r>
    </w:p>
    <w:p>
      <w:pPr>
        <w:rPr>
          <w:color w:val="auto"/>
        </w:rPr>
      </w:pPr>
    </w:p>
    <w:p>
      <w:pPr>
        <w:rPr>
          <w:rFonts w:ascii="Calibri" w:hAnsi="Calibri" w:eastAsia="宋体" w:cs="黑体"/>
          <w:color w:val="auto"/>
          <w:szCs w:val="22"/>
        </w:rPr>
      </w:pPr>
      <w:r>
        <w:rPr>
          <w:rFonts w:ascii="Calibri" w:hAnsi="Calibri" w:eastAsia="宋体" w:cs="黑体"/>
          <w:color w:val="auto"/>
          <w:szCs w:val="22"/>
        </w:rPr>
        <w:fldChar w:fldCharType="end"/>
      </w:r>
    </w:p>
    <w:p>
      <w:pPr>
        <w:widowControl/>
        <w:jc w:val="left"/>
        <w:rPr>
          <w:rFonts w:ascii="Calibri" w:hAnsi="Calibri" w:eastAsia="宋体" w:cs="黑体"/>
          <w:color w:val="auto"/>
          <w:szCs w:val="22"/>
        </w:rPr>
      </w:pPr>
      <w:r>
        <w:rPr>
          <w:rFonts w:ascii="Calibri" w:hAnsi="Calibri" w:eastAsia="宋体" w:cs="黑体"/>
          <w:color w:val="auto"/>
          <w:szCs w:val="22"/>
        </w:rPr>
        <w:br w:type="page"/>
      </w:r>
    </w:p>
    <w:p>
      <w:pPr>
        <w:rPr>
          <w:rFonts w:ascii="Calibri" w:hAnsi="Calibri" w:eastAsia="宋体" w:cs="黑体"/>
          <w:color w:val="auto"/>
          <w:szCs w:val="22"/>
        </w:rPr>
        <w:sectPr>
          <w:footerReference r:id="rId3" w:type="default"/>
          <w:pgSz w:w="11906" w:h="16838"/>
          <w:pgMar w:top="1440" w:right="1797" w:bottom="1440" w:left="1797" w:header="851" w:footer="992" w:gutter="0"/>
          <w:pgNumType w:start="0"/>
          <w:cols w:space="720" w:num="1"/>
          <w:docGrid w:linePitch="312" w:charSpace="0"/>
        </w:sectPr>
      </w:pPr>
    </w:p>
    <w:p>
      <w:pPr>
        <w:pStyle w:val="29"/>
        <w:rPr>
          <w:color w:val="auto"/>
        </w:rPr>
      </w:pPr>
      <w:bookmarkStart w:id="1" w:name="_Toc490464043"/>
      <w:bookmarkStart w:id="2" w:name="_Toc22547804"/>
      <w:r>
        <w:rPr>
          <w:color w:val="auto"/>
        </w:rPr>
        <w:t xml:space="preserve">1 </w:t>
      </w:r>
      <w:r>
        <w:rPr>
          <w:rFonts w:hint="eastAsia"/>
          <w:color w:val="auto"/>
        </w:rPr>
        <w:t>公众参与的目的</w:t>
      </w:r>
      <w:bookmarkEnd w:id="1"/>
      <w:bookmarkEnd w:id="2"/>
    </w:p>
    <w:p>
      <w:pPr>
        <w:pStyle w:val="27"/>
        <w:ind w:firstLine="480"/>
        <w:rPr>
          <w:color w:val="auto"/>
        </w:rPr>
      </w:pPr>
      <w:r>
        <w:rPr>
          <w:rFonts w:hint="eastAsia"/>
          <w:color w:val="auto"/>
        </w:rPr>
        <w:t>本次公众参与调查方法依据</w:t>
      </w:r>
      <w:r>
        <w:rPr>
          <w:color w:val="auto"/>
        </w:rPr>
        <w:t>《环境影响评价公众参与办法》</w:t>
      </w:r>
      <w:r>
        <w:rPr>
          <w:rFonts w:hint="eastAsia"/>
          <w:color w:val="auto"/>
        </w:rPr>
        <w:t>（</w:t>
      </w:r>
      <w:r>
        <w:rPr>
          <w:color w:val="auto"/>
        </w:rPr>
        <w:t>生态环境部令第4号</w:t>
      </w:r>
      <w:r>
        <w:rPr>
          <w:rFonts w:hint="eastAsia"/>
          <w:color w:val="auto"/>
        </w:rPr>
        <w:t>）、《中华人民共和国环境影响评价法》（2018年12月29日修正）等相关规定进行的。</w:t>
      </w:r>
    </w:p>
    <w:p>
      <w:pPr>
        <w:pStyle w:val="27"/>
        <w:ind w:firstLine="480"/>
        <w:rPr>
          <w:color w:val="auto"/>
        </w:rPr>
      </w:pPr>
      <w:r>
        <w:rPr>
          <w:rFonts w:hint="eastAsia"/>
          <w:color w:val="auto"/>
        </w:rPr>
        <w:t>公众参与是环境影响评价工作的一项重要内容，是建设单位与评价单位同建设项目所在地公众之间的一种双向交流，通过调查可达到以下目的：</w:t>
      </w:r>
    </w:p>
    <w:p>
      <w:pPr>
        <w:pStyle w:val="27"/>
        <w:ind w:firstLine="480"/>
        <w:rPr>
          <w:color w:val="auto"/>
        </w:rPr>
      </w:pPr>
      <w:r>
        <w:rPr>
          <w:rFonts w:hint="eastAsia"/>
          <w:color w:val="auto"/>
        </w:rPr>
        <w:t>（1）全面了解项目所在地环境背景信息，及时发现潜在环境问题，提高环境影响评价的科学性和针对性；</w:t>
      </w:r>
    </w:p>
    <w:p>
      <w:pPr>
        <w:pStyle w:val="27"/>
        <w:ind w:firstLine="480"/>
        <w:rPr>
          <w:color w:val="auto"/>
        </w:rPr>
      </w:pPr>
      <w:r>
        <w:rPr>
          <w:rFonts w:hint="eastAsia"/>
          <w:color w:val="auto"/>
        </w:rPr>
        <w:t>（2）充分考虑项目所涉及的各方面利益，化解不良环境影响可能带来的社会矛盾；</w:t>
      </w:r>
    </w:p>
    <w:p>
      <w:pPr>
        <w:pStyle w:val="27"/>
        <w:ind w:firstLine="480"/>
        <w:rPr>
          <w:color w:val="auto"/>
        </w:rPr>
      </w:pPr>
      <w:r>
        <w:rPr>
          <w:rFonts w:hint="eastAsia"/>
          <w:color w:val="auto"/>
        </w:rPr>
        <w:t>（3）提出经济、有效、切实可行、并减缓不利影响的环保措施。</w:t>
      </w:r>
    </w:p>
    <w:p>
      <w:pPr>
        <w:pStyle w:val="27"/>
        <w:ind w:firstLine="480"/>
        <w:rPr>
          <w:color w:val="auto"/>
        </w:rPr>
      </w:pPr>
      <w:r>
        <w:rPr>
          <w:rFonts w:hint="eastAsia"/>
          <w:color w:val="auto"/>
        </w:rPr>
        <w:t>（4）坚持以人为本的原则，维护公众合法的环境权益。</w:t>
      </w:r>
    </w:p>
    <w:p>
      <w:pPr>
        <w:pStyle w:val="27"/>
        <w:ind w:firstLine="480"/>
        <w:rPr>
          <w:color w:val="auto"/>
        </w:rPr>
      </w:pPr>
      <w:r>
        <w:rPr>
          <w:rFonts w:hint="eastAsia"/>
          <w:color w:val="auto"/>
        </w:rPr>
        <w:t>（5）推动各级政府决策的民主化和科学化。</w:t>
      </w:r>
    </w:p>
    <w:p>
      <w:pPr>
        <w:pStyle w:val="27"/>
        <w:ind w:firstLine="480"/>
        <w:rPr>
          <w:color w:val="auto"/>
        </w:rPr>
      </w:pPr>
      <w:r>
        <w:rPr>
          <w:rFonts w:hint="eastAsia"/>
          <w:color w:val="auto"/>
        </w:rPr>
        <w:t>同时，在环境影响评价过程中实施公众参与可提高评价的有效性，提高公众的环境保护意识，促进环境影响评价制度的完善，提高环境质量，有利于项目实施可持续发展。</w:t>
      </w:r>
    </w:p>
    <w:p>
      <w:pPr>
        <w:pStyle w:val="29"/>
        <w:rPr>
          <w:color w:val="auto"/>
        </w:rPr>
      </w:pPr>
      <w:bookmarkStart w:id="3" w:name="_Toc472495162"/>
      <w:bookmarkStart w:id="4" w:name="_Toc490464046"/>
      <w:bookmarkStart w:id="5" w:name="_Toc22547805"/>
      <w:r>
        <w:rPr>
          <w:color w:val="auto"/>
        </w:rPr>
        <w:t>2 公众参与</w:t>
      </w:r>
      <w:r>
        <w:rPr>
          <w:rFonts w:hint="eastAsia"/>
          <w:color w:val="auto"/>
        </w:rPr>
        <w:t>调查方法</w:t>
      </w:r>
      <w:bookmarkEnd w:id="3"/>
      <w:bookmarkEnd w:id="4"/>
      <w:r>
        <w:rPr>
          <w:rFonts w:hint="eastAsia"/>
          <w:color w:val="auto"/>
        </w:rPr>
        <w:t>与调查范围</w:t>
      </w:r>
      <w:bookmarkEnd w:id="5"/>
    </w:p>
    <w:p>
      <w:pPr>
        <w:pStyle w:val="27"/>
        <w:ind w:firstLine="480"/>
        <w:rPr>
          <w:color w:val="auto"/>
        </w:rPr>
      </w:pPr>
      <w:r>
        <w:rPr>
          <w:rFonts w:hint="eastAsia"/>
          <w:color w:val="auto"/>
        </w:rPr>
        <w:t>本次公众参与采用网络平台、报纸、张贴公告三种方法对项目区域附近公众进行了公示，网络平台为</w:t>
      </w:r>
      <w:r>
        <w:rPr>
          <w:rFonts w:hint="eastAsia"/>
          <w:color w:val="auto"/>
          <w:highlight w:val="none"/>
          <w:lang w:val="en-US" w:eastAsia="zh-CN"/>
        </w:rPr>
        <w:t>全国建设项目环境信息公示平台</w:t>
      </w:r>
      <w:r>
        <w:rPr>
          <w:rFonts w:hint="eastAsia"/>
          <w:color w:val="auto"/>
          <w:lang w:eastAsia="zh-CN"/>
        </w:rPr>
        <w:t>网站</w:t>
      </w:r>
      <w:r>
        <w:rPr>
          <w:rFonts w:hint="eastAsia"/>
          <w:color w:val="auto"/>
        </w:rPr>
        <w:t>，报纸为</w:t>
      </w:r>
      <w:r>
        <w:rPr>
          <w:rFonts w:hint="eastAsia"/>
          <w:color w:val="auto"/>
          <w:highlight w:val="none"/>
          <w:lang w:val="en-US" w:eastAsia="zh-CN"/>
        </w:rPr>
        <w:t>锡林郭勒日</w:t>
      </w:r>
      <w:r>
        <w:rPr>
          <w:rFonts w:hint="eastAsia"/>
          <w:color w:val="auto"/>
          <w:highlight w:val="none"/>
        </w:rPr>
        <w:t>报</w:t>
      </w:r>
      <w:r>
        <w:rPr>
          <w:rFonts w:hint="eastAsia"/>
          <w:color w:val="auto"/>
        </w:rPr>
        <w:t>，张贴地点为</w:t>
      </w:r>
      <w:r>
        <w:rPr>
          <w:rFonts w:hint="eastAsia"/>
          <w:color w:val="auto"/>
          <w:highlight w:val="none"/>
          <w:lang w:val="en-US" w:eastAsia="zh-CN"/>
        </w:rPr>
        <w:t>阿巴嘎旗</w:t>
      </w:r>
      <w:r>
        <w:rPr>
          <w:rFonts w:hint="eastAsia"/>
          <w:color w:val="auto"/>
          <w:highlight w:val="none"/>
        </w:rPr>
        <w:t>巴彦图嘎苏木公告栏</w:t>
      </w:r>
      <w:r>
        <w:rPr>
          <w:rFonts w:hint="eastAsia"/>
          <w:color w:val="auto"/>
        </w:rPr>
        <w:t>，报纸、张贴公告均为项目所在地的平台，保证了公众参与的有效性。</w:t>
      </w:r>
    </w:p>
    <w:p>
      <w:pPr>
        <w:pStyle w:val="29"/>
        <w:rPr>
          <w:color w:val="auto"/>
        </w:rPr>
      </w:pPr>
      <w:bookmarkStart w:id="6" w:name="_Toc472495165"/>
      <w:bookmarkStart w:id="7" w:name="_Toc490464049"/>
      <w:bookmarkStart w:id="8" w:name="_Toc22547806"/>
      <w:r>
        <w:rPr>
          <w:rFonts w:hint="eastAsia"/>
          <w:color w:val="auto"/>
        </w:rPr>
        <w:t>3</w:t>
      </w:r>
      <w:r>
        <w:rPr>
          <w:color w:val="auto"/>
        </w:rPr>
        <w:t xml:space="preserve"> </w:t>
      </w:r>
      <w:r>
        <w:rPr>
          <w:rFonts w:hint="eastAsia"/>
          <w:color w:val="auto"/>
        </w:rPr>
        <w:t>公众参与调查过程</w:t>
      </w:r>
      <w:bookmarkEnd w:id="6"/>
      <w:bookmarkEnd w:id="7"/>
      <w:bookmarkEnd w:id="8"/>
    </w:p>
    <w:p>
      <w:pPr>
        <w:pStyle w:val="31"/>
        <w:rPr>
          <w:color w:val="auto"/>
        </w:rPr>
      </w:pPr>
      <w:bookmarkStart w:id="9" w:name="_Toc472495166"/>
      <w:bookmarkStart w:id="10" w:name="_Toc490464050"/>
      <w:bookmarkStart w:id="11" w:name="_Toc22547807"/>
      <w:r>
        <w:rPr>
          <w:rFonts w:hint="eastAsia"/>
          <w:color w:val="auto"/>
        </w:rPr>
        <w:t>3</w:t>
      </w:r>
      <w:r>
        <w:rPr>
          <w:color w:val="auto"/>
        </w:rPr>
        <w:t xml:space="preserve">.1 </w:t>
      </w:r>
      <w:r>
        <w:rPr>
          <w:rFonts w:hint="eastAsia"/>
          <w:color w:val="auto"/>
        </w:rPr>
        <w:t>第一次公示</w:t>
      </w:r>
      <w:bookmarkEnd w:id="9"/>
      <w:bookmarkEnd w:id="10"/>
      <w:bookmarkEnd w:id="11"/>
    </w:p>
    <w:p>
      <w:pPr>
        <w:pStyle w:val="27"/>
        <w:keepNext w:val="0"/>
        <w:keepLines w:val="0"/>
        <w:pageBreakBefore w:val="0"/>
        <w:widowControl/>
        <w:kinsoku/>
        <w:wordWrap w:val="0"/>
        <w:overflowPunct/>
        <w:topLinePunct w:val="0"/>
        <w:autoSpaceDE/>
        <w:autoSpaceDN/>
        <w:bidi w:val="0"/>
        <w:adjustRightInd/>
        <w:snapToGrid/>
        <w:ind w:firstLine="480"/>
        <w:textAlignment w:val="auto"/>
        <w:rPr>
          <w:color w:val="auto"/>
        </w:rPr>
      </w:pPr>
      <w:r>
        <w:rPr>
          <w:rFonts w:hint="eastAsia"/>
          <w:color w:val="auto"/>
        </w:rPr>
        <w:t>我单位于</w:t>
      </w:r>
      <w:r>
        <w:rPr>
          <w:color w:val="auto"/>
        </w:rPr>
        <w:t>20</w:t>
      </w:r>
      <w:r>
        <w:rPr>
          <w:rFonts w:hint="eastAsia"/>
          <w:color w:val="auto"/>
        </w:rPr>
        <w:t>2</w:t>
      </w:r>
      <w:r>
        <w:rPr>
          <w:rFonts w:hint="eastAsia"/>
          <w:color w:val="auto"/>
          <w:lang w:val="en-US" w:eastAsia="zh-CN"/>
        </w:rPr>
        <w:t>4</w:t>
      </w:r>
      <w:r>
        <w:rPr>
          <w:rFonts w:hint="eastAsia"/>
          <w:color w:val="auto"/>
        </w:rPr>
        <w:t>年</w:t>
      </w:r>
      <w:r>
        <w:rPr>
          <w:rFonts w:hint="eastAsia"/>
          <w:color w:val="auto"/>
          <w:lang w:val="en-US" w:eastAsia="zh-CN"/>
        </w:rPr>
        <w:t>3</w:t>
      </w:r>
      <w:r>
        <w:rPr>
          <w:rFonts w:hint="eastAsia"/>
          <w:color w:val="auto"/>
        </w:rPr>
        <w:t>月</w:t>
      </w:r>
      <w:r>
        <w:rPr>
          <w:rFonts w:hint="eastAsia"/>
          <w:color w:val="auto"/>
          <w:lang w:val="en-US" w:eastAsia="zh-CN"/>
        </w:rPr>
        <w:t>7</w:t>
      </w:r>
      <w:r>
        <w:rPr>
          <w:rFonts w:hint="eastAsia"/>
          <w:color w:val="auto"/>
        </w:rPr>
        <w:t>日在</w:t>
      </w:r>
      <w:r>
        <w:rPr>
          <w:rFonts w:hint="eastAsia"/>
          <w:color w:val="auto"/>
          <w:highlight w:val="none"/>
          <w:lang w:val="en-US" w:eastAsia="zh-CN"/>
        </w:rPr>
        <w:t>全国建设项目环境信息公示平台</w:t>
      </w:r>
      <w:r>
        <w:rPr>
          <w:rFonts w:hint="eastAsia"/>
          <w:color w:val="auto"/>
          <w:lang w:val="en-US" w:eastAsia="zh-CN"/>
        </w:rPr>
        <w:t>网站</w:t>
      </w:r>
      <w:r>
        <w:rPr>
          <w:rFonts w:hint="eastAsia"/>
          <w:color w:val="auto"/>
        </w:rPr>
        <w:t>进行了第一次公示，公示的网址为https://www.eiacloud.com/gs/detail/1?id=40307ks12E，信息公开时间为10个工作日，第一次公示的内容包含：</w:t>
      </w:r>
    </w:p>
    <w:p>
      <w:pPr>
        <w:pStyle w:val="27"/>
        <w:ind w:firstLine="480"/>
        <w:rPr>
          <w:color w:val="auto"/>
        </w:rPr>
      </w:pPr>
      <w:r>
        <w:rPr>
          <w:rFonts w:hint="eastAsia"/>
          <w:color w:val="auto"/>
        </w:rPr>
        <w:t>（一）项目的名称、建设内容等基本情况；</w:t>
      </w:r>
    </w:p>
    <w:p>
      <w:pPr>
        <w:pStyle w:val="27"/>
        <w:ind w:firstLine="480"/>
        <w:rPr>
          <w:color w:val="auto"/>
        </w:rPr>
      </w:pPr>
      <w:r>
        <w:rPr>
          <w:rFonts w:hint="eastAsia"/>
          <w:color w:val="auto"/>
        </w:rPr>
        <w:t>（二）建设单位名称和联系方式；</w:t>
      </w:r>
    </w:p>
    <w:p>
      <w:pPr>
        <w:pStyle w:val="27"/>
        <w:ind w:firstLine="480"/>
        <w:rPr>
          <w:color w:val="auto"/>
        </w:rPr>
      </w:pPr>
      <w:r>
        <w:rPr>
          <w:rFonts w:hint="eastAsia"/>
          <w:color w:val="auto"/>
        </w:rPr>
        <w:t>（三）环境影响报告书编制单位的名称；</w:t>
      </w:r>
    </w:p>
    <w:p>
      <w:pPr>
        <w:pStyle w:val="27"/>
        <w:ind w:firstLine="480"/>
        <w:rPr>
          <w:color w:val="auto"/>
        </w:rPr>
      </w:pPr>
      <w:r>
        <w:rPr>
          <w:rFonts w:hint="eastAsia"/>
          <w:color w:val="auto"/>
        </w:rPr>
        <w:t>（四）公众意见表的网络链接；</w:t>
      </w:r>
    </w:p>
    <w:p>
      <w:pPr>
        <w:pStyle w:val="27"/>
        <w:ind w:firstLine="480"/>
        <w:rPr>
          <w:color w:val="auto"/>
        </w:rPr>
      </w:pPr>
      <w:r>
        <w:rPr>
          <w:rFonts w:hint="eastAsia"/>
          <w:color w:val="auto"/>
        </w:rPr>
        <w:t>（五）提交公众意见表的方式和途径。</w:t>
      </w:r>
    </w:p>
    <w:p>
      <w:pPr>
        <w:pStyle w:val="27"/>
        <w:ind w:firstLine="480"/>
        <w:rPr>
          <w:color w:val="auto"/>
        </w:rPr>
      </w:pPr>
      <w:r>
        <w:rPr>
          <w:rFonts w:hint="eastAsia"/>
          <w:color w:val="auto"/>
        </w:rPr>
        <w:t>第一次公示的方式见图3-1。</w:t>
      </w:r>
    </w:p>
    <w:p>
      <w:pPr>
        <w:pStyle w:val="28"/>
        <w:rPr>
          <w:rFonts w:hint="eastAsia" w:eastAsia="宋体"/>
          <w:color w:val="auto"/>
          <w:lang w:eastAsia="zh-CN"/>
        </w:rPr>
      </w:pPr>
      <w:r>
        <w:rPr>
          <w:rFonts w:hint="eastAsia" w:eastAsia="宋体"/>
          <w:color w:val="auto"/>
          <w:lang w:eastAsia="zh-CN"/>
        </w:rPr>
        <w:pict>
          <v:shape id="_x0000_i1035" o:spt="75" alt="内蒙古自治区阿巴嘎旗巴彦图嘎三队李瑛萤石矿改扩建工程 （二期150万吨_年采选工程）环境影响报告书公" type="#_x0000_t75" style="height:339.45pt;width:414.85pt;" filled="f" o:preferrelative="t" stroked="f" coordsize="21600,21600">
            <v:path/>
            <v:fill on="f" focussize="0,0"/>
            <v:stroke on="f"/>
            <v:imagedata r:id="rId9" o:title="内蒙古自治区阿巴嘎旗巴彦图嘎三队李瑛萤石矿改扩建工程 （二期150万吨_年采选工程）环境影响报告书公"/>
            <o:lock v:ext="edit" aspectratio="t"/>
            <w10:wrap type="none"/>
            <w10:anchorlock/>
          </v:shape>
        </w:pict>
      </w:r>
    </w:p>
    <w:p>
      <w:pPr>
        <w:pStyle w:val="28"/>
        <w:rPr>
          <w:rFonts w:hint="eastAsia" w:eastAsia="宋体"/>
          <w:color w:val="auto"/>
          <w:lang w:eastAsia="zh-CN"/>
        </w:rPr>
      </w:pPr>
      <w:r>
        <w:rPr>
          <w:rFonts w:hint="eastAsia"/>
          <w:color w:val="auto"/>
          <w:lang w:val="en-US" w:eastAsia="zh-CN"/>
        </w:rPr>
        <w:t xml:space="preserve">    </w:t>
      </w:r>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b/>
          <w:bCs/>
          <w:sz w:val="24"/>
          <w:szCs w:val="24"/>
        </w:rPr>
      </w:pPr>
      <w:bookmarkStart w:id="12" w:name="_Toc22547808"/>
      <w:r>
        <w:rPr>
          <w:rFonts w:hint="eastAsia"/>
          <w:b/>
          <w:bCs/>
          <w:sz w:val="24"/>
          <w:szCs w:val="24"/>
        </w:rPr>
        <w:t>图3-1  环评第一次信息公示（网络）</w:t>
      </w:r>
      <w:bookmarkEnd w:id="12"/>
    </w:p>
    <w:p>
      <w:pPr>
        <w:widowControl/>
        <w:jc w:val="left"/>
        <w:rPr>
          <w:color w:val="auto"/>
          <w:sz w:val="24"/>
          <w:szCs w:val="22"/>
        </w:rPr>
      </w:pPr>
      <w:r>
        <w:rPr>
          <w:color w:val="auto"/>
        </w:rPr>
        <w:br w:type="page"/>
      </w:r>
    </w:p>
    <w:p>
      <w:pPr>
        <w:pStyle w:val="27"/>
        <w:ind w:firstLine="480"/>
        <w:rPr>
          <w:color w:val="auto"/>
        </w:rPr>
      </w:pPr>
      <w:r>
        <w:rPr>
          <w:rFonts w:hint="eastAsia"/>
          <w:color w:val="auto"/>
        </w:rPr>
        <w:t>第一次公示的内容如下：</w:t>
      </w:r>
    </w:p>
    <w:tbl>
      <w:tblPr>
        <w:tblStyle w:val="20"/>
        <w:tblW w:w="8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32" w:type="dxa"/>
            <w:vAlign w:val="top"/>
          </w:tcPr>
          <w:p>
            <w:pPr>
              <w:spacing w:line="360" w:lineRule="auto"/>
              <w:ind w:firstLine="562"/>
              <w:jc w:val="center"/>
              <w:rPr>
                <w:b/>
                <w:bCs/>
                <w:color w:val="auto"/>
                <w:kern w:val="0"/>
                <w:sz w:val="28"/>
                <w:szCs w:val="40"/>
              </w:rPr>
            </w:pPr>
          </w:p>
          <w:p>
            <w:pPr>
              <w:spacing w:line="360" w:lineRule="auto"/>
              <w:ind w:firstLine="562"/>
              <w:jc w:val="center"/>
              <w:rPr>
                <w:rFonts w:hint="eastAsia"/>
                <w:b/>
                <w:bCs/>
                <w:color w:val="auto"/>
                <w:kern w:val="0"/>
                <w:sz w:val="28"/>
                <w:szCs w:val="28"/>
              </w:rPr>
            </w:pPr>
            <w:r>
              <w:rPr>
                <w:rFonts w:hint="eastAsia"/>
                <w:b/>
                <w:bCs/>
                <w:color w:val="auto"/>
                <w:kern w:val="0"/>
                <w:sz w:val="28"/>
                <w:szCs w:val="28"/>
              </w:rPr>
              <w:t>内蒙古自治区阿巴嘎旗巴彦图嘎三队李瑛萤石矿改扩建工程</w:t>
            </w:r>
          </w:p>
          <w:p>
            <w:pPr>
              <w:spacing w:line="360" w:lineRule="auto"/>
              <w:ind w:firstLine="562"/>
              <w:jc w:val="center"/>
              <w:rPr>
                <w:rFonts w:hint="eastAsia"/>
                <w:b/>
                <w:bCs/>
                <w:color w:val="auto"/>
                <w:kern w:val="0"/>
                <w:sz w:val="28"/>
                <w:szCs w:val="28"/>
              </w:rPr>
            </w:pPr>
            <w:r>
              <w:rPr>
                <w:rFonts w:hint="eastAsia"/>
                <w:b/>
                <w:bCs/>
                <w:color w:val="auto"/>
                <w:kern w:val="0"/>
                <w:sz w:val="28"/>
                <w:szCs w:val="28"/>
              </w:rPr>
              <w:t>（二期150万吨</w:t>
            </w:r>
            <w:r>
              <w:rPr>
                <w:rFonts w:hint="eastAsia"/>
                <w:b/>
                <w:bCs/>
                <w:color w:val="auto"/>
                <w:kern w:val="0"/>
                <w:sz w:val="28"/>
                <w:szCs w:val="28"/>
                <w:lang w:val="en-US" w:eastAsia="zh-CN"/>
              </w:rPr>
              <w:t>/</w:t>
            </w:r>
            <w:r>
              <w:rPr>
                <w:rFonts w:hint="eastAsia"/>
                <w:b/>
                <w:bCs/>
                <w:color w:val="auto"/>
                <w:kern w:val="0"/>
                <w:sz w:val="28"/>
                <w:szCs w:val="28"/>
              </w:rPr>
              <w:t>年采选工程）环境影响报告书</w:t>
            </w:r>
          </w:p>
          <w:p>
            <w:pPr>
              <w:spacing w:line="360" w:lineRule="auto"/>
              <w:ind w:firstLine="562"/>
              <w:jc w:val="center"/>
              <w:rPr>
                <w:b/>
                <w:bCs/>
                <w:color w:val="auto"/>
                <w:kern w:val="0"/>
                <w:sz w:val="28"/>
                <w:szCs w:val="40"/>
              </w:rPr>
            </w:pPr>
            <w:r>
              <w:rPr>
                <w:rFonts w:hint="eastAsia"/>
                <w:b/>
                <w:bCs/>
                <w:color w:val="auto"/>
                <w:kern w:val="0"/>
                <w:sz w:val="28"/>
                <w:szCs w:val="40"/>
              </w:rPr>
              <w:t>公众参与第一次信息公示</w:t>
            </w:r>
          </w:p>
          <w:p>
            <w:pPr>
              <w:spacing w:line="360" w:lineRule="auto"/>
              <w:ind w:firstLine="562"/>
              <w:jc w:val="center"/>
              <w:rPr>
                <w:b/>
                <w:bCs/>
                <w:color w:val="auto"/>
                <w:kern w:val="0"/>
                <w:sz w:val="22"/>
                <w:szCs w:val="32"/>
              </w:rPr>
            </w:pP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rPr>
            </w:pPr>
            <w:r>
              <w:rPr>
                <w:rFonts w:hint="eastAsia"/>
                <w:color w:val="auto"/>
              </w:rPr>
              <w:t>按照《中华人民共和国环境影响评价法》《建设项目环境保护管理条例》《环境影响评价公众参与办法》（部令第4号）等的有关规定，对</w:t>
            </w:r>
            <w:r>
              <w:rPr>
                <w:rFonts w:hint="eastAsia"/>
                <w:color w:val="auto"/>
                <w:lang w:eastAsia="zh-CN"/>
              </w:rPr>
              <w:t>内蒙古自治区阿巴嘎旗巴彦图嘎三队李瑛萤石矿改扩建工程（二期150万吨</w:t>
            </w:r>
            <w:r>
              <w:rPr>
                <w:rFonts w:hint="eastAsia"/>
                <w:color w:val="auto"/>
                <w:lang w:val="en-US" w:eastAsia="zh-CN"/>
              </w:rPr>
              <w:t>/</w:t>
            </w:r>
            <w:r>
              <w:rPr>
                <w:rFonts w:hint="eastAsia"/>
                <w:color w:val="auto"/>
                <w:lang w:eastAsia="zh-CN"/>
              </w:rPr>
              <w:t>年采选工程）</w:t>
            </w:r>
            <w:r>
              <w:rPr>
                <w:rFonts w:hint="eastAsia"/>
                <w:color w:val="auto"/>
              </w:rPr>
              <w:t>公众参与进行环境影响评价第一次公示，以听取社会各界对“</w:t>
            </w:r>
            <w:r>
              <w:rPr>
                <w:rFonts w:hint="eastAsia"/>
                <w:color w:val="auto"/>
                <w:lang w:eastAsia="zh-CN"/>
              </w:rPr>
              <w:t>内蒙古自治区阿巴嘎旗巴彦图嘎三队李瑛萤石矿改扩建工程（二期150万吨</w:t>
            </w:r>
            <w:r>
              <w:rPr>
                <w:rFonts w:hint="eastAsia"/>
                <w:color w:val="auto"/>
                <w:lang w:val="en-US" w:eastAsia="zh-CN"/>
              </w:rPr>
              <w:t>/</w:t>
            </w:r>
            <w:r>
              <w:rPr>
                <w:rFonts w:hint="eastAsia"/>
                <w:color w:val="auto"/>
                <w:lang w:eastAsia="zh-CN"/>
              </w:rPr>
              <w:t>年采选工程）</w:t>
            </w:r>
            <w:r>
              <w:rPr>
                <w:rFonts w:hint="eastAsia"/>
                <w:color w:val="auto"/>
              </w:rPr>
              <w:t>”的环境影响及有关环境保护工作的意见和建议，公示</w:t>
            </w:r>
            <w:r>
              <w:rPr>
                <w:rFonts w:hint="eastAsia"/>
                <w:color w:val="auto"/>
                <w:lang w:val="en-US" w:eastAsia="zh-CN"/>
              </w:rPr>
              <w:t>信息</w:t>
            </w:r>
            <w:r>
              <w:rPr>
                <w:rFonts w:hint="eastAsia"/>
                <w:color w:val="auto"/>
              </w:rPr>
              <w:t>如下：</w:t>
            </w:r>
          </w:p>
          <w:p>
            <w:pPr>
              <w:keepNext w:val="0"/>
              <w:keepLines w:val="0"/>
              <w:pageBreakBefore w:val="0"/>
              <w:widowControl/>
              <w:numPr>
                <w:ilvl w:val="0"/>
                <w:numId w:val="1"/>
              </w:numPr>
              <w:kinsoku/>
              <w:wordWrap/>
              <w:overflowPunct/>
              <w:topLinePunct w:val="0"/>
              <w:autoSpaceDE/>
              <w:autoSpaceDN/>
              <w:bidi w:val="0"/>
              <w:adjustRightInd/>
              <w:snapToGrid/>
              <w:spacing w:line="500" w:lineRule="exact"/>
              <w:textAlignment w:val="auto"/>
              <w:rPr>
                <w:rFonts w:hint="eastAsia"/>
                <w:color w:val="auto"/>
              </w:rPr>
            </w:pPr>
            <w:r>
              <w:rPr>
                <w:rFonts w:hint="eastAsia"/>
                <w:color w:val="auto"/>
              </w:rPr>
              <w:t>项目基本情况</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val="en-US" w:eastAsia="zh-CN"/>
              </w:rPr>
            </w:pPr>
            <w:r>
              <w:rPr>
                <w:rFonts w:hint="eastAsia"/>
                <w:color w:val="auto"/>
                <w:lang w:val="en-US" w:eastAsia="zh-CN"/>
              </w:rPr>
              <w:t>1</w:t>
            </w:r>
            <w:r>
              <w:rPr>
                <w:rFonts w:hint="eastAsia"/>
                <w:color w:val="auto"/>
              </w:rPr>
              <w:t>）项目名称：</w:t>
            </w:r>
            <w:r>
              <w:rPr>
                <w:rFonts w:hint="eastAsia"/>
                <w:color w:val="auto"/>
                <w:lang w:eastAsia="zh-CN"/>
              </w:rPr>
              <w:t>内蒙古自治区阿巴嘎旗巴彦图嘎三队李瑛萤石矿改扩建工程（二期150万吨</w:t>
            </w:r>
            <w:r>
              <w:rPr>
                <w:rFonts w:hint="eastAsia"/>
                <w:color w:val="auto"/>
                <w:lang w:val="en-US" w:eastAsia="zh-CN"/>
              </w:rPr>
              <w:t>/</w:t>
            </w:r>
            <w:r>
              <w:rPr>
                <w:rFonts w:hint="eastAsia"/>
                <w:color w:val="auto"/>
                <w:lang w:eastAsia="zh-CN"/>
              </w:rPr>
              <w:t>年采选矿工程）</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val="en-US" w:eastAsia="zh-CN"/>
              </w:rPr>
            </w:pPr>
            <w:r>
              <w:rPr>
                <w:rFonts w:hint="eastAsia"/>
                <w:color w:val="auto"/>
                <w:lang w:val="en-US" w:eastAsia="zh-CN"/>
              </w:rPr>
              <w:t>2）</w:t>
            </w:r>
            <w:r>
              <w:rPr>
                <w:rFonts w:hint="eastAsia"/>
                <w:color w:val="auto"/>
              </w:rPr>
              <w:t>建设单位：</w:t>
            </w:r>
            <w:r>
              <w:rPr>
                <w:rFonts w:hint="eastAsia"/>
                <w:color w:val="auto"/>
                <w:lang w:eastAsia="zh-CN"/>
              </w:rPr>
              <w:t>锡林郭勒盟隆兴矿业有限责任公司</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val="en-US" w:eastAsia="zh-CN"/>
              </w:rPr>
            </w:pPr>
            <w:r>
              <w:rPr>
                <w:rFonts w:hint="eastAsia"/>
                <w:color w:val="auto"/>
              </w:rPr>
              <w:t>3）建设性质：</w:t>
            </w:r>
            <w:r>
              <w:rPr>
                <w:rFonts w:hint="eastAsia"/>
                <w:color w:val="auto"/>
                <w:lang w:val="en-US" w:eastAsia="zh-CN"/>
              </w:rPr>
              <w:t>改扩建</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eastAsia="zh-CN"/>
              </w:rPr>
            </w:pPr>
            <w:r>
              <w:rPr>
                <w:rFonts w:hint="eastAsia"/>
                <w:color w:val="auto"/>
              </w:rPr>
              <w:t>4）建设地点：</w:t>
            </w:r>
            <w:r>
              <w:rPr>
                <w:rFonts w:hint="eastAsia"/>
                <w:color w:val="auto"/>
                <w:lang w:eastAsia="zh-CN"/>
              </w:rPr>
              <w:t>内蒙古自治区锡林郭勒盟阿巴嘎旗巴彦图嘎苏木三队</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rPr>
            </w:pPr>
            <w:r>
              <w:rPr>
                <w:rFonts w:hint="eastAsia"/>
                <w:color w:val="auto"/>
              </w:rPr>
              <w:t>5）建设</w:t>
            </w:r>
            <w:r>
              <w:rPr>
                <w:rFonts w:hint="eastAsia"/>
                <w:color w:val="auto"/>
                <w:lang w:val="en-US" w:eastAsia="zh-CN"/>
              </w:rPr>
              <w:t>规模及内容</w:t>
            </w:r>
            <w:r>
              <w:rPr>
                <w:rFonts w:hint="eastAsia"/>
                <w:color w:val="auto"/>
              </w:rPr>
              <w:t>：</w:t>
            </w:r>
            <w:r>
              <w:rPr>
                <w:rFonts w:hint="eastAsia"/>
                <w:color w:val="auto"/>
                <w:lang w:val="en-US" w:eastAsia="zh-CN"/>
              </w:rPr>
              <w:t>采矿工程：</w:t>
            </w:r>
            <w:r>
              <w:rPr>
                <w:rFonts w:hint="eastAsia"/>
                <w:color w:val="auto"/>
              </w:rPr>
              <w:t>矿区范围由4个拐点构成，面积约12.2171km</w:t>
            </w:r>
            <w:r>
              <w:rPr>
                <w:rFonts w:hint="eastAsia"/>
                <w:color w:val="auto"/>
                <w:vertAlign w:val="superscript"/>
              </w:rPr>
              <w:t>2</w:t>
            </w:r>
            <w:r>
              <w:rPr>
                <w:rFonts w:hint="eastAsia"/>
                <w:color w:val="auto"/>
              </w:rPr>
              <w:t>，开采深度由</w:t>
            </w:r>
            <w:r>
              <w:rPr>
                <w:rFonts w:hint="eastAsia"/>
                <w:color w:val="auto"/>
                <w:lang w:val="en-US" w:eastAsia="zh-CN"/>
              </w:rPr>
              <w:t>1300</w:t>
            </w:r>
            <w:r>
              <w:rPr>
                <w:rFonts w:hint="eastAsia"/>
                <w:color w:val="auto"/>
              </w:rPr>
              <w:t>～10</w:t>
            </w:r>
            <w:r>
              <w:rPr>
                <w:rFonts w:hint="eastAsia"/>
                <w:color w:val="auto"/>
                <w:lang w:val="en-US" w:eastAsia="zh-CN"/>
              </w:rPr>
              <w:t>90</w:t>
            </w:r>
            <w:r>
              <w:rPr>
                <w:rFonts w:hint="eastAsia"/>
                <w:color w:val="auto"/>
              </w:rPr>
              <w:t>m标高，开采萤石150万吨/年（</w:t>
            </w:r>
            <w:r>
              <w:rPr>
                <w:rFonts w:hint="eastAsia"/>
                <w:color w:val="auto"/>
                <w:lang w:val="en-US" w:eastAsia="zh-CN"/>
              </w:rPr>
              <w:t>二期150</w:t>
            </w:r>
            <w:r>
              <w:rPr>
                <w:rFonts w:hint="eastAsia"/>
                <w:color w:val="auto"/>
              </w:rPr>
              <w:t>万吨/年）。</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val="en-US" w:eastAsia="zh-CN"/>
              </w:rPr>
            </w:pPr>
            <w:r>
              <w:rPr>
                <w:rFonts w:hint="eastAsia"/>
                <w:color w:val="auto"/>
                <w:lang w:val="en-US" w:eastAsia="zh-CN"/>
              </w:rPr>
              <w:t>选矿工程：选矿规模150万t/a选矿厂1座。</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default"/>
                <w:color w:val="auto"/>
                <w:vertAlign w:val="baseline"/>
                <w:lang w:val="en-US" w:eastAsia="zh-CN"/>
              </w:rPr>
            </w:pPr>
            <w:r>
              <w:rPr>
                <w:rFonts w:hint="eastAsia"/>
                <w:color w:val="auto"/>
                <w:lang w:val="en-US" w:eastAsia="zh-CN"/>
              </w:rPr>
              <w:t>尾矿库：总库容1389.5万m</w:t>
            </w:r>
            <w:r>
              <w:rPr>
                <w:rFonts w:hint="eastAsia"/>
                <w:color w:val="auto"/>
                <w:vertAlign w:val="superscript"/>
                <w:lang w:val="en-US" w:eastAsia="zh-CN"/>
              </w:rPr>
              <w:t>3</w:t>
            </w:r>
            <w:r>
              <w:rPr>
                <w:rFonts w:hint="eastAsia"/>
                <w:color w:val="auto"/>
                <w:lang w:val="en-US" w:eastAsia="zh-CN"/>
              </w:rPr>
              <w:t>，有效库容1250.6m</w:t>
            </w:r>
            <w:r>
              <w:rPr>
                <w:rFonts w:hint="eastAsia"/>
                <w:color w:val="auto"/>
                <w:vertAlign w:val="superscript"/>
                <w:lang w:val="en-US" w:eastAsia="zh-CN"/>
              </w:rPr>
              <w:t>3</w:t>
            </w:r>
            <w:r>
              <w:rPr>
                <w:rFonts w:hint="eastAsia"/>
                <w:color w:val="auto"/>
                <w:vertAlign w:val="baseline"/>
                <w:lang w:val="en-US" w:eastAsia="zh-CN"/>
              </w:rPr>
              <w:t>尾矿库1座。</w:t>
            </w:r>
          </w:p>
          <w:p>
            <w:pPr>
              <w:keepNext w:val="0"/>
              <w:keepLines w:val="0"/>
              <w:pageBreakBefore w:val="0"/>
              <w:widowControl/>
              <w:kinsoku/>
              <w:wordWrap/>
              <w:overflowPunct/>
              <w:topLinePunct w:val="0"/>
              <w:autoSpaceDE/>
              <w:autoSpaceDN/>
              <w:bidi w:val="0"/>
              <w:adjustRightInd/>
              <w:snapToGrid/>
              <w:spacing w:line="500" w:lineRule="exact"/>
              <w:textAlignment w:val="auto"/>
              <w:rPr>
                <w:rFonts w:hint="eastAsia"/>
                <w:color w:val="auto"/>
              </w:rPr>
            </w:pPr>
            <w:r>
              <w:rPr>
                <w:rFonts w:hint="eastAsia"/>
                <w:color w:val="auto"/>
              </w:rPr>
              <w:t>二、建设项目单位及联系方式</w:t>
            </w:r>
          </w:p>
          <w:p>
            <w:pPr>
              <w:keepNext w:val="0"/>
              <w:keepLines w:val="0"/>
              <w:pageBreakBefore w:val="0"/>
              <w:widowControl/>
              <w:numPr>
                <w:ilvl w:val="0"/>
                <w:numId w:val="2"/>
              </w:numPr>
              <w:kinsoku/>
              <w:wordWrap/>
              <w:overflowPunct/>
              <w:topLinePunct w:val="0"/>
              <w:autoSpaceDE/>
              <w:autoSpaceDN/>
              <w:bidi w:val="0"/>
              <w:adjustRightInd/>
              <w:snapToGrid/>
              <w:spacing w:line="500" w:lineRule="exact"/>
              <w:ind w:firstLine="420" w:firstLineChars="200"/>
              <w:textAlignment w:val="auto"/>
              <w:rPr>
                <w:rFonts w:hint="eastAsia" w:eastAsia="仿宋"/>
                <w:color w:val="auto"/>
                <w:lang w:val="en-US" w:eastAsia="zh-CN"/>
              </w:rPr>
            </w:pPr>
            <w:r>
              <w:rPr>
                <w:rFonts w:hint="eastAsia"/>
                <w:color w:val="auto"/>
              </w:rPr>
              <w:t>建设单位：</w:t>
            </w:r>
            <w:r>
              <w:rPr>
                <w:rFonts w:hint="eastAsia"/>
                <w:color w:val="auto"/>
                <w:lang w:eastAsia="zh-CN"/>
              </w:rPr>
              <w:t>锡林郭勒盟隆兴矿业有限责任公司</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default" w:eastAsia="仿宋"/>
                <w:color w:val="auto"/>
                <w:lang w:val="en-US" w:eastAsia="zh-CN"/>
              </w:rPr>
            </w:pPr>
            <w:r>
              <w:rPr>
                <w:rFonts w:hint="eastAsia"/>
                <w:color w:val="auto"/>
              </w:rPr>
              <w:t>2）联系人：</w:t>
            </w:r>
            <w:r>
              <w:rPr>
                <w:rFonts w:hint="eastAsia"/>
                <w:color w:val="auto"/>
                <w:lang w:val="en-US" w:eastAsia="zh-CN"/>
              </w:rPr>
              <w:t>樊部长</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default" w:eastAsia="宋体"/>
                <w:color w:val="auto"/>
                <w:lang w:val="en-US" w:eastAsia="zh-CN"/>
              </w:rPr>
            </w:pPr>
            <w:r>
              <w:rPr>
                <w:rFonts w:hint="eastAsia"/>
                <w:color w:val="auto"/>
              </w:rPr>
              <w:t>3</w:t>
            </w:r>
            <w:r>
              <w:rPr>
                <w:rFonts w:hint="eastAsia"/>
                <w:color w:val="auto"/>
                <w:lang w:eastAsia="zh-CN"/>
              </w:rPr>
              <w:t>）</w:t>
            </w:r>
            <w:r>
              <w:rPr>
                <w:rFonts w:hint="eastAsia"/>
                <w:color w:val="auto"/>
              </w:rPr>
              <w:t>联系方式：16604797444</w:t>
            </w:r>
          </w:p>
          <w:p>
            <w:pPr>
              <w:keepNext w:val="0"/>
              <w:keepLines w:val="0"/>
              <w:pageBreakBefore w:val="0"/>
              <w:widowControl/>
              <w:kinsoku/>
              <w:wordWrap/>
              <w:overflowPunct/>
              <w:topLinePunct w:val="0"/>
              <w:autoSpaceDE/>
              <w:autoSpaceDN/>
              <w:bidi w:val="0"/>
              <w:adjustRightInd/>
              <w:snapToGrid/>
              <w:spacing w:line="500" w:lineRule="exact"/>
              <w:textAlignment w:val="auto"/>
              <w:rPr>
                <w:rFonts w:hint="eastAsia"/>
                <w:color w:val="auto"/>
              </w:rPr>
            </w:pPr>
            <w:r>
              <w:rPr>
                <w:rFonts w:hint="eastAsia"/>
                <w:color w:val="auto"/>
              </w:rPr>
              <w:t>三、承担项目环评机构名称及联系方式</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color w:val="auto"/>
                <w:lang w:val="en-US" w:eastAsia="zh-CN"/>
              </w:rPr>
            </w:pPr>
            <w:r>
              <w:rPr>
                <w:rFonts w:hint="eastAsia"/>
                <w:color w:val="auto"/>
              </w:rPr>
              <w:t>1）评价单位：</w:t>
            </w:r>
            <w:r>
              <w:rPr>
                <w:rFonts w:hint="eastAsia"/>
                <w:color w:val="auto"/>
                <w:lang w:val="en-US" w:eastAsia="zh-CN"/>
              </w:rPr>
              <w:t>锡林郭勒环保投资有限公司</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default"/>
                <w:color w:val="auto"/>
                <w:lang w:val="en-US" w:eastAsia="zh-CN"/>
              </w:rPr>
            </w:pPr>
            <w:r>
              <w:rPr>
                <w:rFonts w:hint="eastAsia"/>
                <w:color w:val="auto"/>
                <w:lang w:val="en-US" w:eastAsia="zh-CN"/>
              </w:rPr>
              <w:t>2）联系人：王薇</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default" w:eastAsia="仿宋"/>
                <w:color w:val="auto"/>
                <w:lang w:val="en-US" w:eastAsia="zh-CN"/>
              </w:rPr>
            </w:pPr>
            <w:r>
              <w:rPr>
                <w:rFonts w:hint="eastAsia"/>
                <w:color w:val="auto"/>
                <w:lang w:val="en-US" w:eastAsia="zh-CN"/>
              </w:rPr>
              <w:t>3</w:t>
            </w:r>
            <w:r>
              <w:rPr>
                <w:rFonts w:hint="eastAsia"/>
                <w:color w:val="auto"/>
              </w:rPr>
              <w:t>）联系方式：13947397444</w:t>
            </w:r>
          </w:p>
          <w:p>
            <w:pPr>
              <w:keepNext w:val="0"/>
              <w:keepLines w:val="0"/>
              <w:pageBreakBefore w:val="0"/>
              <w:widowControl/>
              <w:kinsoku/>
              <w:wordWrap/>
              <w:overflowPunct/>
              <w:topLinePunct w:val="0"/>
              <w:autoSpaceDE/>
              <w:autoSpaceDN/>
              <w:bidi w:val="0"/>
              <w:adjustRightInd/>
              <w:snapToGrid/>
              <w:spacing w:line="500" w:lineRule="exact"/>
              <w:textAlignment w:val="auto"/>
              <w:rPr>
                <w:rFonts w:hint="eastAsia"/>
                <w:color w:val="auto"/>
              </w:rPr>
            </w:pPr>
            <w:r>
              <w:rPr>
                <w:rFonts w:hint="eastAsia"/>
                <w:color w:val="auto"/>
              </w:rPr>
              <w:t>四、公众意见表</w:t>
            </w:r>
          </w:p>
          <w:p>
            <w:pPr>
              <w:autoSpaceDE w:val="0"/>
              <w:autoSpaceDN w:val="0"/>
              <w:adjustRightInd w:val="0"/>
              <w:snapToGrid w:val="0"/>
              <w:ind w:firstLine="720" w:firstLineChars="300"/>
              <w:jc w:val="left"/>
              <w:rPr>
                <w:rFonts w:hint="default" w:ascii="Times New Roman" w:hAnsi="Times New Roman" w:cs="Times New Roman"/>
                <w:kern w:val="0"/>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"http://www.mee.gov.cn/xxgk2018/xxgk/xxgk01/201810/t20181024_665329.html" </w:instrText>
            </w:r>
            <w:r>
              <w:rPr>
                <w:rFonts w:hint="default" w:ascii="Times New Roman" w:hAnsi="Times New Roman" w:cs="Times New Roman"/>
                <w:sz w:val="24"/>
                <w:szCs w:val="24"/>
              </w:rPr>
              <w:fldChar w:fldCharType="separate"/>
            </w:r>
            <w:r>
              <w:rPr>
                <w:rStyle w:val="24"/>
                <w:rFonts w:hint="default" w:ascii="Times New Roman" w:hAnsi="Times New Roman" w:cs="Times New Roman"/>
                <w:color w:val="800080"/>
                <w:kern w:val="0"/>
                <w:sz w:val="24"/>
                <w:szCs w:val="24"/>
              </w:rPr>
              <w:t>http://www.mee.gov.cn/xxgk2018/xxgk/xxgk01/201810/t20181024_665329.html</w:t>
            </w:r>
            <w:r>
              <w:rPr>
                <w:rStyle w:val="24"/>
                <w:rFonts w:hint="default" w:ascii="Times New Roman" w:hAnsi="Times New Roman" w:cs="Times New Roman"/>
                <w:color w:val="800080"/>
                <w:kern w:val="0"/>
                <w:sz w:val="24"/>
                <w:szCs w:val="24"/>
              </w:rPr>
              <w:fldChar w:fldCharType="end"/>
            </w:r>
          </w:p>
          <w:p>
            <w:pPr>
              <w:keepNext w:val="0"/>
              <w:keepLines w:val="0"/>
              <w:pageBreakBefore w:val="0"/>
              <w:widowControl/>
              <w:kinsoku/>
              <w:wordWrap/>
              <w:overflowPunct/>
              <w:topLinePunct w:val="0"/>
              <w:autoSpaceDE/>
              <w:autoSpaceDN/>
              <w:bidi w:val="0"/>
              <w:adjustRightInd/>
              <w:snapToGrid/>
              <w:spacing w:line="500" w:lineRule="exact"/>
              <w:textAlignment w:val="auto"/>
              <w:rPr>
                <w:rFonts w:hint="eastAsia"/>
                <w:color w:val="auto"/>
              </w:rPr>
            </w:pPr>
            <w:r>
              <w:rPr>
                <w:rFonts w:hint="eastAsia"/>
                <w:color w:val="auto"/>
              </w:rPr>
              <w:t>五、提交公众意见表的方式和途径</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ascii="Times New Roman" w:hAnsi="Times New Roman" w:eastAsia="宋体" w:cs="Times New Roman"/>
                <w:color w:val="auto"/>
              </w:rPr>
            </w:pPr>
            <w:r>
              <w:rPr>
                <w:rFonts w:hint="eastAsia" w:ascii="Times New Roman" w:hAnsi="Times New Roman" w:eastAsia="宋体" w:cs="Times New Roman"/>
                <w:color w:val="auto"/>
              </w:rPr>
              <w:t>公众可在本公告发布后，以信函、电话、传真和电子邮件或其他便利的方式与建设单位或评价单位联系，提交公众意见表，提出关于该项目建设及环境影响评价工作的意见和看法。</w:t>
            </w: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公示时间为</w:t>
            </w:r>
            <w:r>
              <w:rPr>
                <w:rFonts w:hint="eastAsia" w:ascii="Times New Roman" w:hAnsi="Times New Roman" w:eastAsia="宋体" w:cs="Times New Roman"/>
                <w:color w:val="auto"/>
              </w:rPr>
              <w:t>10个工作日</w:t>
            </w:r>
            <w:r>
              <w:rPr>
                <w:rFonts w:hint="eastAsia" w:ascii="Times New Roman" w:hAnsi="Times New Roman" w:eastAsia="宋体" w:cs="Times New Roman"/>
                <w:color w:val="auto"/>
                <w:lang w:eastAsia="zh-CN"/>
              </w:rPr>
              <w:t>。</w:t>
            </w:r>
          </w:p>
          <w:p>
            <w:pPr>
              <w:rPr>
                <w:rFonts w:hint="eastAsia"/>
                <w:color w:val="auto"/>
              </w:rPr>
            </w:pPr>
          </w:p>
          <w:p>
            <w:pPr>
              <w:keepNext w:val="0"/>
              <w:keepLines w:val="0"/>
              <w:pageBreakBefore w:val="0"/>
              <w:widowControl/>
              <w:kinsoku/>
              <w:wordWrap/>
              <w:overflowPunct/>
              <w:topLinePunct w:val="0"/>
              <w:autoSpaceDE/>
              <w:autoSpaceDN/>
              <w:bidi w:val="0"/>
              <w:adjustRightInd/>
              <w:snapToGrid/>
              <w:spacing w:line="500" w:lineRule="exact"/>
              <w:ind w:firstLine="420" w:firstLineChars="200"/>
              <w:textAlignment w:val="auto"/>
              <w:rPr>
                <w:rFonts w:hint="eastAsia" w:eastAsia="仿宋"/>
                <w:color w:val="auto"/>
                <w:lang w:eastAsia="zh-CN"/>
              </w:rPr>
            </w:pPr>
            <w:r>
              <w:rPr>
                <w:rFonts w:hint="eastAsia"/>
                <w:color w:val="auto"/>
                <w:lang w:val="en-US" w:eastAsia="zh-CN"/>
              </w:rPr>
              <w:t xml:space="preserve">                                锡林郭勒盟隆兴矿业有限责任公司</w:t>
            </w:r>
          </w:p>
          <w:p>
            <w:pPr>
              <w:keepNext w:val="0"/>
              <w:keepLines w:val="0"/>
              <w:pageBreakBefore w:val="0"/>
              <w:widowControl/>
              <w:kinsoku/>
              <w:wordWrap/>
              <w:overflowPunct/>
              <w:topLinePunct w:val="0"/>
              <w:autoSpaceDE/>
              <w:autoSpaceDN/>
              <w:bidi w:val="0"/>
              <w:adjustRightInd/>
              <w:snapToGrid/>
              <w:spacing w:line="500" w:lineRule="exact"/>
              <w:ind w:left="3990" w:leftChars="200" w:hanging="3570" w:hangingChars="1700"/>
              <w:textAlignment w:val="auto"/>
              <w:rPr>
                <w:rFonts w:hint="default" w:eastAsia="仿宋"/>
                <w:color w:val="auto"/>
                <w:lang w:val="en-US" w:eastAsia="zh-CN"/>
              </w:rPr>
            </w:pPr>
            <w:r>
              <w:rPr>
                <w:rFonts w:hint="eastAsia"/>
                <w:color w:val="auto"/>
                <w:lang w:val="en-US" w:eastAsia="zh-CN"/>
              </w:rPr>
              <w:t xml:space="preserve">                                        2024年3月7日</w:t>
            </w:r>
          </w:p>
          <w:p>
            <w:pPr>
              <w:spacing w:line="360" w:lineRule="auto"/>
              <w:ind w:firstLine="560"/>
              <w:rPr>
                <w:rFonts w:eastAsia="华文仿宋"/>
                <w:color w:val="auto"/>
                <w:kern w:val="0"/>
                <w:sz w:val="22"/>
                <w:szCs w:val="32"/>
              </w:rPr>
            </w:pPr>
          </w:p>
        </w:tc>
      </w:tr>
    </w:tbl>
    <w:p>
      <w:pPr>
        <w:pStyle w:val="27"/>
        <w:ind w:firstLine="480"/>
        <w:rPr>
          <w:color w:val="auto"/>
        </w:rPr>
      </w:pPr>
      <w:bookmarkStart w:id="13" w:name="_Toc472495167"/>
      <w:bookmarkStart w:id="14" w:name="_Toc490464051"/>
      <w:r>
        <w:rPr>
          <w:rFonts w:hint="eastAsia"/>
          <w:color w:val="auto"/>
        </w:rPr>
        <w:t>在</w:t>
      </w:r>
      <w:r>
        <w:rPr>
          <w:color w:val="auto"/>
        </w:rPr>
        <w:t>第一次信息公示期间</w:t>
      </w:r>
      <w:r>
        <w:rPr>
          <w:rFonts w:hint="eastAsia"/>
          <w:color w:val="auto"/>
        </w:rPr>
        <w:t>，未收到</w:t>
      </w:r>
      <w:r>
        <w:rPr>
          <w:color w:val="auto"/>
        </w:rPr>
        <w:t>项目区域公众提出</w:t>
      </w:r>
      <w:r>
        <w:rPr>
          <w:rFonts w:hint="eastAsia"/>
          <w:color w:val="auto"/>
        </w:rPr>
        <w:t>的</w:t>
      </w:r>
      <w:r>
        <w:rPr>
          <w:color w:val="auto"/>
        </w:rPr>
        <w:t>相关意见和建议</w:t>
      </w:r>
      <w:r>
        <w:rPr>
          <w:rFonts w:hint="eastAsia"/>
          <w:color w:val="auto"/>
        </w:rPr>
        <w:t>。</w:t>
      </w:r>
    </w:p>
    <w:p>
      <w:pPr>
        <w:pStyle w:val="31"/>
        <w:rPr>
          <w:color w:val="auto"/>
        </w:rPr>
      </w:pPr>
      <w:bookmarkStart w:id="15" w:name="_Toc22547811"/>
      <w:r>
        <w:rPr>
          <w:rFonts w:hint="eastAsia"/>
          <w:color w:val="auto"/>
        </w:rPr>
        <w:t>3</w:t>
      </w:r>
      <w:r>
        <w:rPr>
          <w:color w:val="auto"/>
        </w:rPr>
        <w:t xml:space="preserve">.2 </w:t>
      </w:r>
      <w:r>
        <w:rPr>
          <w:rFonts w:hint="eastAsia"/>
          <w:color w:val="auto"/>
        </w:rPr>
        <w:t>第二次公示</w:t>
      </w:r>
      <w:bookmarkEnd w:id="13"/>
      <w:bookmarkEnd w:id="14"/>
      <w:bookmarkEnd w:id="15"/>
    </w:p>
    <w:p>
      <w:pPr>
        <w:pStyle w:val="27"/>
        <w:keepNext w:val="0"/>
        <w:keepLines w:val="0"/>
        <w:pageBreakBefore w:val="0"/>
        <w:widowControl/>
        <w:kinsoku/>
        <w:wordWrap w:val="0"/>
        <w:overflowPunct/>
        <w:topLinePunct w:val="0"/>
        <w:autoSpaceDE/>
        <w:autoSpaceDN/>
        <w:bidi w:val="0"/>
        <w:adjustRightInd/>
        <w:snapToGrid/>
        <w:ind w:firstLine="480"/>
        <w:textAlignment w:val="auto"/>
        <w:rPr>
          <w:color w:val="auto"/>
        </w:rPr>
      </w:pPr>
      <w:r>
        <w:rPr>
          <w:rFonts w:hint="eastAsia"/>
          <w:color w:val="auto"/>
        </w:rPr>
        <w:t>根据《环境影响评价公众参与办法》（生态环境部令第4号）的规定，环境影响报告书征求意见稿形成后，应当公开相关信息，征求环境影响有关的意见。我单位于202</w:t>
      </w:r>
      <w:r>
        <w:rPr>
          <w:rFonts w:hint="eastAsia"/>
          <w:color w:val="auto"/>
          <w:lang w:val="en-US" w:eastAsia="zh-CN"/>
        </w:rPr>
        <w:t>4</w:t>
      </w:r>
      <w:r>
        <w:rPr>
          <w:rFonts w:hint="eastAsia"/>
          <w:color w:val="auto"/>
        </w:rPr>
        <w:t>年</w:t>
      </w:r>
      <w:r>
        <w:rPr>
          <w:rFonts w:hint="eastAsia"/>
          <w:color w:val="auto"/>
          <w:lang w:val="en-US" w:eastAsia="zh-CN"/>
        </w:rPr>
        <w:t>4</w:t>
      </w:r>
      <w:r>
        <w:rPr>
          <w:rFonts w:hint="eastAsia"/>
          <w:color w:val="auto"/>
        </w:rPr>
        <w:t>月</w:t>
      </w:r>
      <w:r>
        <w:rPr>
          <w:rFonts w:hint="eastAsia"/>
          <w:color w:val="auto"/>
          <w:lang w:val="en-US" w:eastAsia="zh-CN"/>
        </w:rPr>
        <w:t>8</w:t>
      </w:r>
      <w:r>
        <w:rPr>
          <w:rFonts w:hint="eastAsia"/>
          <w:color w:val="auto"/>
        </w:rPr>
        <w:t>日分别在</w:t>
      </w:r>
      <w:r>
        <w:rPr>
          <w:rFonts w:hint="eastAsia"/>
          <w:color w:val="auto"/>
          <w:highlight w:val="none"/>
          <w:lang w:val="en-US" w:eastAsia="zh-CN"/>
        </w:rPr>
        <w:t>全国建设项目环境信息公示平台</w:t>
      </w:r>
      <w:r>
        <w:rPr>
          <w:rFonts w:hint="eastAsia"/>
          <w:color w:val="auto"/>
          <w:lang w:eastAsia="zh-CN"/>
        </w:rPr>
        <w:t>网站</w:t>
      </w:r>
      <w:r>
        <w:rPr>
          <w:rFonts w:hint="eastAsia"/>
          <w:color w:val="auto"/>
        </w:rPr>
        <w:t>进行了网络公示、</w:t>
      </w:r>
      <w:r>
        <w:rPr>
          <w:rFonts w:hint="eastAsia"/>
          <w:color w:val="auto"/>
          <w:highlight w:val="none"/>
          <w:lang w:val="en-US" w:eastAsia="zh-CN"/>
        </w:rPr>
        <w:t>阿巴嘎旗</w:t>
      </w:r>
      <w:r>
        <w:rPr>
          <w:rFonts w:hint="eastAsia"/>
          <w:color w:val="auto"/>
          <w:highlight w:val="none"/>
        </w:rPr>
        <w:t>巴彦图嘎苏木</w:t>
      </w:r>
      <w:r>
        <w:rPr>
          <w:rFonts w:hint="eastAsia"/>
          <w:color w:val="auto"/>
          <w:highlight w:val="none"/>
          <w:lang w:val="en-US" w:eastAsia="zh-CN"/>
        </w:rPr>
        <w:t>公告栏</w:t>
      </w:r>
      <w:r>
        <w:rPr>
          <w:rFonts w:hint="eastAsia"/>
          <w:color w:val="auto"/>
        </w:rPr>
        <w:t>进行了张贴公示，信息公开时间为10个工作日，其中在</w:t>
      </w:r>
      <w:r>
        <w:rPr>
          <w:rFonts w:hint="eastAsia"/>
          <w:color w:val="auto"/>
          <w:highlight w:val="none"/>
          <w:lang w:val="en-US" w:eastAsia="zh-CN"/>
        </w:rPr>
        <w:t>全国建设项目环境信息公示平台</w:t>
      </w:r>
      <w:r>
        <w:rPr>
          <w:rFonts w:hint="eastAsia"/>
          <w:color w:val="auto"/>
          <w:lang w:eastAsia="zh-CN"/>
        </w:rPr>
        <w:t>网站</w:t>
      </w:r>
      <w:r>
        <w:rPr>
          <w:rFonts w:hint="eastAsia"/>
          <w:color w:val="auto"/>
        </w:rPr>
        <w:t>公示的网址为https://www.eiacloud.com/gs/detail/1?id=404082vNfb。此外，我单位于202</w:t>
      </w:r>
      <w:r>
        <w:rPr>
          <w:rFonts w:hint="eastAsia"/>
          <w:color w:val="auto"/>
          <w:lang w:val="en-US" w:eastAsia="zh-CN"/>
        </w:rPr>
        <w:t>4</w:t>
      </w:r>
      <w:r>
        <w:rPr>
          <w:rFonts w:hint="eastAsia"/>
          <w:color w:val="auto"/>
        </w:rPr>
        <w:t>年</w:t>
      </w:r>
      <w:r>
        <w:rPr>
          <w:rFonts w:hint="eastAsia"/>
          <w:color w:val="auto"/>
          <w:lang w:val="en-US" w:eastAsia="zh-CN"/>
        </w:rPr>
        <w:t>4</w:t>
      </w:r>
      <w:r>
        <w:rPr>
          <w:rFonts w:hint="eastAsia"/>
          <w:color w:val="auto"/>
        </w:rPr>
        <w:t>月</w:t>
      </w:r>
      <w:r>
        <w:rPr>
          <w:rFonts w:hint="eastAsia"/>
          <w:color w:val="auto"/>
          <w:lang w:val="en-US" w:eastAsia="zh-CN"/>
        </w:rPr>
        <w:t>9</w:t>
      </w:r>
      <w:r>
        <w:rPr>
          <w:rFonts w:hint="eastAsia"/>
          <w:color w:val="auto"/>
        </w:rPr>
        <w:t>日和</w:t>
      </w:r>
      <w:r>
        <w:rPr>
          <w:rFonts w:hint="eastAsia"/>
          <w:color w:val="auto"/>
          <w:lang w:val="en-US" w:eastAsia="zh-CN"/>
        </w:rPr>
        <w:t>4</w:t>
      </w:r>
      <w:r>
        <w:rPr>
          <w:rFonts w:hint="eastAsia"/>
          <w:color w:val="auto"/>
        </w:rPr>
        <w:t>月</w:t>
      </w:r>
      <w:r>
        <w:rPr>
          <w:rFonts w:hint="eastAsia"/>
          <w:color w:val="auto"/>
          <w:lang w:val="en-US" w:eastAsia="zh-CN"/>
        </w:rPr>
        <w:t>11</w:t>
      </w:r>
      <w:r>
        <w:rPr>
          <w:rFonts w:hint="eastAsia"/>
          <w:color w:val="auto"/>
        </w:rPr>
        <w:t>日在</w:t>
      </w:r>
      <w:r>
        <w:rPr>
          <w:rFonts w:hint="eastAsia"/>
          <w:color w:val="auto"/>
          <w:highlight w:val="none"/>
          <w:lang w:val="en-US" w:eastAsia="zh-CN"/>
        </w:rPr>
        <w:t>锡林郭勒日</w:t>
      </w:r>
      <w:r>
        <w:rPr>
          <w:rFonts w:hint="eastAsia"/>
          <w:color w:val="auto"/>
          <w:highlight w:val="none"/>
        </w:rPr>
        <w:t>报</w:t>
      </w:r>
      <w:r>
        <w:rPr>
          <w:rFonts w:hint="eastAsia"/>
          <w:color w:val="auto"/>
        </w:rPr>
        <w:t>进行了两次报纸公示，信息公开时间为10个工作日。公示的内容包含：</w:t>
      </w:r>
    </w:p>
    <w:p>
      <w:pPr>
        <w:pStyle w:val="27"/>
        <w:ind w:firstLine="480"/>
        <w:rPr>
          <w:color w:val="auto"/>
        </w:rPr>
      </w:pPr>
      <w:r>
        <w:rPr>
          <w:rFonts w:hint="eastAsia"/>
          <w:color w:val="auto"/>
        </w:rPr>
        <w:t>（一）环境影响报告书征求意见稿全文的网络链接及查阅纸质报告书的方式和途径；</w:t>
      </w:r>
    </w:p>
    <w:p>
      <w:pPr>
        <w:pStyle w:val="27"/>
        <w:ind w:firstLine="480"/>
        <w:rPr>
          <w:color w:val="auto"/>
        </w:rPr>
      </w:pPr>
      <w:r>
        <w:rPr>
          <w:rFonts w:hint="eastAsia"/>
          <w:color w:val="auto"/>
        </w:rPr>
        <w:t>（二）征求意见的公众范围；</w:t>
      </w:r>
    </w:p>
    <w:p>
      <w:pPr>
        <w:pStyle w:val="27"/>
        <w:ind w:firstLine="480"/>
        <w:rPr>
          <w:color w:val="auto"/>
        </w:rPr>
      </w:pPr>
      <w:r>
        <w:rPr>
          <w:rFonts w:hint="eastAsia"/>
          <w:color w:val="auto"/>
        </w:rPr>
        <w:t>（三）公众意见表的网络链接；</w:t>
      </w:r>
    </w:p>
    <w:p>
      <w:pPr>
        <w:pStyle w:val="27"/>
        <w:ind w:firstLine="480"/>
        <w:rPr>
          <w:color w:val="auto"/>
        </w:rPr>
      </w:pPr>
      <w:r>
        <w:rPr>
          <w:rFonts w:hint="eastAsia"/>
          <w:color w:val="auto"/>
        </w:rPr>
        <w:t>（四）公众提出意见的方式和途径；</w:t>
      </w:r>
    </w:p>
    <w:p>
      <w:pPr>
        <w:pStyle w:val="27"/>
        <w:ind w:firstLine="480"/>
        <w:rPr>
          <w:color w:val="auto"/>
        </w:rPr>
      </w:pPr>
      <w:r>
        <w:rPr>
          <w:rFonts w:hint="eastAsia"/>
          <w:color w:val="auto"/>
        </w:rPr>
        <w:t>（五）公众提出意见的起止时间。</w:t>
      </w:r>
    </w:p>
    <w:p>
      <w:pPr>
        <w:pStyle w:val="27"/>
        <w:ind w:firstLine="480"/>
        <w:rPr>
          <w:color w:val="auto"/>
        </w:rPr>
      </w:pPr>
      <w:r>
        <w:rPr>
          <w:rFonts w:hint="eastAsia"/>
          <w:color w:val="auto"/>
        </w:rPr>
        <w:t>第二次公示的方式见图3-2、图3-3、图3-4、图3-5。</w:t>
      </w:r>
    </w:p>
    <w:p>
      <w:pPr>
        <w:pStyle w:val="28"/>
        <w:rPr>
          <w:rFonts w:hint="eastAsia" w:eastAsia="宋体"/>
          <w:color w:val="auto"/>
          <w:lang w:eastAsia="zh-CN"/>
        </w:rPr>
      </w:pPr>
      <w:r>
        <w:rPr>
          <w:rFonts w:hint="eastAsia" w:eastAsia="宋体"/>
          <w:color w:val="auto"/>
          <w:lang w:eastAsia="zh-CN"/>
        </w:rPr>
        <w:pict>
          <v:shape id="_x0000_i1036" o:spt="75" alt="第二次-内蒙古自治区阿巴嘎旗巴彦图嘎三队李瑛萤石矿改扩建工程（二期150万吨_年采矿工程）环境影响评价公众参" type="#_x0000_t75" style="height:297.8pt;width:414.85pt;" filled="f" o:preferrelative="t" stroked="f" coordsize="21600,21600">
            <v:path/>
            <v:fill on="f" focussize="0,0"/>
            <v:stroke on="f"/>
            <v:imagedata r:id="rId10" o:title="第二次-内蒙古自治区阿巴嘎旗巴彦图嘎三队李瑛萤石矿改扩建工程（二期150万吨_年采矿工程）环境影响评价公众参"/>
            <o:lock v:ext="edit" aspectratio="t"/>
            <w10:wrap type="none"/>
            <w10:anchorlock/>
          </v:shape>
        </w:pict>
      </w:r>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pPr>
      <w:bookmarkStart w:id="16" w:name="_Toc22547813"/>
      <w:r>
        <w:rPr>
          <w:rFonts w:hint="eastAsia" w:ascii="Times New Roman" w:hAnsi="Times New Roman" w:eastAsia="宋体" w:cs="Times New Roman"/>
          <w:b/>
          <w:bCs/>
          <w:sz w:val="24"/>
          <w:szCs w:val="24"/>
        </w:rPr>
        <w:t>图3-2  第二次信息公示（网络）</w:t>
      </w:r>
      <w:bookmarkEnd w:id="16"/>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sectPr>
          <w:footerReference r:id="rId4" w:type="default"/>
          <w:footerReference r:id="rId5" w:type="even"/>
          <w:pgSz w:w="11910" w:h="16850"/>
          <w:pgMar w:top="1440" w:right="1797" w:bottom="1440" w:left="1797" w:header="890" w:footer="1100" w:gutter="0"/>
          <w:pgNumType w:start="1"/>
          <w:cols w:space="720" w:num="1"/>
        </w:sectPr>
      </w:pPr>
    </w:p>
    <w:p>
      <w:pPr>
        <w:pStyle w:val="28"/>
        <w:rPr>
          <w:rFonts w:hint="eastAsia" w:eastAsia="宋体"/>
          <w:color w:val="auto"/>
          <w:lang w:eastAsia="zh-CN"/>
        </w:rPr>
      </w:pPr>
      <w:r>
        <w:rPr>
          <w:color w:val="auto"/>
          <w:sz w:val="21"/>
        </w:rPr>
        <w:pict>
          <v:rect id="_x0000_s1028" o:spid="_x0000_s1028" o:spt="1" style="position:absolute;left:0pt;margin-left:74.1pt;margin-top:-1pt;height:581.25pt;width:270.7pt;z-index:251660288;mso-width-relative:page;mso-height-relative:page;" filled="f" stroked="t" coordsize="21600,21600">
            <v:path/>
            <v:fill on="f" focussize="0,0"/>
            <v:stroke weight="1.5pt" color="#C00000" joinstyle="miter"/>
            <v:imagedata o:title=""/>
            <o:lock v:ext="edit" aspectratio="f"/>
          </v:rect>
        </w:pict>
      </w:r>
      <w:r>
        <w:rPr>
          <w:color w:val="auto"/>
          <w:sz w:val="21"/>
        </w:rPr>
        <w:pict>
          <v:shape id="_x0000_i1037" o:spt="75" alt="微信图片_20240412163939" type="#_x0000_t75" style="height:579.9pt;width:270.35pt;" filled="f" o:preferrelative="t" stroked="f" coordsize="21600,21600">
            <v:path/>
            <v:fill on="f" focussize="0,0"/>
            <v:stroke on="f"/>
            <v:imagedata r:id="rId11" o:title="微信图片_20240412163939"/>
            <o:lock v:ext="edit" aspectratio="t"/>
            <w10:wrap type="none"/>
            <w10:anchorlock/>
          </v:shape>
        </w:pict>
      </w:r>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pPr>
      <w:bookmarkStart w:id="17" w:name="_Toc22547815"/>
      <w:r>
        <w:rPr>
          <w:rFonts w:hint="eastAsia" w:ascii="Times New Roman" w:hAnsi="Times New Roman" w:eastAsia="宋体" w:cs="Times New Roman"/>
          <w:b/>
          <w:bCs/>
          <w:sz w:val="24"/>
          <w:szCs w:val="24"/>
        </w:rPr>
        <w:t>图3-3  第二次信息公示（报纸第一次）</w:t>
      </w:r>
      <w:bookmarkEnd w:id="17"/>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sectPr>
          <w:pgSz w:w="11910" w:h="16850"/>
          <w:pgMar w:top="1440" w:right="1797" w:bottom="1440" w:left="1797" w:header="890" w:footer="1100" w:gutter="0"/>
          <w:cols w:space="720" w:num="1"/>
          <w:docGrid w:linePitch="286" w:charSpace="0"/>
        </w:sectPr>
      </w:pPr>
    </w:p>
    <w:p>
      <w:pPr>
        <w:pStyle w:val="28"/>
        <w:rPr>
          <w:rFonts w:hint="eastAsia" w:eastAsia="宋体"/>
          <w:color w:val="auto"/>
          <w:lang w:eastAsia="zh-CN"/>
        </w:rPr>
      </w:pPr>
      <w:r>
        <w:rPr>
          <w:color w:val="auto"/>
          <w:sz w:val="21"/>
        </w:rPr>
        <w:pict>
          <v:rect id="_x0000_s1027" o:spid="_x0000_s1027" o:spt="1" style="position:absolute;left:0pt;margin-left:-0.2pt;margin-top:0.2pt;height:603.8pt;width:414.95pt;z-index:251659264;mso-width-relative:page;mso-height-relative:page;" filled="f" stroked="t" coordsize="21600,21600">
            <v:path/>
            <v:fill on="f" focussize="0,0"/>
            <v:stroke weight="1.5pt" color="#C00000" joinstyle="miter"/>
            <v:imagedata o:title=""/>
            <o:lock v:ext="edit" aspectratio="f"/>
          </v:rect>
        </w:pict>
      </w:r>
      <w:r>
        <w:rPr>
          <w:color w:val="auto"/>
          <w:sz w:val="21"/>
        </w:rPr>
        <w:pict>
          <v:shape id="_x0000_i1038" o:spt="75" alt="微信图片_20240412163909" type="#_x0000_t75" style="height:603.2pt;width:415.75pt;" filled="f" o:preferrelative="t" stroked="f" coordsize="21600,21600">
            <v:path/>
            <v:fill on="f" focussize="0,0"/>
            <v:stroke on="f"/>
            <v:imagedata r:id="rId12" o:title="微信图片_20240412163909"/>
            <o:lock v:ext="edit" aspectratio="t"/>
            <w10:wrap type="none"/>
            <w10:anchorlock/>
          </v:shape>
        </w:pict>
      </w:r>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sectPr>
          <w:pgSz w:w="11910" w:h="16850"/>
          <w:pgMar w:top="1440" w:right="1797" w:bottom="1440" w:left="1797" w:header="890" w:footer="1100" w:gutter="0"/>
          <w:cols w:space="720" w:num="1"/>
          <w:docGrid w:linePitch="286" w:charSpace="0"/>
        </w:sectPr>
      </w:pPr>
      <w:bookmarkStart w:id="18" w:name="_Toc22547816"/>
      <w:r>
        <w:rPr>
          <w:rFonts w:hint="eastAsia" w:ascii="Times New Roman" w:hAnsi="Times New Roman" w:eastAsia="宋体" w:cs="Times New Roman"/>
          <w:b/>
          <w:bCs/>
          <w:sz w:val="24"/>
          <w:szCs w:val="24"/>
        </w:rPr>
        <w:t>图3-4  第二次信息公示（报纸第二次）</w:t>
      </w:r>
      <w:bookmarkEnd w:id="18"/>
    </w:p>
    <w:tbl>
      <w:tblPr>
        <w:tblStyle w:val="20"/>
        <w:tblW w:w="8862" w:type="dxa"/>
        <w:tblInd w:w="-1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25"/>
        <w:gridCol w:w="44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25" w:type="dxa"/>
            <w:vAlign w:val="center"/>
          </w:tcPr>
          <w:p>
            <w:pPr>
              <w:pStyle w:val="26"/>
              <w:rPr>
                <w:rFonts w:hint="eastAsia" w:eastAsia="宋体"/>
                <w:b w:val="0"/>
                <w:color w:val="auto"/>
                <w:kern w:val="0"/>
                <w:sz w:val="20"/>
                <w:szCs w:val="20"/>
                <w:lang w:val="en-US" w:eastAsia="zh-CN"/>
              </w:rPr>
            </w:pPr>
            <w:r>
              <w:rPr>
                <w:rFonts w:hint="eastAsia" w:eastAsia="宋体"/>
                <w:b w:val="0"/>
                <w:color w:val="auto"/>
                <w:kern w:val="0"/>
                <w:sz w:val="20"/>
                <w:szCs w:val="20"/>
                <w:lang w:val="en-US" w:eastAsia="zh-CN"/>
              </w:rPr>
              <w:pict>
                <v:shape id="_x0000_i1039" o:spt="75" alt="1" type="#_x0000_t75" style="height:157.5pt;width:210pt;" filled="f" o:preferrelative="t" stroked="f" coordsize="21600,21600">
                  <v:path/>
                  <v:fill on="f" focussize="0,0"/>
                  <v:stroke on="f"/>
                  <v:imagedata r:id="rId13" o:title="1"/>
                  <o:lock v:ext="edit" aspectratio="t"/>
                  <w10:wrap type="none"/>
                  <w10:anchorlock/>
                </v:shape>
              </w:pict>
            </w:r>
          </w:p>
          <w:p>
            <w:pPr>
              <w:pStyle w:val="26"/>
              <w:rPr>
                <w:b w:val="0"/>
                <w:color w:val="auto"/>
                <w:kern w:val="0"/>
                <w:sz w:val="20"/>
                <w:szCs w:val="20"/>
                <w:lang w:val="en-US"/>
              </w:rPr>
            </w:pPr>
            <w:r>
              <w:rPr>
                <w:rFonts w:hint="eastAsia"/>
                <w:color w:val="auto"/>
                <w:kern w:val="0"/>
                <w:sz w:val="20"/>
                <w:szCs w:val="20"/>
                <w:lang w:eastAsia="zh-CN"/>
              </w:rPr>
              <w:t>阿巴嘎旗巴彦图嘎苏木公告栏</w:t>
            </w:r>
            <w:r>
              <w:rPr>
                <w:rFonts w:hint="eastAsia"/>
                <w:color w:val="auto"/>
                <w:kern w:val="0"/>
                <w:sz w:val="20"/>
                <w:szCs w:val="20"/>
              </w:rPr>
              <w:t>张贴现状</w:t>
            </w:r>
            <w:r>
              <w:rPr>
                <w:color w:val="auto"/>
                <w:kern w:val="0"/>
                <w:sz w:val="20"/>
                <w:szCs w:val="20"/>
              </w:rPr>
              <w:t>1</w:t>
            </w:r>
          </w:p>
        </w:tc>
        <w:tc>
          <w:tcPr>
            <w:tcW w:w="4437" w:type="dxa"/>
            <w:vAlign w:val="top"/>
          </w:tcPr>
          <w:p>
            <w:pPr>
              <w:pStyle w:val="26"/>
              <w:rPr>
                <w:rFonts w:hint="eastAsia" w:eastAsia="宋体"/>
                <w:b w:val="0"/>
                <w:color w:val="auto"/>
                <w:kern w:val="0"/>
                <w:sz w:val="20"/>
                <w:szCs w:val="20"/>
                <w:lang w:val="en-US" w:eastAsia="zh-CN"/>
              </w:rPr>
            </w:pPr>
            <w:r>
              <w:rPr>
                <w:rFonts w:hint="eastAsia" w:eastAsia="宋体"/>
                <w:b w:val="0"/>
                <w:color w:val="auto"/>
                <w:kern w:val="0"/>
                <w:sz w:val="20"/>
                <w:szCs w:val="20"/>
                <w:lang w:val="en-US" w:eastAsia="zh-CN"/>
              </w:rPr>
              <w:pict>
                <v:shape id="_x0000_i1040" o:spt="75" alt="2" type="#_x0000_t75" style="height:158.2pt;width:210.95pt;" filled="f" o:preferrelative="t" stroked="f" coordsize="21600,21600">
                  <v:path/>
                  <v:fill on="f" focussize="0,0"/>
                  <v:stroke on="f"/>
                  <v:imagedata r:id="rId14" o:title="2"/>
                  <o:lock v:ext="edit" aspectratio="t"/>
                  <w10:wrap type="none"/>
                  <w10:anchorlock/>
                </v:shape>
              </w:pict>
            </w:r>
          </w:p>
          <w:p>
            <w:pPr>
              <w:pStyle w:val="26"/>
              <w:rPr>
                <w:rFonts w:hint="eastAsia" w:eastAsia="宋体"/>
                <w:b w:val="0"/>
                <w:color w:val="auto"/>
                <w:kern w:val="0"/>
                <w:sz w:val="20"/>
                <w:szCs w:val="20"/>
                <w:lang w:val="en-US" w:eastAsia="zh-CN"/>
              </w:rPr>
            </w:pPr>
            <w:r>
              <w:rPr>
                <w:rFonts w:hint="eastAsia"/>
                <w:color w:val="auto"/>
                <w:kern w:val="0"/>
                <w:sz w:val="20"/>
                <w:szCs w:val="20"/>
                <w:lang w:eastAsia="zh-CN"/>
              </w:rPr>
              <w:t>阿巴嘎旗巴彦图嘎苏木公告栏</w:t>
            </w:r>
            <w:r>
              <w:rPr>
                <w:rFonts w:hint="eastAsia"/>
                <w:color w:val="auto"/>
                <w:kern w:val="0"/>
                <w:sz w:val="20"/>
                <w:szCs w:val="20"/>
              </w:rPr>
              <w:t>张贴现状</w:t>
            </w:r>
            <w:r>
              <w:rPr>
                <w:rFonts w:hint="eastAsia"/>
                <w:color w:val="auto"/>
                <w:kern w:val="0"/>
                <w:sz w:val="20"/>
                <w:szCs w:val="20"/>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62" w:type="dxa"/>
            <w:gridSpan w:val="2"/>
            <w:vAlign w:val="center"/>
          </w:tcPr>
          <w:p>
            <w:pPr>
              <w:pStyle w:val="26"/>
              <w:rPr>
                <w:rFonts w:hint="eastAsia" w:eastAsia="宋体"/>
                <w:color w:val="auto"/>
                <w:kern w:val="0"/>
                <w:sz w:val="20"/>
                <w:szCs w:val="20"/>
                <w:lang w:eastAsia="zh-CN"/>
              </w:rPr>
            </w:pPr>
            <w:r>
              <w:rPr>
                <w:rFonts w:hint="eastAsia" w:eastAsia="宋体"/>
                <w:color w:val="auto"/>
                <w:kern w:val="0"/>
                <w:sz w:val="20"/>
                <w:szCs w:val="20"/>
                <w:lang w:eastAsia="zh-CN"/>
              </w:rPr>
              <w:pict>
                <v:shape id="_x0000_i1041" o:spt="75" alt="3" type="#_x0000_t75" style="height:323.7pt;width:431.6pt;" filled="f" o:preferrelative="t" stroked="f" coordsize="21600,21600">
                  <v:path/>
                  <v:fill on="f" focussize="0,0"/>
                  <v:stroke on="f"/>
                  <v:imagedata r:id="rId15" o:title="3"/>
                  <o:lock v:ext="edit" aspectratio="t"/>
                  <w10:wrap type="none"/>
                  <w10:anchorlock/>
                </v:shape>
              </w:pict>
            </w:r>
          </w:p>
          <w:p>
            <w:pPr>
              <w:pStyle w:val="26"/>
              <w:rPr>
                <w:rFonts w:hint="default" w:eastAsia="宋体"/>
                <w:color w:val="auto"/>
                <w:kern w:val="0"/>
                <w:sz w:val="20"/>
                <w:szCs w:val="20"/>
                <w:lang w:val="en-US" w:eastAsia="zh-CN"/>
              </w:rPr>
            </w:pPr>
            <w:r>
              <w:rPr>
                <w:rFonts w:hint="eastAsia"/>
                <w:color w:val="auto"/>
                <w:kern w:val="0"/>
                <w:sz w:val="20"/>
                <w:szCs w:val="20"/>
                <w:lang w:eastAsia="zh-CN"/>
              </w:rPr>
              <w:t>阿巴嘎旗巴彦图嘎苏木公告栏</w:t>
            </w:r>
            <w:r>
              <w:rPr>
                <w:rFonts w:hint="eastAsia"/>
                <w:color w:val="auto"/>
                <w:kern w:val="0"/>
                <w:sz w:val="20"/>
                <w:szCs w:val="20"/>
              </w:rPr>
              <w:t>张贴现状</w:t>
            </w:r>
            <w:r>
              <w:rPr>
                <w:rFonts w:hint="eastAsia"/>
                <w:color w:val="auto"/>
                <w:kern w:val="0"/>
                <w:sz w:val="20"/>
                <w:szCs w:val="20"/>
                <w:lang w:val="en-US" w:eastAsia="zh-CN"/>
              </w:rPr>
              <w:t>3</w:t>
            </w:r>
          </w:p>
        </w:tc>
      </w:tr>
    </w:tbl>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rPr>
      </w:pPr>
      <w:bookmarkStart w:id="19" w:name="_Toc22547823"/>
      <w:r>
        <w:rPr>
          <w:rFonts w:hint="eastAsia" w:ascii="Times New Roman" w:hAnsi="Times New Roman" w:eastAsia="宋体" w:cs="Times New Roman"/>
          <w:b/>
          <w:bCs/>
          <w:sz w:val="24"/>
          <w:szCs w:val="24"/>
        </w:rPr>
        <w:t>图3-5  第二次信息公示（张贴）</w:t>
      </w:r>
      <w:bookmarkEnd w:id="19"/>
    </w:p>
    <w:p>
      <w:pPr>
        <w:keepNext w:val="0"/>
        <w:keepLines w:val="0"/>
        <w:pageBreakBefore w:val="0"/>
        <w:widowControl w:val="0"/>
        <w:kinsoku/>
        <w:wordWrap/>
        <w:overflowPunct/>
        <w:topLinePunct w:val="0"/>
        <w:autoSpaceDE/>
        <w:autoSpaceDN/>
        <w:bidi w:val="0"/>
        <w:adjustRightInd/>
        <w:snapToGrid/>
        <w:spacing w:after="0" w:afterLines="50" w:line="360" w:lineRule="auto"/>
        <w:jc w:val="center"/>
        <w:textAlignment w:val="auto"/>
        <w:rPr>
          <w:rFonts w:hint="eastAsia" w:ascii="Times New Roman" w:hAnsi="Times New Roman" w:eastAsia="宋体" w:cs="Times New Roman"/>
          <w:b/>
          <w:bCs/>
          <w:sz w:val="24"/>
          <w:szCs w:val="24"/>
          <w:lang w:val="zh-CN"/>
        </w:rPr>
      </w:pPr>
    </w:p>
    <w:p>
      <w:pPr>
        <w:pStyle w:val="2"/>
        <w:rPr>
          <w:rFonts w:hint="eastAsia" w:ascii="Times New Roman" w:hAnsi="Times New Roman" w:eastAsia="宋体" w:cs="Times New Roman"/>
          <w:b/>
          <w:bCs/>
          <w:sz w:val="24"/>
          <w:szCs w:val="24"/>
          <w:lang w:val="zh-CN"/>
        </w:rPr>
      </w:pPr>
    </w:p>
    <w:p>
      <w:pPr>
        <w:pStyle w:val="4"/>
        <w:rPr>
          <w:rFonts w:hint="eastAsia" w:ascii="Times New Roman" w:hAnsi="Times New Roman" w:eastAsia="宋体" w:cs="Times New Roman"/>
          <w:b/>
          <w:bCs/>
          <w:sz w:val="24"/>
          <w:szCs w:val="24"/>
          <w:lang w:val="zh-CN"/>
        </w:rPr>
      </w:pPr>
    </w:p>
    <w:p>
      <w:pPr>
        <w:rPr>
          <w:rFonts w:hint="eastAsia" w:ascii="Times New Roman" w:hAnsi="Times New Roman" w:eastAsia="宋体" w:cs="Times New Roman"/>
          <w:b/>
          <w:bCs/>
          <w:sz w:val="24"/>
          <w:szCs w:val="24"/>
          <w:lang w:val="zh-CN"/>
        </w:rPr>
      </w:pPr>
    </w:p>
    <w:p>
      <w:pPr>
        <w:pStyle w:val="2"/>
        <w:rPr>
          <w:rFonts w:hint="eastAsia"/>
          <w:lang w:val="zh-CN"/>
        </w:rPr>
      </w:pPr>
    </w:p>
    <w:p>
      <w:pPr>
        <w:pStyle w:val="27"/>
        <w:ind w:firstLine="480"/>
        <w:rPr>
          <w:color w:val="auto"/>
        </w:rPr>
      </w:pPr>
      <w:r>
        <w:rPr>
          <w:rFonts w:hint="eastAsia"/>
          <w:color w:val="auto"/>
        </w:rPr>
        <w:t>第二次公示的内容如下：</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pPr>
              <w:pStyle w:val="48"/>
              <w:spacing w:line="360" w:lineRule="auto"/>
              <w:rPr>
                <w:rFonts w:hint="eastAsia"/>
                <w:b/>
                <w:sz w:val="28"/>
              </w:rPr>
            </w:pPr>
            <w:r>
              <w:rPr>
                <w:rFonts w:hint="eastAsia"/>
                <w:b/>
                <w:sz w:val="28"/>
              </w:rPr>
              <w:t>内蒙古自治区阿巴嘎旗巴彦图嘎三队李瑛萤石矿改扩建工程（二期150万吨/年采矿工程）</w:t>
            </w:r>
            <w:r>
              <w:rPr>
                <w:b/>
                <w:sz w:val="28"/>
              </w:rPr>
              <w:t>环境影响评价公众参与第二次信息公示</w:t>
            </w:r>
          </w:p>
          <w:p>
            <w:pPr>
              <w:pStyle w:val="49"/>
              <w:ind w:firstLine="480"/>
            </w:pPr>
            <w:r>
              <w:t>根据《环境影响评价公众参与办法》的相关规定，现对本项目环境影响评价相关事宜现公告如下：</w:t>
            </w:r>
          </w:p>
          <w:p>
            <w:pPr>
              <w:ind w:firstLine="480"/>
              <w:rPr>
                <w:rFonts w:eastAsia="黑体"/>
              </w:rPr>
            </w:pPr>
            <w:r>
              <w:rPr>
                <w:rFonts w:eastAsia="黑体"/>
              </w:rPr>
              <w:t>一、</w:t>
            </w:r>
            <w:r>
              <w:rPr>
                <w:rFonts w:hint="eastAsia" w:eastAsia="黑体"/>
              </w:rPr>
              <w:t>环境影响报告书征求意见稿全文的网络链接及查阅纸质报告书的方式和途径</w:t>
            </w:r>
          </w:p>
          <w:p>
            <w:pPr>
              <w:keepNext w:val="0"/>
              <w:keepLines w:val="0"/>
              <w:pageBreakBefore w:val="0"/>
              <w:widowControl w:val="0"/>
              <w:kinsoku/>
              <w:wordWrap/>
              <w:overflowPunct/>
              <w:topLinePunct w:val="0"/>
              <w:bidi w:val="0"/>
              <w:adjustRightInd/>
              <w:snapToGrid/>
              <w:spacing w:line="360" w:lineRule="auto"/>
              <w:ind w:left="0" w:firstLine="480" w:firstLineChars="200"/>
              <w:textAlignment w:val="auto"/>
              <w:rPr>
                <w:color w:val="auto"/>
                <w:sz w:val="24"/>
                <w:szCs w:val="24"/>
                <w:highlight w:val="none"/>
              </w:rPr>
            </w:pP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内蒙古自治区阿巴嘎旗巴彦图嘎三队李瑛萤石矿改扩建工程（二期150万吨/年采矿工程）</w:t>
            </w:r>
            <w:r>
              <w:rPr>
                <w:rFonts w:hint="eastAsia" w:ascii="Times New Roman" w:hAnsi="Times New Roman" w:cs="Times New Roman"/>
                <w:color w:val="auto"/>
                <w:sz w:val="24"/>
                <w:szCs w:val="24"/>
                <w:highlight w:val="none"/>
              </w:rPr>
              <w:t>环境影响报告书（征求意见稿）</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全文的网络链接链接：链接：https://pan.baidu.com/s/1UY5jpXlqFMlIEA5WAWwuxA</w:t>
            </w:r>
            <w:r>
              <w:rPr>
                <w:rFonts w:hint="eastAsia" w:ascii="Times New Roman" w:hAnsi="Times New Roman" w:cs="Times New Roman"/>
                <w:color w:val="auto"/>
                <w:sz w:val="24"/>
                <w:szCs w:val="24"/>
                <w:highlight w:val="none"/>
                <w:lang w:eastAsia="zh-CN"/>
              </w:rPr>
              <w:t>，</w:t>
            </w:r>
            <w:r>
              <w:rPr>
                <w:rFonts w:hint="eastAsia"/>
                <w:color w:val="auto"/>
                <w:sz w:val="24"/>
                <w:szCs w:val="24"/>
                <w:highlight w:val="none"/>
              </w:rPr>
              <w:t>若需查阅纸质报告书，请联系</w:t>
            </w:r>
            <w:r>
              <w:rPr>
                <w:rFonts w:hint="eastAsia"/>
                <w:color w:val="auto"/>
                <w:lang w:eastAsia="zh-CN"/>
              </w:rPr>
              <w:t>锡林郭勒盟隆兴矿业有限责任公司</w:t>
            </w:r>
            <w:r>
              <w:rPr>
                <w:rFonts w:hint="eastAsia"/>
                <w:color w:val="auto"/>
                <w:sz w:val="24"/>
                <w:szCs w:val="24"/>
                <w:highlight w:val="none"/>
              </w:rPr>
              <w:t>。具体联系方式如下：</w:t>
            </w:r>
          </w:p>
          <w:p>
            <w:pPr>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default" w:ascii="Times New Roman" w:hAnsi="Times New Roman" w:eastAsia="宋体" w:cs="Times New Roman"/>
                <w:color w:val="000000"/>
                <w:sz w:val="24"/>
                <w:szCs w:val="24"/>
              </w:rPr>
            </w:pPr>
            <w:r>
              <w:rPr>
                <w:color w:val="auto"/>
                <w:sz w:val="24"/>
                <w:szCs w:val="24"/>
                <w:highlight w:val="none"/>
                <w:lang w:val="zh-CN"/>
              </w:rPr>
              <w:t>建设单位：</w:t>
            </w:r>
            <w:r>
              <w:rPr>
                <w:rFonts w:hint="default" w:ascii="Times New Roman" w:hAnsi="Times New Roman" w:eastAsia="宋体" w:cs="Times New Roman"/>
                <w:color w:val="000000"/>
                <w:sz w:val="24"/>
                <w:szCs w:val="24"/>
              </w:rPr>
              <w:t>锡林郭勒盟隆兴矿业有限责任公司</w:t>
            </w:r>
          </w:p>
          <w:p>
            <w:pPr>
              <w:pStyle w:val="16"/>
              <w:widowControl/>
              <w:spacing w:before="100" w:beforeAutospacing="0" w:after="100" w:afterAutospacing="0" w:line="360" w:lineRule="auto"/>
              <w:ind w:firstLine="480" w:firstLineChars="200"/>
              <w:rPr>
                <w:rFonts w:hint="default" w:ascii="Times New Roman" w:hAnsi="Times New Roman" w:eastAsia="宋体" w:cs="Times New Roman"/>
                <w:color w:val="000000"/>
              </w:rPr>
            </w:pPr>
            <w:r>
              <w:rPr>
                <w:rFonts w:ascii="Times New Roman" w:hAnsi="Times New Roman" w:eastAsia="宋体"/>
                <w:color w:val="000000"/>
              </w:rPr>
              <w:t>单位地址：</w:t>
            </w:r>
            <w:r>
              <w:rPr>
                <w:rFonts w:hint="default" w:ascii="Times New Roman" w:hAnsi="Times New Roman" w:eastAsia="宋体" w:cs="Times New Roman"/>
                <w:color w:val="000000"/>
              </w:rPr>
              <w:t>内蒙古自治区锡林郭勒盟阿巴嘎旗巴彦图嘎苏木三队</w:t>
            </w:r>
          </w:p>
          <w:p>
            <w:pPr>
              <w:pStyle w:val="16"/>
              <w:widowControl/>
              <w:spacing w:before="100" w:beforeAutospacing="0" w:after="100" w:afterAutospacing="0" w:line="360" w:lineRule="auto"/>
              <w:ind w:firstLine="480" w:firstLineChars="200"/>
              <w:rPr>
                <w:rFonts w:hint="default" w:ascii="Times New Roman" w:hAnsi="Times New Roman" w:eastAsia="宋体" w:cs="Times New Roman"/>
                <w:color w:val="000000"/>
              </w:rPr>
            </w:pPr>
            <w:r>
              <w:rPr>
                <w:rFonts w:ascii="Times New Roman" w:hAnsi="Times New Roman" w:eastAsia="宋体"/>
                <w:color w:val="000000"/>
              </w:rPr>
              <w:t>邮编：</w:t>
            </w:r>
            <w:r>
              <w:rPr>
                <w:rFonts w:hint="default" w:ascii="Times New Roman" w:hAnsi="Times New Roman" w:eastAsia="宋体" w:cs="Times New Roman"/>
                <w:color w:val="000000"/>
              </w:rPr>
              <w:t>011400</w:t>
            </w:r>
          </w:p>
          <w:p>
            <w:pPr>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default" w:eastAsia="宋体"/>
                <w:color w:val="auto"/>
                <w:sz w:val="24"/>
                <w:szCs w:val="24"/>
                <w:highlight w:val="none"/>
                <w:lang w:val="en-US" w:eastAsia="zh-CN"/>
              </w:rPr>
            </w:pPr>
            <w:r>
              <w:rPr>
                <w:color w:val="auto"/>
                <w:sz w:val="24"/>
                <w:szCs w:val="24"/>
                <w:highlight w:val="none"/>
                <w:lang w:val="zh-CN"/>
              </w:rPr>
              <w:t>项目负责人：</w:t>
            </w:r>
            <w:r>
              <w:rPr>
                <w:rFonts w:hint="eastAsia" w:cs="Times New Roman"/>
                <w:color w:val="000000"/>
                <w:lang w:val="en-US" w:eastAsia="zh-CN"/>
              </w:rPr>
              <w:t>樊部长</w:t>
            </w:r>
          </w:p>
          <w:p>
            <w:pPr>
              <w:pStyle w:val="16"/>
              <w:widowControl/>
              <w:spacing w:before="100" w:beforeAutospacing="0" w:after="100" w:afterAutospacing="0" w:line="360" w:lineRule="auto"/>
              <w:ind w:firstLine="480" w:firstLineChars="200"/>
              <w:rPr>
                <w:rFonts w:hint="default" w:ascii="Times New Roman" w:hAnsi="Times New Roman" w:eastAsia="宋体" w:cs="Times New Roman"/>
                <w:color w:val="000000"/>
                <w:highlight w:val="none"/>
                <w:lang w:val="en-US" w:eastAsia="zh-CN"/>
              </w:rPr>
            </w:pPr>
            <w:r>
              <w:rPr>
                <w:color w:val="auto"/>
                <w:sz w:val="24"/>
                <w:szCs w:val="24"/>
                <w:highlight w:val="none"/>
                <w:lang w:val="zh-CN"/>
              </w:rPr>
              <w:t>联系电话：</w:t>
            </w:r>
            <w:r>
              <w:rPr>
                <w:rFonts w:hint="default" w:ascii="Times New Roman" w:hAnsi="Times New Roman" w:eastAsia="宋体" w:cs="Times New Roman"/>
                <w:color w:val="000000"/>
                <w:highlight w:val="none"/>
                <w:lang w:val="en-US" w:eastAsia="zh-CN"/>
              </w:rPr>
              <w:t>16604797444</w:t>
            </w:r>
          </w:p>
          <w:p>
            <w:pPr>
              <w:ind w:firstLine="480"/>
              <w:rPr>
                <w:rFonts w:eastAsia="黑体"/>
              </w:rPr>
            </w:pPr>
            <w:r>
              <w:rPr>
                <w:rFonts w:eastAsia="黑体"/>
              </w:rPr>
              <w:t>二、征求意见的公众范围</w:t>
            </w:r>
          </w:p>
          <w:p>
            <w:pPr>
              <w:ind w:firstLine="480"/>
              <w:jc w:val="left"/>
            </w:pPr>
            <w:r>
              <w:t>公众主要包括环境影响评价范围内的公民、法人和其他组织，也可包括环境影响评价范围之外的公民、法人和其他组织。</w:t>
            </w:r>
          </w:p>
          <w:p>
            <w:pPr>
              <w:ind w:firstLine="480"/>
              <w:rPr>
                <w:rFonts w:eastAsia="黑体"/>
              </w:rPr>
            </w:pPr>
            <w:r>
              <w:rPr>
                <w:rFonts w:eastAsia="黑体"/>
              </w:rPr>
              <w:t>三、公众意见表的网络链接</w:t>
            </w:r>
          </w:p>
          <w:p>
            <w:pPr>
              <w:snapToGrid w:val="0"/>
              <w:ind w:left="420" w:leftChars="200" w:firstLine="0" w:firstLineChars="0"/>
              <w:jc w:val="left"/>
            </w:pPr>
            <w:r>
              <w:t xml:space="preserve">公众意见表网络链接为： </w:t>
            </w:r>
            <w:r>
              <w:fldChar w:fldCharType="begin"/>
            </w:r>
            <w:r>
              <w:instrText xml:space="preserve"> HYPERLINK "http://www.mee.gov.cn/xxgk2018/xxgk/xxgk01/201810/t20181024_665329.html" </w:instrText>
            </w:r>
            <w:r>
              <w:fldChar w:fldCharType="separate"/>
            </w:r>
            <w:r>
              <w:rPr>
                <w:rStyle w:val="23"/>
              </w:rPr>
              <w:t>http://www.mee.gov.cn/xxgk2018/xxgk/xxgk01/201810/t20181024665329.html</w:t>
            </w:r>
            <w:r>
              <w:rPr>
                <w:rStyle w:val="23"/>
              </w:rPr>
              <w:fldChar w:fldCharType="end"/>
            </w:r>
          </w:p>
          <w:p>
            <w:pPr>
              <w:ind w:firstLine="480"/>
              <w:rPr>
                <w:rFonts w:eastAsia="黑体"/>
              </w:rPr>
            </w:pPr>
            <w:r>
              <w:rPr>
                <w:rFonts w:eastAsia="黑体"/>
              </w:rPr>
              <w:t>四、公众提出意见的方式和途径</w:t>
            </w:r>
          </w:p>
          <w:p>
            <w:pPr>
              <w:ind w:firstLine="480"/>
              <w:rPr>
                <w:color w:val="000000"/>
                <w:kern w:val="0"/>
              </w:rPr>
            </w:pPr>
            <w:r>
              <w:rPr>
                <w:color w:val="000000"/>
                <w:kern w:val="0"/>
              </w:rPr>
              <w:t>公众意见表，填写后通过发送信函、电子邮件、电话等方式与建设单位或环评单位联系和反馈。</w:t>
            </w:r>
          </w:p>
          <w:p>
            <w:pPr>
              <w:ind w:firstLine="480"/>
              <w:rPr>
                <w:rFonts w:eastAsia="黑体"/>
              </w:rPr>
            </w:pPr>
            <w:r>
              <w:rPr>
                <w:rFonts w:hint="eastAsia" w:eastAsia="黑体"/>
                <w:lang w:val="en-US" w:eastAsia="zh-CN"/>
              </w:rPr>
              <w:t>五</w:t>
            </w:r>
            <w:r>
              <w:rPr>
                <w:rFonts w:eastAsia="黑体"/>
              </w:rPr>
              <w:t>、评价单位名称及联系方式</w:t>
            </w:r>
          </w:p>
          <w:p>
            <w:pPr>
              <w:pStyle w:val="16"/>
              <w:widowControl/>
              <w:spacing w:before="100" w:beforeAutospacing="0" w:after="100" w:afterAutospacing="0" w:line="360" w:lineRule="auto"/>
              <w:ind w:firstLine="480" w:firstLineChars="200"/>
              <w:rPr>
                <w:rFonts w:ascii="Times New Roman" w:hAnsi="Times New Roman" w:eastAsia="宋体"/>
                <w:color w:val="000000"/>
              </w:rPr>
            </w:pPr>
            <w:r>
              <w:rPr>
                <w:rFonts w:ascii="Times New Roman" w:hAnsi="Times New Roman" w:eastAsia="宋体"/>
                <w:color w:val="000000"/>
              </w:rPr>
              <w:t>编制单位：</w:t>
            </w:r>
            <w:r>
              <w:rPr>
                <w:rFonts w:hint="eastAsia" w:ascii="Times New Roman" w:hAnsi="Times New Roman" w:eastAsia="宋体"/>
                <w:color w:val="000000"/>
              </w:rPr>
              <w:t>锡林郭勒环保投资有限公司</w:t>
            </w:r>
          </w:p>
          <w:p>
            <w:pPr>
              <w:pStyle w:val="16"/>
              <w:widowControl/>
              <w:spacing w:before="100" w:beforeAutospacing="0" w:after="100" w:afterAutospacing="0" w:line="360" w:lineRule="auto"/>
              <w:ind w:firstLine="480" w:firstLineChars="200"/>
              <w:rPr>
                <w:rFonts w:hint="eastAsia" w:ascii="Times New Roman" w:hAnsi="Times New Roman" w:eastAsia="宋体"/>
                <w:color w:val="000000"/>
              </w:rPr>
            </w:pPr>
            <w:r>
              <w:rPr>
                <w:rFonts w:hint="eastAsia" w:ascii="Times New Roman" w:hAnsi="Times New Roman" w:eastAsia="宋体"/>
                <w:color w:val="000000"/>
              </w:rPr>
              <w:t>单位地址：内蒙古自治区锡林郭勒盟锡林浩特市锡林大街西段华润大厦11层</w:t>
            </w:r>
          </w:p>
          <w:p>
            <w:pPr>
              <w:pStyle w:val="16"/>
              <w:widowControl/>
              <w:spacing w:before="100" w:beforeAutospacing="0" w:after="100" w:afterAutospacing="0" w:line="360" w:lineRule="auto"/>
              <w:ind w:firstLine="480" w:firstLineChars="200"/>
              <w:rPr>
                <w:rFonts w:hint="eastAsia" w:ascii="Times New Roman" w:hAnsi="Times New Roman" w:eastAsia="宋体"/>
                <w:color w:val="000000"/>
              </w:rPr>
            </w:pPr>
            <w:r>
              <w:rPr>
                <w:rFonts w:hint="eastAsia" w:ascii="Times New Roman" w:hAnsi="Times New Roman" w:eastAsia="宋体"/>
                <w:color w:val="000000"/>
              </w:rPr>
              <w:t>邮编：026000</w:t>
            </w:r>
          </w:p>
          <w:p>
            <w:pPr>
              <w:pStyle w:val="16"/>
              <w:widowControl/>
              <w:spacing w:before="100" w:beforeAutospacing="0" w:after="100" w:afterAutospacing="0" w:line="360" w:lineRule="auto"/>
              <w:ind w:firstLine="480" w:firstLineChars="200"/>
              <w:rPr>
                <w:rFonts w:hint="eastAsia" w:ascii="Times New Roman" w:hAnsi="Times New Roman" w:eastAsia="宋体"/>
                <w:color w:val="000000"/>
                <w:lang w:val="en-US" w:eastAsia="zh-CN"/>
              </w:rPr>
            </w:pPr>
            <w:r>
              <w:rPr>
                <w:rFonts w:hint="eastAsia"/>
                <w:color w:val="000000"/>
                <w:lang w:val="en-US" w:eastAsia="zh-CN"/>
              </w:rPr>
              <w:t>联系人：王薇</w:t>
            </w:r>
          </w:p>
          <w:p>
            <w:pPr>
              <w:pStyle w:val="16"/>
              <w:widowControl/>
              <w:spacing w:before="100" w:beforeAutospacing="0" w:after="100" w:afterAutospacing="0" w:line="360" w:lineRule="auto"/>
              <w:ind w:firstLine="480" w:firstLineChars="200"/>
              <w:rPr>
                <w:rFonts w:hint="eastAsia" w:ascii="Times New Roman" w:hAnsi="Times New Roman" w:eastAsia="宋体"/>
                <w:color w:val="000000"/>
              </w:rPr>
            </w:pPr>
            <w:r>
              <w:rPr>
                <w:rFonts w:hint="eastAsia" w:ascii="Times New Roman" w:hAnsi="Times New Roman" w:eastAsia="宋体"/>
                <w:color w:val="000000"/>
              </w:rPr>
              <w:t>联系方式：13947397444</w:t>
            </w:r>
          </w:p>
          <w:p>
            <w:pPr>
              <w:ind w:firstLine="480"/>
              <w:rPr>
                <w:rFonts w:eastAsia="黑体"/>
              </w:rPr>
            </w:pPr>
            <w:r>
              <w:rPr>
                <w:rFonts w:eastAsia="黑体"/>
              </w:rPr>
              <w:t>七、公众提出意见的起止时间</w:t>
            </w:r>
          </w:p>
          <w:p>
            <w:pPr>
              <w:ind w:firstLine="480"/>
              <w:rPr>
                <w:kern w:val="0"/>
              </w:rPr>
            </w:pPr>
            <w:r>
              <w:rPr>
                <w:kern w:val="0"/>
              </w:rPr>
              <w:t>公众提出意见的起止时间为本信息公布的10个工作日之内。</w:t>
            </w:r>
          </w:p>
          <w:p>
            <w:pPr>
              <w:ind w:firstLine="480"/>
            </w:pPr>
          </w:p>
          <w:p>
            <w:pPr>
              <w:keepNext w:val="0"/>
              <w:keepLines w:val="0"/>
              <w:pageBreakBefore w:val="0"/>
              <w:widowControl w:val="0"/>
              <w:kinsoku/>
              <w:wordWrap/>
              <w:overflowPunct/>
              <w:topLinePunct w:val="0"/>
              <w:bidi w:val="0"/>
              <w:adjustRightInd/>
              <w:snapToGrid/>
              <w:spacing w:line="360" w:lineRule="auto"/>
              <w:jc w:val="right"/>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锡林郭勒盟隆兴矿业有限责任公司</w:t>
            </w:r>
          </w:p>
          <w:p>
            <w:pPr>
              <w:pStyle w:val="27"/>
              <w:ind w:firstLine="0" w:firstLineChars="0"/>
              <w:jc w:val="right"/>
              <w:rPr>
                <w:color w:val="auto"/>
                <w:kern w:val="0"/>
                <w:sz w:val="20"/>
                <w:szCs w:val="20"/>
              </w:rPr>
            </w:pPr>
            <w:r>
              <w:rPr>
                <w:rFonts w:hint="eastAsia" w:ascii="Times New Roman" w:hAnsi="Times New Roman" w:eastAsia="宋体"/>
                <w:color w:val="000000"/>
                <w:lang w:val="en-US" w:eastAsia="zh-CN"/>
              </w:rPr>
              <w:t>202</w:t>
            </w:r>
            <w:r>
              <w:rPr>
                <w:rFonts w:hint="eastAsia"/>
                <w:color w:val="000000"/>
                <w:lang w:val="en-US" w:eastAsia="zh-CN"/>
              </w:rPr>
              <w:t>4</w:t>
            </w:r>
            <w:r>
              <w:rPr>
                <w:rFonts w:hint="eastAsia" w:ascii="Times New Roman" w:hAnsi="Times New Roman" w:eastAsia="宋体"/>
                <w:color w:val="000000"/>
                <w:lang w:val="en-US" w:eastAsia="zh-CN"/>
              </w:rPr>
              <w:t>年</w:t>
            </w:r>
            <w:r>
              <w:rPr>
                <w:rFonts w:hint="eastAsia"/>
                <w:color w:val="000000"/>
                <w:lang w:val="en-US" w:eastAsia="zh-CN"/>
              </w:rPr>
              <w:t>4</w:t>
            </w:r>
            <w:r>
              <w:rPr>
                <w:rFonts w:hint="eastAsia" w:ascii="Times New Roman" w:hAnsi="Times New Roman" w:eastAsia="宋体"/>
                <w:color w:val="000000"/>
                <w:lang w:val="en-US" w:eastAsia="zh-CN"/>
              </w:rPr>
              <w:t>月</w:t>
            </w:r>
            <w:r>
              <w:rPr>
                <w:rFonts w:hint="eastAsia"/>
                <w:color w:val="000000"/>
                <w:lang w:val="en-US" w:eastAsia="zh-CN"/>
              </w:rPr>
              <w:t>8</w:t>
            </w:r>
            <w:r>
              <w:rPr>
                <w:rFonts w:hint="eastAsia" w:ascii="Times New Roman" w:hAnsi="Times New Roman" w:eastAsia="宋体"/>
                <w:color w:val="000000"/>
                <w:lang w:val="en-US" w:eastAsia="zh-CN"/>
              </w:rPr>
              <w:t>日</w:t>
            </w:r>
          </w:p>
        </w:tc>
      </w:tr>
    </w:tbl>
    <w:p>
      <w:pPr>
        <w:pStyle w:val="27"/>
        <w:ind w:firstLine="480"/>
        <w:rPr>
          <w:color w:val="auto"/>
        </w:rPr>
      </w:pPr>
      <w:r>
        <w:rPr>
          <w:rFonts w:hint="eastAsia"/>
          <w:color w:val="auto"/>
        </w:rPr>
        <w:t>在</w:t>
      </w:r>
      <w:r>
        <w:rPr>
          <w:color w:val="auto"/>
        </w:rPr>
        <w:t>第</w:t>
      </w:r>
      <w:r>
        <w:rPr>
          <w:rFonts w:hint="eastAsia"/>
          <w:color w:val="auto"/>
        </w:rPr>
        <w:t>二</w:t>
      </w:r>
      <w:r>
        <w:rPr>
          <w:color w:val="auto"/>
        </w:rPr>
        <w:t>次信息公示期间</w:t>
      </w:r>
      <w:r>
        <w:rPr>
          <w:rFonts w:hint="eastAsia"/>
          <w:color w:val="auto"/>
        </w:rPr>
        <w:t>，</w:t>
      </w:r>
      <w:r>
        <w:rPr>
          <w:color w:val="auto"/>
        </w:rPr>
        <w:t>项目区域公众未提出相关意见和建议</w:t>
      </w:r>
      <w:r>
        <w:rPr>
          <w:rFonts w:hint="eastAsia"/>
          <w:color w:val="auto"/>
        </w:rPr>
        <w:t>。</w:t>
      </w:r>
    </w:p>
    <w:p>
      <w:pPr>
        <w:widowControl/>
        <w:jc w:val="left"/>
        <w:rPr>
          <w:color w:val="auto"/>
          <w:sz w:val="24"/>
          <w:szCs w:val="22"/>
        </w:rPr>
      </w:pPr>
      <w:r>
        <w:rPr>
          <w:color w:val="auto"/>
        </w:rPr>
        <w:br w:type="page"/>
      </w:r>
    </w:p>
    <w:p>
      <w:pPr>
        <w:ind w:firstLine="480" w:firstLineChars="200"/>
        <w:rPr>
          <w:color w:val="auto"/>
          <w:sz w:val="24"/>
          <w:szCs w:val="22"/>
        </w:rPr>
      </w:pPr>
      <w:r>
        <w:rPr>
          <w:rFonts w:hint="eastAsia"/>
          <w:color w:val="auto"/>
          <w:sz w:val="24"/>
          <w:szCs w:val="22"/>
        </w:rPr>
        <w:t>两次公示期间的公参意见表如下：</w:t>
      </w:r>
    </w:p>
    <w:p>
      <w:pPr>
        <w:pStyle w:val="27"/>
        <w:ind w:firstLine="480"/>
        <w:rPr>
          <w:color w:val="auto"/>
        </w:rPr>
      </w:pPr>
    </w:p>
    <w:p>
      <w:pPr>
        <w:adjustRightInd w:val="0"/>
        <w:snapToGrid w:val="0"/>
        <w:jc w:val="center"/>
        <w:rPr>
          <w:rFonts w:ascii="方正小标宋_GBK" w:eastAsia="方正小标宋_GBK"/>
          <w:color w:val="auto"/>
          <w:sz w:val="38"/>
          <w:szCs w:val="38"/>
        </w:rPr>
      </w:pPr>
      <w:r>
        <w:rPr>
          <w:rFonts w:hint="eastAsia" w:ascii="宋体" w:hAnsi="宋体" w:cs="宋体"/>
          <w:color w:val="auto"/>
          <w:sz w:val="38"/>
          <w:szCs w:val="38"/>
        </w:rPr>
        <w:t>环境影响评价公众意见表</w:t>
      </w:r>
    </w:p>
    <w:p>
      <w:pPr>
        <w:adjustRightInd w:val="0"/>
        <w:snapToGrid w:val="0"/>
        <w:spacing w:line="408" w:lineRule="auto"/>
        <w:rPr>
          <w:rFonts w:ascii="黑体" w:hAnsi="黑体" w:eastAsia="黑体"/>
          <w:color w:val="auto"/>
          <w:sz w:val="32"/>
          <w:szCs w:val="32"/>
        </w:rPr>
      </w:pPr>
    </w:p>
    <w:p>
      <w:pPr>
        <w:adjustRightInd w:val="0"/>
        <w:snapToGrid w:val="0"/>
        <w:spacing w:after="156" w:afterLines="50"/>
        <w:rPr>
          <w:rFonts w:eastAsia="黑体"/>
          <w:b/>
          <w:color w:val="auto"/>
          <w:sz w:val="24"/>
        </w:rPr>
      </w:pPr>
      <w:r>
        <w:rPr>
          <w:rFonts w:eastAsia="仿宋_GB2312"/>
          <w:b/>
          <w:color w:val="auto"/>
          <w:sz w:val="24"/>
        </w:rPr>
        <w:t>填表日期</w:t>
      </w:r>
      <w:r>
        <w:rPr>
          <w:rFonts w:eastAsia="仿宋_GB2312"/>
          <w:b/>
          <w:color w:val="auto"/>
          <w:sz w:val="24"/>
          <w:u w:val="single"/>
        </w:rPr>
        <w:t xml:space="preserve">   </w:t>
      </w:r>
      <w:r>
        <w:rPr>
          <w:rFonts w:hint="eastAsia" w:eastAsia="仿宋_GB2312"/>
          <w:b/>
          <w:color w:val="auto"/>
          <w:sz w:val="24"/>
          <w:u w:val="single"/>
        </w:rPr>
        <w:t xml:space="preserve"> </w:t>
      </w:r>
      <w:r>
        <w:rPr>
          <w:rFonts w:eastAsia="仿宋_GB2312"/>
          <w:b/>
          <w:color w:val="auto"/>
          <w:sz w:val="24"/>
          <w:u w:val="single"/>
        </w:rPr>
        <w:t>年   月   日</w:t>
      </w:r>
    </w:p>
    <w:tbl>
      <w:tblPr>
        <w:tblStyle w:val="19"/>
        <w:tblW w:w="85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2309"/>
        <w:gridCol w:w="45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665" w:type="dxa"/>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Cs/>
                <w:color w:val="auto"/>
                <w:szCs w:val="21"/>
              </w:rPr>
              <w:t>项目名称</w:t>
            </w:r>
          </w:p>
        </w:tc>
        <w:tc>
          <w:tcPr>
            <w:tcW w:w="6857" w:type="dxa"/>
            <w:gridSpan w:val="2"/>
            <w:vAlign w:val="center"/>
          </w:tcPr>
          <w:p>
            <w:pPr>
              <w:adjustRightInd w:val="0"/>
              <w:snapToGrid w:val="0"/>
              <w:jc w:val="center"/>
              <w:rPr>
                <w:rFonts w:hint="eastAsia" w:cs="Times New Roman"/>
                <w:color w:val="auto"/>
                <w:szCs w:val="21"/>
                <w:lang w:eastAsia="zh-CN"/>
              </w:rPr>
            </w:pPr>
            <w:r>
              <w:rPr>
                <w:rFonts w:hint="eastAsia" w:cs="Times New Roman"/>
                <w:color w:val="auto"/>
                <w:szCs w:val="21"/>
                <w:lang w:eastAsia="zh-CN"/>
              </w:rPr>
              <w:t>内蒙古自治区阿巴嘎旗巴彦图嘎三队李瑛萤石矿改扩建工程</w:t>
            </w:r>
          </w:p>
          <w:p>
            <w:pPr>
              <w:adjustRightInd w:val="0"/>
              <w:snapToGrid w:val="0"/>
              <w:jc w:val="center"/>
              <w:rPr>
                <w:rFonts w:hint="default" w:ascii="Times New Roman" w:hAnsi="Times New Roman" w:eastAsia="宋体" w:cs="Times New Roman"/>
                <w:color w:val="auto"/>
                <w:szCs w:val="21"/>
                <w:lang w:eastAsia="zh-CN"/>
              </w:rPr>
            </w:pPr>
            <w:r>
              <w:rPr>
                <w:rFonts w:hint="eastAsia" w:cs="Times New Roman"/>
                <w:color w:val="auto"/>
                <w:szCs w:val="21"/>
                <w:lang w:eastAsia="zh-CN"/>
              </w:rPr>
              <w:t>（二期150万吨/年采矿工程）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522" w:type="dxa"/>
            <w:gridSpan w:val="3"/>
            <w:vAlign w:val="center"/>
          </w:tcPr>
          <w:p>
            <w:pPr>
              <w:adjustRightInd w:val="0"/>
              <w:snapToGrid w:val="0"/>
              <w:jc w:val="left"/>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一、本页为公众意见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01" w:hRule="atLeast"/>
        </w:trPr>
        <w:tc>
          <w:tcPr>
            <w:tcW w:w="1665" w:type="dxa"/>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
                <w:bCs/>
                <w:color w:val="auto"/>
                <w:szCs w:val="21"/>
              </w:rPr>
              <w:t>与本项目环境影响和环境保护措施有关的建议和意见</w:t>
            </w:r>
            <w:r>
              <w:rPr>
                <w:rFonts w:hint="default" w:ascii="Times New Roman" w:hAnsi="Times New Roman" w:cs="Times New Roman"/>
                <w:color w:val="auto"/>
                <w:szCs w:val="21"/>
              </w:rPr>
              <w:t>（</w:t>
            </w:r>
            <w:r>
              <w:rPr>
                <w:rFonts w:hint="default" w:ascii="Times New Roman" w:hAnsi="Times New Roman" w:cs="Times New Roman"/>
                <w:b/>
                <w:bCs/>
                <w:color w:val="auto"/>
                <w:szCs w:val="21"/>
              </w:rPr>
              <w:t>注：</w:t>
            </w:r>
            <w:r>
              <w:rPr>
                <w:rFonts w:hint="default" w:ascii="Times New Roman" w:hAnsi="Times New Roman" w:cs="Times New Roman"/>
                <w:color w:val="auto"/>
                <w:szCs w:val="21"/>
              </w:rPr>
              <w:t>根据《环境影响评价公众参与办法》规定，涉及</w:t>
            </w:r>
            <w:r>
              <w:rPr>
                <w:rFonts w:hint="default" w:ascii="Times New Roman" w:hAnsi="Times New Roman" w:cs="Times New Roman"/>
                <w:b/>
                <w:bCs/>
                <w:color w:val="auto"/>
                <w:szCs w:val="21"/>
              </w:rPr>
              <w:t>征地拆迁、财产、就业</w:t>
            </w:r>
            <w:r>
              <w:rPr>
                <w:rFonts w:hint="default" w:ascii="Times New Roman" w:hAnsi="Times New Roman" w:cs="Times New Roman"/>
                <w:color w:val="auto"/>
                <w:szCs w:val="21"/>
              </w:rPr>
              <w:t>等与项目环评无关的意见或者诉求不属于项目环评公参内容）</w:t>
            </w:r>
          </w:p>
        </w:tc>
        <w:tc>
          <w:tcPr>
            <w:tcW w:w="6857" w:type="dxa"/>
            <w:gridSpan w:val="2"/>
            <w:vAlign w:val="top"/>
          </w:tcPr>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522" w:type="dxa"/>
            <w:gridSpan w:val="3"/>
            <w:vAlign w:val="center"/>
          </w:tcPr>
          <w:p>
            <w:pPr>
              <w:adjustRightInd w:val="0"/>
              <w:snapToGrid w:val="0"/>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二、本页为公众信息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522" w:type="dxa"/>
            <w:gridSpan w:val="3"/>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
                <w:bCs/>
                <w:color w:val="auto"/>
                <w:szCs w:val="21"/>
              </w:rPr>
              <w:t>（一）公众为公民的请填写以下信息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姓   名</w:t>
            </w:r>
          </w:p>
        </w:tc>
        <w:tc>
          <w:tcPr>
            <w:tcW w:w="4548" w:type="dxa"/>
            <w:vAlign w:val="center"/>
          </w:tcPr>
          <w:p>
            <w:pPr>
              <w:adjustRightInd w:val="0"/>
              <w:snapToGrid w:val="0"/>
              <w:rPr>
                <w:rFonts w:hint="default" w:ascii="Times New Roman" w:hAnsi="Times New Roman"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80"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身份证号</w:t>
            </w:r>
          </w:p>
        </w:tc>
        <w:tc>
          <w:tcPr>
            <w:tcW w:w="4548" w:type="dxa"/>
            <w:vAlign w:val="center"/>
          </w:tcPr>
          <w:p>
            <w:pPr>
              <w:adjustRightInd w:val="0"/>
              <w:snapToGrid w:val="0"/>
              <w:rPr>
                <w:rFonts w:hint="default" w:ascii="Times New Roman" w:hAnsi="Times New Roman"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有效联系方式</w:t>
            </w:r>
          </w:p>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（电话号码或邮箱）</w:t>
            </w:r>
          </w:p>
        </w:tc>
        <w:tc>
          <w:tcPr>
            <w:tcW w:w="4548" w:type="dxa"/>
            <w:vAlign w:val="center"/>
          </w:tcPr>
          <w:p>
            <w:pPr>
              <w:adjustRightInd w:val="0"/>
              <w:snapToGrid w:val="0"/>
              <w:rPr>
                <w:rFonts w:hint="default" w:ascii="Times New Roman" w:hAnsi="Times New Roman" w:cs="Times New Roman"/>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经常居住地址</w:t>
            </w:r>
          </w:p>
        </w:tc>
        <w:tc>
          <w:tcPr>
            <w:tcW w:w="4548" w:type="dxa"/>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内蒙古自治区鄂尔多斯市</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旗（区）</w:t>
            </w:r>
          </w:p>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乡（镇、街道）</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村（居委会）</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村民组（小区）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是否同意公开个人信息</w:t>
            </w:r>
          </w:p>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color w:val="auto"/>
                <w:szCs w:val="21"/>
              </w:rPr>
              <w:t>（填同意或不同意）</w:t>
            </w:r>
          </w:p>
        </w:tc>
        <w:tc>
          <w:tcPr>
            <w:tcW w:w="4548" w:type="dxa"/>
            <w:vAlign w:val="center"/>
          </w:tcPr>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p>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（若不填则默认为不同意公开）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522" w:type="dxa"/>
            <w:gridSpan w:val="3"/>
            <w:vAlign w:val="center"/>
          </w:tcPr>
          <w:p>
            <w:pPr>
              <w:adjustRightInd w:val="0"/>
              <w:snapToGrid w:val="0"/>
              <w:jc w:val="left"/>
              <w:rPr>
                <w:rFonts w:hint="default" w:ascii="Times New Roman" w:hAnsi="Times New Roman" w:cs="Times New Roman"/>
                <w:color w:val="auto"/>
                <w:szCs w:val="21"/>
              </w:rPr>
            </w:pPr>
            <w:r>
              <w:rPr>
                <w:rFonts w:hint="default" w:ascii="Times New Roman" w:hAnsi="Times New Roman" w:cs="Times New Roman"/>
                <w:b/>
                <w:bCs/>
                <w:color w:val="auto"/>
                <w:szCs w:val="21"/>
              </w:rPr>
              <w:t>（二）公众为法人或其他组织的请填写以下信息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单位名称</w:t>
            </w:r>
          </w:p>
        </w:tc>
        <w:tc>
          <w:tcPr>
            <w:tcW w:w="4548" w:type="dxa"/>
            <w:vAlign w:val="top"/>
          </w:tcPr>
          <w:p>
            <w:pPr>
              <w:adjustRightInd w:val="0"/>
              <w:snapToGrid w:val="0"/>
              <w:rPr>
                <w:rFonts w:hint="default" w:ascii="Times New Roman" w:hAnsi="Times New Roman" w:cs="Times New Roman"/>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工商注册号或统一社会信用代码</w:t>
            </w:r>
          </w:p>
        </w:tc>
        <w:tc>
          <w:tcPr>
            <w:tcW w:w="4548" w:type="dxa"/>
            <w:vAlign w:val="top"/>
          </w:tcPr>
          <w:p>
            <w:pPr>
              <w:adjustRightInd w:val="0"/>
              <w:snapToGrid w:val="0"/>
              <w:rPr>
                <w:rFonts w:hint="default" w:ascii="Times New Roman" w:hAnsi="Times New Roman" w:cs="Times New Roman"/>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有效联系方式</w:t>
            </w:r>
          </w:p>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color w:val="auto"/>
                <w:szCs w:val="21"/>
              </w:rPr>
              <w:t>（电话号码或邮箱）</w:t>
            </w:r>
          </w:p>
        </w:tc>
        <w:tc>
          <w:tcPr>
            <w:tcW w:w="4548" w:type="dxa"/>
            <w:vAlign w:val="top"/>
          </w:tcPr>
          <w:p>
            <w:pPr>
              <w:adjustRightInd w:val="0"/>
              <w:snapToGrid w:val="0"/>
              <w:rPr>
                <w:rFonts w:hint="default" w:ascii="Times New Roman" w:hAnsi="Times New Roman" w:cs="Times New Roman"/>
                <w:b/>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3974" w:type="dxa"/>
            <w:gridSpan w:val="2"/>
            <w:vAlign w:val="center"/>
          </w:tcPr>
          <w:p>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地    址</w:t>
            </w:r>
          </w:p>
        </w:tc>
        <w:tc>
          <w:tcPr>
            <w:tcW w:w="4548" w:type="dxa"/>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内蒙古自治区鄂尔多斯市东胜区</w:t>
            </w:r>
          </w:p>
          <w:p>
            <w:pPr>
              <w:adjustRightInd w:val="0"/>
              <w:snapToGrid w:val="0"/>
              <w:rPr>
                <w:rFonts w:hint="default" w:ascii="Times New Roman" w:hAnsi="Times New Roman" w:cs="Times New Roman"/>
                <w:b/>
                <w:bCs/>
                <w:color w:val="auto"/>
                <w:szCs w:val="21"/>
              </w:rPr>
            </w:pP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乡（镇、街道）</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路</w:t>
            </w:r>
            <w:r>
              <w:rPr>
                <w:rFonts w:hint="default" w:ascii="Times New Roman" w:hAnsi="Times New Roman" w:cs="Times New Roman"/>
                <w:color w:val="auto"/>
                <w:szCs w:val="21"/>
                <w:u w:val="single"/>
              </w:rPr>
              <w:t xml:space="preserve">     </w:t>
            </w:r>
            <w:r>
              <w:rPr>
                <w:rFonts w:hint="default" w:ascii="Times New Roman" w:hAnsi="Times New Roman" w:cs="Times New Roman"/>
                <w:color w:val="auto"/>
                <w:szCs w:val="21"/>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1" w:hRule="atLeast"/>
        </w:trPr>
        <w:tc>
          <w:tcPr>
            <w:tcW w:w="8522" w:type="dxa"/>
            <w:gridSpan w:val="3"/>
            <w:vAlign w:val="center"/>
          </w:tcPr>
          <w:p>
            <w:pPr>
              <w:tabs>
                <w:tab w:val="left" w:pos="2535"/>
              </w:tabs>
              <w:adjustRightInd w:val="0"/>
              <w:snapToGrid w:val="0"/>
              <w:spacing w:before="249" w:beforeLines="80"/>
              <w:rPr>
                <w:rFonts w:hint="default" w:ascii="Times New Roman" w:hAnsi="Times New Roman" w:cs="Times New Roman"/>
                <w:bCs/>
                <w:color w:val="auto"/>
                <w:szCs w:val="21"/>
              </w:rPr>
            </w:pPr>
            <w:r>
              <w:rPr>
                <w:rFonts w:hint="default" w:ascii="Times New Roman" w:hAnsi="Times New Roman" w:cs="Times New Roman"/>
                <w:bCs/>
                <w:color w:val="auto"/>
                <w:szCs w:val="21"/>
              </w:rPr>
              <w:t>注：法人或其他组织信息原则上可以公开，若涉及不能公开的信息请在此栏中注明法律依据和不能公开的具体信息。</w:t>
            </w:r>
          </w:p>
        </w:tc>
      </w:tr>
    </w:tbl>
    <w:p>
      <w:pPr>
        <w:rPr>
          <w:rFonts w:eastAsia="仿宋_GB2312"/>
          <w:color w:val="auto"/>
          <w:sz w:val="32"/>
          <w:szCs w:val="20"/>
        </w:rPr>
      </w:pPr>
    </w:p>
    <w:p>
      <w:pPr>
        <w:pStyle w:val="2"/>
        <w:rPr>
          <w:rFonts w:eastAsia="仿宋_GB2312"/>
          <w:color w:val="auto"/>
          <w:sz w:val="32"/>
          <w:szCs w:val="20"/>
        </w:rPr>
      </w:pPr>
    </w:p>
    <w:p>
      <w:pPr>
        <w:pStyle w:val="4"/>
      </w:pPr>
    </w:p>
    <w:p>
      <w:pPr>
        <w:pStyle w:val="31"/>
        <w:rPr>
          <w:rFonts w:hint="eastAsia" w:ascii="Times New Roman" w:hAnsi="Times New Roman" w:eastAsia="宋体" w:cs="Times New Roman"/>
          <w:color w:val="auto"/>
        </w:rPr>
      </w:pPr>
      <w:bookmarkStart w:id="20" w:name="_Toc395596314"/>
      <w:bookmarkStart w:id="21" w:name="_Toc181015495"/>
      <w:bookmarkStart w:id="22" w:name="_Toc182638511"/>
      <w:bookmarkStart w:id="23" w:name="_Toc464380894"/>
      <w:bookmarkStart w:id="24" w:name="_Toc155106907"/>
      <w:bookmarkStart w:id="25" w:name="_Toc289868670"/>
      <w:bookmarkStart w:id="26" w:name="_Toc250734523"/>
      <w:bookmarkStart w:id="27" w:name="_Toc222571070"/>
      <w:bookmarkStart w:id="28" w:name="_Toc204051393"/>
      <w:bookmarkStart w:id="29" w:name="_Toc181686477"/>
      <w:bookmarkStart w:id="30" w:name="_Toc223839237"/>
      <w:bookmarkStart w:id="31" w:name="_Toc490464057"/>
      <w:bookmarkStart w:id="32" w:name="_Toc173400234"/>
      <w:bookmarkStart w:id="33" w:name="_Toc365990201"/>
      <w:bookmarkStart w:id="34" w:name="_Toc176876622"/>
      <w:bookmarkStart w:id="35" w:name="_Toc180808313"/>
      <w:bookmarkStart w:id="36" w:name="_Toc155688606"/>
      <w:bookmarkStart w:id="37" w:name="_Toc155662180"/>
      <w:bookmarkStart w:id="38" w:name="_Toc211736829"/>
      <w:bookmarkStart w:id="39" w:name="_Toc154502625"/>
      <w:r>
        <w:rPr>
          <w:rFonts w:hint="eastAsia" w:ascii="Times New Roman" w:hAnsi="Times New Roman" w:eastAsia="宋体" w:cs="Times New Roman"/>
          <w:color w:val="auto"/>
        </w:rPr>
        <w:t>3.3 公众参与结论</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pPr>
        <w:pStyle w:val="27"/>
        <w:ind w:firstLine="480"/>
        <w:rPr>
          <w:rFonts w:hint="eastAsia"/>
          <w:color w:val="auto"/>
        </w:rPr>
      </w:pPr>
      <w:r>
        <w:rPr>
          <w:rFonts w:hint="eastAsia"/>
          <w:color w:val="auto"/>
        </w:rPr>
        <w:t>在两次环评信息公示期间，均未收到任何反馈意见。</w:t>
      </w:r>
      <w:r>
        <w:rPr>
          <w:rFonts w:hint="eastAsia" w:ascii="Calibri" w:hAnsi="Calibri" w:eastAsia="宋体" w:cs="黑体"/>
          <w:color w:val="auto"/>
        </w:rPr>
        <w:t>建设项目对各种污染物采取了合理有效的防治措施，污染物排放满足达标排放要求，对周围环境的影响很小，不会改变项目周围地区环境质量功能要求。</w:t>
      </w:r>
      <w:r>
        <w:rPr>
          <w:rFonts w:hint="eastAsia"/>
          <w:color w:val="auto"/>
        </w:rPr>
        <w:t>我单位承诺严格执行环境影响评价提出的环境保护措施，减轻污染。</w:t>
      </w:r>
      <w:bookmarkEnd w:id="0"/>
      <w:bookmarkStart w:id="40" w:name="_Toc464380887"/>
      <w:bookmarkEnd w:id="40"/>
    </w:p>
    <w:p>
      <w:pPr>
        <w:pStyle w:val="27"/>
        <w:ind w:firstLine="480"/>
        <w:rPr>
          <w:rFonts w:hint="eastAsia"/>
          <w:color w:val="auto"/>
        </w:rPr>
        <w:sectPr>
          <w:footerReference r:id="rId6" w:type="default"/>
          <w:footerReference r:id="rId7" w:type="even"/>
          <w:pgSz w:w="11906" w:h="16838"/>
          <w:pgMar w:top="1440" w:right="1800" w:bottom="1440" w:left="1800" w:header="851" w:footer="992" w:gutter="0"/>
          <w:cols w:space="720" w:num="1"/>
          <w:docGrid w:type="lines" w:linePitch="312" w:charSpace="0"/>
        </w:sectPr>
      </w:pPr>
    </w:p>
    <w:p>
      <w:pPr>
        <w:pStyle w:val="29"/>
        <w:rPr>
          <w:rFonts w:hint="eastAsia" w:ascii="Times New Roman" w:hAnsi="Times New Roman" w:eastAsia="宋体" w:cs="Times New Roman"/>
          <w:color w:val="auto"/>
        </w:rPr>
      </w:pPr>
      <w:bookmarkStart w:id="41" w:name="_Toc14922"/>
      <w:r>
        <w:rPr>
          <w:rFonts w:hint="eastAsia" w:ascii="Times New Roman" w:hAnsi="Times New Roman" w:eastAsia="宋体" w:cs="Times New Roman"/>
          <w:color w:val="auto"/>
          <w:lang w:val="en-US" w:eastAsia="zh-CN"/>
        </w:rPr>
        <w:t>4</w:t>
      </w:r>
      <w:r>
        <w:rPr>
          <w:rFonts w:hint="eastAsia" w:ascii="Times New Roman" w:hAnsi="Times New Roman" w:eastAsia="宋体" w:cs="Times New Roman"/>
          <w:color w:val="auto"/>
        </w:rPr>
        <w:t>.诚信承诺</w:t>
      </w:r>
      <w:bookmarkEnd w:id="41"/>
    </w:p>
    <w:p>
      <w:pPr>
        <w:pStyle w:val="27"/>
        <w:ind w:firstLine="480"/>
        <w:rPr>
          <w:rFonts w:hint="eastAsia" w:ascii="Times New Roman" w:hAnsi="Times New Roman" w:eastAsia="宋体" w:cs="Times New Roman"/>
          <w:color w:val="auto"/>
        </w:rPr>
      </w:pPr>
      <w:r>
        <w:rPr>
          <w:rFonts w:hint="eastAsia" w:ascii="Times New Roman" w:hAnsi="Times New Roman" w:eastAsia="宋体" w:cs="Times New Roman"/>
          <w:color w:val="auto"/>
        </w:rPr>
        <w:t>我单位已按照《环境影响评价公众参与办法》要求，在《</w:t>
      </w:r>
      <w:r>
        <w:rPr>
          <w:rFonts w:hint="eastAsia" w:ascii="Times New Roman" w:hAnsi="Times New Roman" w:cs="Times New Roman"/>
          <w:color w:val="auto"/>
          <w:sz w:val="24"/>
          <w:szCs w:val="24"/>
          <w:highlight w:val="none"/>
          <w:lang w:eastAsia="zh-CN"/>
        </w:rPr>
        <w:t>内蒙古自治区阿巴嘎旗巴彦图嘎三队李瑛萤石矿改扩建工程（二期150万吨/年采矿工程）</w:t>
      </w:r>
      <w:r>
        <w:rPr>
          <w:rFonts w:hint="eastAsia" w:ascii="Times New Roman" w:hAnsi="Times New Roman" w:eastAsia="宋体" w:cs="Times New Roman"/>
          <w:color w:val="auto"/>
        </w:rPr>
        <w:t>环境影响报告书》编制阶段开展了公众参与工作，在环境影响报告书中充分采纳了公众提出的与环境影响相关的合理意见，对未采纳的意见按要求进行了说明，并按照要求编制了公众参与说明。我单位承诺，本次提交的《</w:t>
      </w:r>
      <w:r>
        <w:rPr>
          <w:rFonts w:hint="eastAsia" w:ascii="Times New Roman" w:hAnsi="Times New Roman" w:cs="Times New Roman"/>
          <w:color w:val="auto"/>
          <w:sz w:val="24"/>
          <w:szCs w:val="24"/>
          <w:highlight w:val="none"/>
          <w:lang w:eastAsia="zh-CN"/>
        </w:rPr>
        <w:t>内蒙古自治区阿巴嘎旗巴彦图嘎三队李瑛萤石矿改扩建工程（二期150万吨/年采矿工程）</w:t>
      </w:r>
      <w:r>
        <w:rPr>
          <w:rFonts w:hint="eastAsia" w:ascii="Times New Roman" w:hAnsi="Times New Roman" w:eastAsia="宋体" w:cs="Times New Roman"/>
          <w:color w:val="auto"/>
        </w:rPr>
        <w:t>环境影响评价公众参与说明》内容客观、真实，未包含依法不得公开的国家秘密、商业秘密、个人隐私。如存在弄虚作假、隐瞒欺骗等情况及由此导致的一切后果由</w:t>
      </w:r>
      <w:r>
        <w:rPr>
          <w:rFonts w:hint="default" w:ascii="Times New Roman" w:hAnsi="Times New Roman" w:eastAsia="宋体" w:cs="Times New Roman"/>
          <w:color w:val="auto"/>
        </w:rPr>
        <w:t>锡林郭勒盟隆兴矿业有限责任公司</w:t>
      </w:r>
      <w:r>
        <w:rPr>
          <w:rFonts w:hint="eastAsia" w:ascii="Times New Roman" w:hAnsi="Times New Roman" w:eastAsia="宋体" w:cs="Times New Roman"/>
          <w:color w:val="auto"/>
        </w:rPr>
        <w:t>承担全部责任。</w:t>
      </w:r>
    </w:p>
    <w:p>
      <w:pPr>
        <w:pStyle w:val="27"/>
        <w:ind w:firstLine="480"/>
        <w:rPr>
          <w:rFonts w:hint="eastAsia" w:ascii="Times New Roman" w:hAnsi="Times New Roman" w:eastAsia="宋体" w:cs="Times New Roman"/>
          <w:color w:val="auto"/>
        </w:rPr>
      </w:pPr>
    </w:p>
    <w:p>
      <w:pPr>
        <w:ind w:firstLine="4410" w:firstLineChars="2100"/>
        <w:rPr>
          <w:color w:val="auto"/>
          <w:highlight w:val="none"/>
        </w:rPr>
      </w:pPr>
    </w:p>
    <w:p>
      <w:pPr>
        <w:ind w:firstLine="480"/>
        <w:jc w:val="right"/>
        <w:rPr>
          <w:color w:val="auto"/>
          <w:highlight w:val="none"/>
        </w:rPr>
      </w:pPr>
    </w:p>
    <w:p>
      <w:pPr>
        <w:ind w:firstLine="480"/>
        <w:jc w:val="right"/>
        <w:rPr>
          <w:color w:val="auto"/>
          <w:highlight w:val="none"/>
        </w:rPr>
      </w:pPr>
    </w:p>
    <w:p>
      <w:pPr>
        <w:ind w:firstLine="480"/>
        <w:jc w:val="right"/>
        <w:rPr>
          <w:rFonts w:hint="default" w:ascii="Times New Roman" w:hAnsi="Times New Roman" w:eastAsia="宋体" w:cs="Times New Roman"/>
          <w:color w:val="000000"/>
          <w:sz w:val="24"/>
          <w:szCs w:val="24"/>
          <w:highlight w:val="none"/>
        </w:rPr>
      </w:pPr>
      <w:r>
        <w:rPr>
          <w:color w:val="auto"/>
          <w:sz w:val="24"/>
          <w:szCs w:val="24"/>
          <w:highlight w:val="none"/>
        </w:rPr>
        <w:t>承诺单位：</w:t>
      </w:r>
      <w:r>
        <w:rPr>
          <w:rFonts w:hint="default" w:ascii="Times New Roman" w:hAnsi="Times New Roman" w:eastAsia="宋体" w:cs="Times New Roman"/>
          <w:color w:val="000000"/>
          <w:sz w:val="24"/>
          <w:szCs w:val="24"/>
        </w:rPr>
        <w:t>锡林郭勒盟隆兴矿业有限责任公司</w:t>
      </w:r>
    </w:p>
    <w:p>
      <w:pPr>
        <w:ind w:firstLine="5040" w:firstLineChars="2100"/>
        <w:rPr>
          <w:color w:val="auto"/>
          <w:sz w:val="24"/>
          <w:szCs w:val="24"/>
          <w:highlight w:val="none"/>
        </w:rPr>
      </w:pPr>
      <w:r>
        <w:rPr>
          <w:color w:val="auto"/>
          <w:sz w:val="24"/>
          <w:szCs w:val="24"/>
          <w:highlight w:val="none"/>
        </w:rPr>
        <w:t>承诺时间：202</w:t>
      </w:r>
      <w:r>
        <w:rPr>
          <w:rFonts w:hint="eastAsia"/>
          <w:color w:val="auto"/>
          <w:sz w:val="24"/>
          <w:szCs w:val="24"/>
          <w:highlight w:val="none"/>
          <w:lang w:val="en-US" w:eastAsia="zh-CN"/>
        </w:rPr>
        <w:t>4</w:t>
      </w:r>
      <w:r>
        <w:rPr>
          <w:color w:val="auto"/>
          <w:sz w:val="24"/>
          <w:szCs w:val="24"/>
          <w:highlight w:val="none"/>
        </w:rPr>
        <w:t>年</w:t>
      </w:r>
      <w:r>
        <w:rPr>
          <w:rFonts w:hint="eastAsia"/>
          <w:color w:val="auto"/>
          <w:sz w:val="24"/>
          <w:szCs w:val="24"/>
          <w:highlight w:val="none"/>
          <w:lang w:val="en-US" w:eastAsia="zh-CN"/>
        </w:rPr>
        <w:t>4</w:t>
      </w:r>
      <w:r>
        <w:rPr>
          <w:color w:val="auto"/>
          <w:sz w:val="24"/>
          <w:szCs w:val="24"/>
          <w:highlight w:val="none"/>
        </w:rPr>
        <w:t>月</w:t>
      </w:r>
      <w:r>
        <w:rPr>
          <w:rFonts w:hint="eastAsia"/>
          <w:color w:val="auto"/>
          <w:sz w:val="24"/>
          <w:szCs w:val="24"/>
          <w:highlight w:val="none"/>
          <w:lang w:val="en-US" w:eastAsia="zh-CN"/>
        </w:rPr>
        <w:t>18</w:t>
      </w:r>
      <w:r>
        <w:rPr>
          <w:color w:val="auto"/>
          <w:sz w:val="24"/>
          <w:szCs w:val="24"/>
          <w:highlight w:val="none"/>
        </w:rPr>
        <w:t>日</w:t>
      </w:r>
    </w:p>
    <w:p>
      <w:pPr>
        <w:rPr>
          <w:color w:val="auto"/>
          <w:highlight w:val="none"/>
        </w:rPr>
      </w:pPr>
    </w:p>
    <w:p>
      <w:pPr>
        <w:pStyle w:val="27"/>
        <w:ind w:firstLine="480"/>
        <w:rPr>
          <w:rFonts w:hint="eastAsia"/>
          <w:color w:val="auto"/>
        </w:rPr>
      </w:pPr>
    </w:p>
    <w:p>
      <w:pPr>
        <w:pStyle w:val="27"/>
        <w:ind w:firstLine="480"/>
        <w:rPr>
          <w:rFonts w:ascii="Calibri" w:hAnsi="Calibri" w:eastAsia="宋体" w:cs="黑体"/>
          <w:color w:val="auto"/>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Chicago">
    <w:altName w:val="Yu Gothic UI Semibold"/>
    <w:panose1 w:val="020B0806080604040204"/>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
    <w:altName w:val="RomanS"/>
    <w:panose1 w:val="00000000000000000000"/>
    <w:charset w:val="00"/>
    <w:family w:val="auto"/>
    <w:pitch w:val="default"/>
    <w:sig w:usb0="00000000" w:usb1="00000000" w:usb2="00000000" w:usb3="00000000" w:csb0="00040001" w:csb1="00000000"/>
  </w:font>
  <w:font w:name="方正小标宋_GBK">
    <w:altName w:val="宋体"/>
    <w:panose1 w:val="00000000000000000000"/>
    <w:charset w:val="86"/>
    <w:family w:val="auto"/>
    <w:pitch w:val="default"/>
    <w:sig w:usb0="00000000" w:usb1="00000000" w:usb2="00000010" w:usb3="00000000" w:csb0="00040000" w:csb1="00000000"/>
  </w:font>
  <w:font w:name="仿宋_GB2312">
    <w:altName w:val="仿宋"/>
    <w:panose1 w:val="00000000000000000000"/>
    <w:charset w:val="86"/>
    <w:family w:val="auto"/>
    <w:pitch w:val="default"/>
    <w:sig w:usb0="00000000" w:usb1="00000000"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Yu Gothic UI Semibold">
    <w:panose1 w:val="020B0700000000000000"/>
    <w:charset w:val="80"/>
    <w:family w:val="auto"/>
    <w:pitch w:val="default"/>
    <w:sig w:usb0="E00002FF" w:usb1="2AC7FDFF" w:usb2="00000016" w:usb3="00000000" w:csb0="2002009F" w:csb1="00000000"/>
  </w:font>
  <w:font w:name="RomanS">
    <w:panose1 w:val="02000400000000000000"/>
    <w:charset w:val="00"/>
    <w:family w:val="auto"/>
    <w:pitch w:val="default"/>
    <w:sig w:usb0="00000207" w:usb1="00000000" w:usb2="00000000" w:usb3="00000000" w:csb0="000001FF"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394" w:wrap="around" w:vAnchor="text" w:hAnchor="margin" w:xAlign="center" w:y="1"/>
      <w:rPr>
        <w:rStyle w:val="22"/>
        <w:szCs w:val="21"/>
      </w:rPr>
    </w:pPr>
    <w:r>
      <w:rPr>
        <w:szCs w:val="21"/>
      </w:rPr>
      <w:fldChar w:fldCharType="begin"/>
    </w:r>
    <w:r>
      <w:rPr>
        <w:rStyle w:val="22"/>
        <w:szCs w:val="21"/>
      </w:rPr>
      <w:instrText xml:space="preserve">PAGE  </w:instrText>
    </w:r>
    <w:r>
      <w:rPr>
        <w:szCs w:val="21"/>
      </w:rPr>
      <w:fldChar w:fldCharType="separate"/>
    </w:r>
    <w:r>
      <w:rPr>
        <w:rStyle w:val="22"/>
        <w:szCs w:val="21"/>
      </w:rPr>
      <w:t>6</w:t>
    </w:r>
    <w:r>
      <w:rPr>
        <w:szCs w:val="21"/>
      </w:rPr>
      <w:fldChar w:fldCharType="end"/>
    </w: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2"/>
      </w:rPr>
    </w:pPr>
    <w:r>
      <w:fldChar w:fldCharType="begin"/>
    </w:r>
    <w:r>
      <w:rPr>
        <w:rStyle w:val="22"/>
      </w:rPr>
      <w:instrText xml:space="preserve">PAGE  </w:instrText>
    </w:r>
    <w:r>
      <w:fldChar w:fldCharType="end"/>
    </w:r>
  </w:p>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394" w:wrap="around" w:vAnchor="text" w:hAnchor="margin" w:xAlign="center" w:y="1"/>
      <w:rPr>
        <w:rStyle w:val="22"/>
        <w:szCs w:val="21"/>
      </w:rPr>
    </w:pPr>
    <w:r>
      <w:rPr>
        <w:szCs w:val="21"/>
      </w:rPr>
      <w:fldChar w:fldCharType="begin"/>
    </w:r>
    <w:r>
      <w:rPr>
        <w:rStyle w:val="22"/>
        <w:szCs w:val="21"/>
      </w:rPr>
      <w:instrText xml:space="preserve">PAGE  </w:instrText>
    </w:r>
    <w:r>
      <w:rPr>
        <w:szCs w:val="21"/>
      </w:rPr>
      <w:fldChar w:fldCharType="separate"/>
    </w:r>
    <w:r>
      <w:rPr>
        <w:rStyle w:val="22"/>
        <w:szCs w:val="21"/>
      </w:rPr>
      <w:t>10</w:t>
    </w:r>
    <w:r>
      <w:rPr>
        <w:szCs w:val="21"/>
      </w:rPr>
      <w:fldChar w:fldCharType="end"/>
    </w:r>
  </w:p>
  <w:p>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2"/>
      </w:rPr>
    </w:pPr>
    <w:r>
      <w:fldChar w:fldCharType="begin"/>
    </w:r>
    <w:r>
      <w:rPr>
        <w:rStyle w:val="22"/>
      </w:rPr>
      <w:instrText xml:space="preserve">PAGE  </w:instrText>
    </w:r>
    <w:r>
      <w:fldChar w:fldCharType="end"/>
    </w:r>
  </w:p>
  <w:p>
    <w:pPr>
      <w:pStyle w:val="1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552793E"/>
    <w:multiLevelType w:val="singleLevel"/>
    <w:tmpl w:val="6552793E"/>
    <w:lvl w:ilvl="0" w:tentative="0">
      <w:start w:val="1"/>
      <w:numFmt w:val="decimal"/>
      <w:suff w:val="nothing"/>
      <w:lvlText w:val="%1）"/>
      <w:lvlJc w:val="left"/>
    </w:lvl>
  </w:abstractNum>
  <w:abstractNum w:abstractNumId="1">
    <w:nsid w:val="787F97F7"/>
    <w:multiLevelType w:val="singleLevel"/>
    <w:tmpl w:val="787F97F7"/>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1"/>
  </w:compat>
  <w:docVars>
    <w:docVar w:name="commondata" w:val="eyJoZGlkIjoiMTMwNTE2M2ExNzZlZTkzYmU1MDczYmViMTZiY2MyOTEifQ=="/>
  </w:docVars>
  <w:rsids>
    <w:rsidRoot w:val="00D747DB"/>
    <w:rsid w:val="00017CC9"/>
    <w:rsid w:val="00072400"/>
    <w:rsid w:val="000E696F"/>
    <w:rsid w:val="000F073A"/>
    <w:rsid w:val="00155D34"/>
    <w:rsid w:val="001A602A"/>
    <w:rsid w:val="001C10C5"/>
    <w:rsid w:val="00232CD7"/>
    <w:rsid w:val="00245E5E"/>
    <w:rsid w:val="00271500"/>
    <w:rsid w:val="002A0D0B"/>
    <w:rsid w:val="002A37F9"/>
    <w:rsid w:val="002A71AA"/>
    <w:rsid w:val="002C1A49"/>
    <w:rsid w:val="00300903"/>
    <w:rsid w:val="00311EA3"/>
    <w:rsid w:val="003176A1"/>
    <w:rsid w:val="00325CAB"/>
    <w:rsid w:val="00362861"/>
    <w:rsid w:val="00371CDB"/>
    <w:rsid w:val="00394EAB"/>
    <w:rsid w:val="003F5B58"/>
    <w:rsid w:val="004116E3"/>
    <w:rsid w:val="00425F2C"/>
    <w:rsid w:val="0044245B"/>
    <w:rsid w:val="00444042"/>
    <w:rsid w:val="00492A42"/>
    <w:rsid w:val="004B64C0"/>
    <w:rsid w:val="004D64FB"/>
    <w:rsid w:val="0059348F"/>
    <w:rsid w:val="00597276"/>
    <w:rsid w:val="005B1DCA"/>
    <w:rsid w:val="005E0E6E"/>
    <w:rsid w:val="005E2F77"/>
    <w:rsid w:val="006110C1"/>
    <w:rsid w:val="00614983"/>
    <w:rsid w:val="00677698"/>
    <w:rsid w:val="007115F0"/>
    <w:rsid w:val="00727163"/>
    <w:rsid w:val="00780202"/>
    <w:rsid w:val="00861C93"/>
    <w:rsid w:val="00902901"/>
    <w:rsid w:val="00906599"/>
    <w:rsid w:val="009116B0"/>
    <w:rsid w:val="00933A8B"/>
    <w:rsid w:val="009C73E3"/>
    <w:rsid w:val="00A12142"/>
    <w:rsid w:val="00A30237"/>
    <w:rsid w:val="00A3522A"/>
    <w:rsid w:val="00B24715"/>
    <w:rsid w:val="00B35110"/>
    <w:rsid w:val="00C31269"/>
    <w:rsid w:val="00CA58DD"/>
    <w:rsid w:val="00CC4D79"/>
    <w:rsid w:val="00CE0BD7"/>
    <w:rsid w:val="00D123DF"/>
    <w:rsid w:val="00D20864"/>
    <w:rsid w:val="00D2593E"/>
    <w:rsid w:val="00D747DB"/>
    <w:rsid w:val="00D81657"/>
    <w:rsid w:val="00D83B59"/>
    <w:rsid w:val="00DA09A9"/>
    <w:rsid w:val="00DA5A99"/>
    <w:rsid w:val="00E44DD0"/>
    <w:rsid w:val="00E55CB2"/>
    <w:rsid w:val="00E7318E"/>
    <w:rsid w:val="00E75F8E"/>
    <w:rsid w:val="00EA4A58"/>
    <w:rsid w:val="00EC3F45"/>
    <w:rsid w:val="00F17EB4"/>
    <w:rsid w:val="00F35547"/>
    <w:rsid w:val="00F5646D"/>
    <w:rsid w:val="00FB72DF"/>
    <w:rsid w:val="00FD326F"/>
    <w:rsid w:val="00FF51A3"/>
    <w:rsid w:val="0336017C"/>
    <w:rsid w:val="06257784"/>
    <w:rsid w:val="06C74800"/>
    <w:rsid w:val="1ED01BBA"/>
    <w:rsid w:val="1F636EEF"/>
    <w:rsid w:val="21CD6D86"/>
    <w:rsid w:val="238F426C"/>
    <w:rsid w:val="24634353"/>
    <w:rsid w:val="24BD03DE"/>
    <w:rsid w:val="27311196"/>
    <w:rsid w:val="28996270"/>
    <w:rsid w:val="28A71024"/>
    <w:rsid w:val="28FA2214"/>
    <w:rsid w:val="2A6A713B"/>
    <w:rsid w:val="2AED604C"/>
    <w:rsid w:val="2CDA1A3C"/>
    <w:rsid w:val="2F2538F6"/>
    <w:rsid w:val="31C435E9"/>
    <w:rsid w:val="33B70979"/>
    <w:rsid w:val="361B6495"/>
    <w:rsid w:val="3B9504FF"/>
    <w:rsid w:val="3D9A4593"/>
    <w:rsid w:val="40752AB9"/>
    <w:rsid w:val="418134E7"/>
    <w:rsid w:val="46FF1994"/>
    <w:rsid w:val="49026E7A"/>
    <w:rsid w:val="49C5485F"/>
    <w:rsid w:val="4B0E1D0F"/>
    <w:rsid w:val="4B824B9B"/>
    <w:rsid w:val="4C912052"/>
    <w:rsid w:val="4D714557"/>
    <w:rsid w:val="517B53FC"/>
    <w:rsid w:val="545351FA"/>
    <w:rsid w:val="57AF7567"/>
    <w:rsid w:val="5DA33037"/>
    <w:rsid w:val="62440BC6"/>
    <w:rsid w:val="62D63D92"/>
    <w:rsid w:val="633453B0"/>
    <w:rsid w:val="6C1D7607"/>
    <w:rsid w:val="73342AB8"/>
    <w:rsid w:val="757B16BE"/>
    <w:rsid w:val="76A9637E"/>
    <w:rsid w:val="7AC96F7A"/>
    <w:rsid w:val="7C1D1BC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paragraph" w:styleId="8">
    <w:name w:val="heading 2"/>
    <w:basedOn w:val="1"/>
    <w:next w:val="1"/>
    <w:autoRedefine/>
    <w:semiHidden/>
    <w:unhideWhenUsed/>
    <w:qFormat/>
    <w:uiPriority w:val="9"/>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21">
    <w:name w:val="Default Paragraph Font"/>
    <w:autoRedefine/>
    <w:unhideWhenUsed/>
    <w:qFormat/>
    <w:uiPriority w:val="1"/>
  </w:style>
  <w:style w:type="table" w:default="1" w:styleId="19">
    <w:name w:val="Normal Table"/>
    <w:unhideWhenUsed/>
    <w:qFormat/>
    <w:uiPriority w:val="99"/>
    <w:tblPr>
      <w:tblCellMar>
        <w:top w:w="0" w:type="dxa"/>
        <w:left w:w="108" w:type="dxa"/>
        <w:bottom w:w="0" w:type="dxa"/>
        <w:right w:w="108" w:type="dxa"/>
      </w:tblCellMar>
    </w:tblPr>
  </w:style>
  <w:style w:type="paragraph" w:styleId="2">
    <w:name w:val="Body Text First Indent 2"/>
    <w:basedOn w:val="3"/>
    <w:next w:val="4"/>
    <w:qFormat/>
    <w:uiPriority w:val="0"/>
    <w:pPr>
      <w:adjustRightInd w:val="0"/>
      <w:spacing w:line="360" w:lineRule="atLeast"/>
      <w:ind w:leftChars="0" w:firstLine="210"/>
      <w:jc w:val="left"/>
      <w:textAlignment w:val="baseline"/>
    </w:pPr>
    <w:rPr>
      <w:rFonts w:ascii="Calibri" w:hAnsi="Calibri"/>
      <w:kern w:val="0"/>
      <w:sz w:val="24"/>
      <w:szCs w:val="20"/>
    </w:rPr>
  </w:style>
  <w:style w:type="paragraph" w:styleId="3">
    <w:name w:val="Body Text Indent"/>
    <w:basedOn w:val="1"/>
    <w:next w:val="1"/>
    <w:qFormat/>
    <w:uiPriority w:val="0"/>
    <w:pPr>
      <w:spacing w:after="120"/>
      <w:ind w:left="420" w:leftChars="200"/>
    </w:pPr>
  </w:style>
  <w:style w:type="paragraph" w:styleId="4">
    <w:name w:val="Body Text First Indent"/>
    <w:basedOn w:val="5"/>
    <w:next w:val="1"/>
    <w:unhideWhenUsed/>
    <w:qFormat/>
    <w:uiPriority w:val="99"/>
    <w:pPr>
      <w:ind w:firstLine="420" w:firstLineChars="100"/>
    </w:pPr>
  </w:style>
  <w:style w:type="paragraph" w:styleId="5">
    <w:name w:val="Body Text"/>
    <w:basedOn w:val="1"/>
    <w:next w:val="6"/>
    <w:semiHidden/>
    <w:qFormat/>
    <w:uiPriority w:val="0"/>
    <w:pPr>
      <w:spacing w:after="120"/>
    </w:pPr>
  </w:style>
  <w:style w:type="paragraph" w:styleId="6">
    <w:name w:val="Date"/>
    <w:basedOn w:val="1"/>
    <w:next w:val="1"/>
    <w:unhideWhenUsed/>
    <w:qFormat/>
    <w:uiPriority w:val="99"/>
    <w:pPr>
      <w:ind w:left="100" w:leftChars="2500"/>
    </w:pPr>
    <w:rPr>
      <w:rFonts w:ascii="Calibri" w:hAnsi="Calibri" w:eastAsia="宋体" w:cs="Times New Roman"/>
      <w:szCs w:val="22"/>
    </w:rPr>
  </w:style>
  <w:style w:type="paragraph" w:styleId="9">
    <w:name w:val="annotation text"/>
    <w:basedOn w:val="1"/>
    <w:link w:val="45"/>
    <w:unhideWhenUsed/>
    <w:qFormat/>
    <w:uiPriority w:val="99"/>
    <w:pPr>
      <w:jc w:val="left"/>
    </w:pPr>
  </w:style>
  <w:style w:type="paragraph" w:styleId="10">
    <w:name w:val="toc 3"/>
    <w:basedOn w:val="1"/>
    <w:next w:val="1"/>
    <w:unhideWhenUsed/>
    <w:qFormat/>
    <w:uiPriority w:val="39"/>
    <w:pPr>
      <w:ind w:left="840" w:leftChars="400"/>
    </w:pPr>
  </w:style>
  <w:style w:type="paragraph" w:styleId="11">
    <w:name w:val="Balloon Text"/>
    <w:basedOn w:val="1"/>
    <w:link w:val="44"/>
    <w:autoRedefine/>
    <w:unhideWhenUsed/>
    <w:qFormat/>
    <w:uiPriority w:val="99"/>
    <w:rPr>
      <w:sz w:val="18"/>
      <w:szCs w:val="18"/>
    </w:rPr>
  </w:style>
  <w:style w:type="paragraph" w:styleId="12">
    <w:name w:val="footer"/>
    <w:basedOn w:val="1"/>
    <w:link w:val="34"/>
    <w:autoRedefine/>
    <w:qFormat/>
    <w:uiPriority w:val="99"/>
    <w:pPr>
      <w:tabs>
        <w:tab w:val="center" w:pos="4153"/>
        <w:tab w:val="right" w:pos="8306"/>
      </w:tabs>
      <w:snapToGrid w:val="0"/>
      <w:jc w:val="left"/>
    </w:pPr>
    <w:rPr>
      <w:sz w:val="18"/>
      <w:szCs w:val="18"/>
    </w:rPr>
  </w:style>
  <w:style w:type="paragraph" w:styleId="13">
    <w:name w:val="header"/>
    <w:basedOn w:val="1"/>
    <w:link w:val="4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unhideWhenUsed/>
    <w:qFormat/>
    <w:uiPriority w:val="39"/>
  </w:style>
  <w:style w:type="paragraph" w:styleId="15">
    <w:name w:val="toc 2"/>
    <w:basedOn w:val="1"/>
    <w:next w:val="1"/>
    <w:unhideWhenUsed/>
    <w:qFormat/>
    <w:uiPriority w:val="39"/>
    <w:pPr>
      <w:ind w:left="420" w:leftChars="200"/>
    </w:pPr>
  </w:style>
  <w:style w:type="paragraph" w:styleId="16">
    <w:name w:val="Normal (Web)"/>
    <w:basedOn w:val="1"/>
    <w:link w:val="38"/>
    <w:autoRedefine/>
    <w:qFormat/>
    <w:uiPriority w:val="0"/>
    <w:pPr>
      <w:widowControl/>
      <w:spacing w:before="100" w:beforeAutospacing="1" w:after="100" w:afterAutospacing="1"/>
      <w:jc w:val="left"/>
    </w:pPr>
    <w:rPr>
      <w:rFonts w:ascii="宋体" w:hAnsi="宋体"/>
      <w:kern w:val="0"/>
      <w:sz w:val="24"/>
      <w:szCs w:val="20"/>
      <w:lang w:val="zh-CN"/>
    </w:rPr>
  </w:style>
  <w:style w:type="paragraph" w:styleId="17">
    <w:name w:val="Title"/>
    <w:basedOn w:val="1"/>
    <w:next w:val="1"/>
    <w:link w:val="40"/>
    <w:autoRedefine/>
    <w:qFormat/>
    <w:uiPriority w:val="10"/>
    <w:pPr>
      <w:spacing w:before="240" w:after="60"/>
      <w:jc w:val="center"/>
      <w:outlineLvl w:val="0"/>
    </w:pPr>
    <w:rPr>
      <w:rFonts w:ascii="Cambria" w:hAnsi="Cambria" w:cs="黑体"/>
      <w:b/>
      <w:bCs/>
      <w:sz w:val="32"/>
      <w:szCs w:val="32"/>
    </w:rPr>
  </w:style>
  <w:style w:type="paragraph" w:styleId="18">
    <w:name w:val="annotation subject"/>
    <w:basedOn w:val="9"/>
    <w:next w:val="9"/>
    <w:link w:val="46"/>
    <w:unhideWhenUsed/>
    <w:qFormat/>
    <w:uiPriority w:val="99"/>
    <w:rPr>
      <w:b/>
      <w:bCs/>
    </w:rPr>
  </w:style>
  <w:style w:type="table" w:styleId="20">
    <w:name w:val="Table Grid"/>
    <w:basedOn w:val="19"/>
    <w:autoRedefine/>
    <w:unhideWhenUsed/>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qFormat/>
    <w:uiPriority w:val="0"/>
  </w:style>
  <w:style w:type="character" w:styleId="23">
    <w:name w:val="FollowedHyperlink"/>
    <w:qFormat/>
    <w:uiPriority w:val="0"/>
    <w:rPr>
      <w:color w:val="800080"/>
      <w:u w:val="single"/>
    </w:rPr>
  </w:style>
  <w:style w:type="character" w:styleId="24">
    <w:name w:val="Hyperlink"/>
    <w:basedOn w:val="21"/>
    <w:autoRedefine/>
    <w:qFormat/>
    <w:uiPriority w:val="99"/>
    <w:rPr>
      <w:color w:val="0000FF"/>
      <w:u w:val="single"/>
    </w:rPr>
  </w:style>
  <w:style w:type="character" w:styleId="25">
    <w:name w:val="annotation reference"/>
    <w:basedOn w:val="21"/>
    <w:unhideWhenUsed/>
    <w:qFormat/>
    <w:uiPriority w:val="99"/>
    <w:rPr>
      <w:sz w:val="21"/>
      <w:szCs w:val="21"/>
    </w:rPr>
  </w:style>
  <w:style w:type="paragraph" w:customStyle="1" w:styleId="26">
    <w:name w:val="⑤-图表标题"/>
    <w:basedOn w:val="1"/>
    <w:link w:val="35"/>
    <w:autoRedefine/>
    <w:qFormat/>
    <w:uiPriority w:val="0"/>
    <w:pPr>
      <w:widowControl/>
      <w:tabs>
        <w:tab w:val="left" w:pos="903"/>
      </w:tabs>
      <w:spacing w:line="360" w:lineRule="auto"/>
      <w:jc w:val="center"/>
      <w:outlineLvl w:val="1"/>
    </w:pPr>
    <w:rPr>
      <w:rFonts w:eastAsia="宋体" w:cs="Chicago"/>
      <w:b/>
      <w:sz w:val="24"/>
      <w:szCs w:val="21"/>
      <w:lang w:val="zh-CN"/>
    </w:rPr>
  </w:style>
  <w:style w:type="paragraph" w:customStyle="1" w:styleId="27">
    <w:name w:val="0-正文"/>
    <w:link w:val="36"/>
    <w:autoRedefine/>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28">
    <w:name w:val="⑥-表文"/>
    <w:basedOn w:val="1"/>
    <w:link w:val="37"/>
    <w:autoRedefine/>
    <w:qFormat/>
    <w:uiPriority w:val="0"/>
    <w:pPr>
      <w:jc w:val="center"/>
    </w:pPr>
    <w:rPr>
      <w:szCs w:val="20"/>
      <w:lang w:val="zh-CN"/>
    </w:rPr>
  </w:style>
  <w:style w:type="paragraph" w:customStyle="1" w:styleId="29">
    <w:name w:val="②级"/>
    <w:basedOn w:val="17"/>
    <w:link w:val="39"/>
    <w:autoRedefine/>
    <w:qFormat/>
    <w:uiPriority w:val="0"/>
    <w:pPr>
      <w:spacing w:before="60" w:line="415" w:lineRule="auto"/>
      <w:jc w:val="left"/>
      <w:outlineLvl w:val="1"/>
    </w:pPr>
    <w:rPr>
      <w:rFonts w:ascii="Times New Roman" w:hAnsi="Times New Roman" w:cs="Times New Roman"/>
      <w:lang w:val="zh-CN"/>
    </w:rPr>
  </w:style>
  <w:style w:type="paragraph" w:customStyle="1" w:styleId="30">
    <w:name w:val="①级"/>
    <w:basedOn w:val="29"/>
    <w:link w:val="41"/>
    <w:autoRedefine/>
    <w:qFormat/>
    <w:uiPriority w:val="0"/>
    <w:pPr>
      <w:spacing w:line="576" w:lineRule="auto"/>
      <w:outlineLvl w:val="0"/>
    </w:pPr>
    <w:rPr>
      <w:sz w:val="36"/>
    </w:rPr>
  </w:style>
  <w:style w:type="paragraph" w:customStyle="1" w:styleId="31">
    <w:name w:val="③级"/>
    <w:basedOn w:val="30"/>
    <w:link w:val="42"/>
    <w:autoRedefine/>
    <w:qFormat/>
    <w:uiPriority w:val="0"/>
    <w:pPr>
      <w:spacing w:line="415" w:lineRule="auto"/>
      <w:outlineLvl w:val="2"/>
    </w:pPr>
    <w:rPr>
      <w:sz w:val="30"/>
    </w:rPr>
  </w:style>
  <w:style w:type="paragraph" w:customStyle="1" w:styleId="32">
    <w:name w:val="④级"/>
    <w:basedOn w:val="1"/>
    <w:link w:val="43"/>
    <w:autoRedefine/>
    <w:qFormat/>
    <w:uiPriority w:val="0"/>
    <w:pPr>
      <w:keepNext/>
      <w:keepLines/>
      <w:spacing w:before="60" w:after="60" w:line="415" w:lineRule="auto"/>
      <w:jc w:val="left"/>
      <w:outlineLvl w:val="3"/>
    </w:pPr>
    <w:rPr>
      <w:b/>
      <w:sz w:val="28"/>
    </w:rPr>
  </w:style>
  <w:style w:type="paragraph" w:customStyle="1" w:styleId="33">
    <w:name w:val="Revision"/>
    <w:autoRedefine/>
    <w:hidden/>
    <w:semiHidden/>
    <w:qFormat/>
    <w:uiPriority w:val="99"/>
    <w:rPr>
      <w:rFonts w:ascii="Times New Roman" w:hAnsi="Times New Roman" w:eastAsia="宋体" w:cs="Times New Roman"/>
      <w:kern w:val="2"/>
      <w:sz w:val="21"/>
      <w:szCs w:val="24"/>
      <w:lang w:val="en-US" w:eastAsia="zh-CN" w:bidi="ar-SA"/>
    </w:rPr>
  </w:style>
  <w:style w:type="character" w:customStyle="1" w:styleId="34">
    <w:name w:val="页脚 字符"/>
    <w:basedOn w:val="21"/>
    <w:link w:val="12"/>
    <w:autoRedefine/>
    <w:qFormat/>
    <w:uiPriority w:val="99"/>
    <w:rPr>
      <w:rFonts w:ascii="Times New Roman" w:hAnsi="Times New Roman" w:eastAsia="宋体" w:cs="Times New Roman"/>
      <w:sz w:val="18"/>
      <w:szCs w:val="18"/>
    </w:rPr>
  </w:style>
  <w:style w:type="character" w:customStyle="1" w:styleId="35">
    <w:name w:val="⑤-图表标题 Char"/>
    <w:link w:val="26"/>
    <w:autoRedefine/>
    <w:qFormat/>
    <w:uiPriority w:val="0"/>
    <w:rPr>
      <w:rFonts w:ascii="Times New Roman" w:hAnsi="Times New Roman" w:eastAsia="宋体" w:cs="Chicago"/>
      <w:b/>
      <w:sz w:val="24"/>
      <w:szCs w:val="21"/>
      <w:lang w:val="zh-CN"/>
    </w:rPr>
  </w:style>
  <w:style w:type="character" w:customStyle="1" w:styleId="36">
    <w:name w:val="0-正文 Char"/>
    <w:link w:val="27"/>
    <w:autoRedefine/>
    <w:qFormat/>
    <w:uiPriority w:val="0"/>
    <w:rPr>
      <w:rFonts w:ascii="Times New Roman" w:hAnsi="Times New Roman" w:eastAsia="宋体" w:cs="Times New Roman"/>
      <w:sz w:val="24"/>
    </w:rPr>
  </w:style>
  <w:style w:type="character" w:customStyle="1" w:styleId="37">
    <w:name w:val="⑥-表文 Char"/>
    <w:link w:val="28"/>
    <w:autoRedefine/>
    <w:qFormat/>
    <w:uiPriority w:val="0"/>
    <w:rPr>
      <w:rFonts w:ascii="Times New Roman" w:hAnsi="Times New Roman" w:eastAsia="宋体" w:cs="Times New Roman"/>
      <w:szCs w:val="20"/>
      <w:lang w:val="zh-CN"/>
    </w:rPr>
  </w:style>
  <w:style w:type="character" w:customStyle="1" w:styleId="38">
    <w:name w:val="普通(网站) 字符"/>
    <w:link w:val="16"/>
    <w:autoRedefine/>
    <w:qFormat/>
    <w:uiPriority w:val="0"/>
    <w:rPr>
      <w:rFonts w:ascii="宋体" w:hAnsi="宋体" w:eastAsia="宋体" w:cs="Times New Roman"/>
      <w:kern w:val="0"/>
      <w:sz w:val="24"/>
      <w:szCs w:val="20"/>
      <w:lang w:val="zh-CN"/>
    </w:rPr>
  </w:style>
  <w:style w:type="character" w:customStyle="1" w:styleId="39">
    <w:name w:val="②级 Char"/>
    <w:basedOn w:val="40"/>
    <w:link w:val="29"/>
    <w:autoRedefine/>
    <w:qFormat/>
    <w:uiPriority w:val="0"/>
    <w:rPr>
      <w:rFonts w:ascii="Times New Roman" w:hAnsi="Times New Roman" w:eastAsia="宋体" w:cs="Times New Roman"/>
      <w:sz w:val="32"/>
      <w:szCs w:val="32"/>
      <w:lang w:val="zh-CN"/>
    </w:rPr>
  </w:style>
  <w:style w:type="character" w:customStyle="1" w:styleId="40">
    <w:name w:val="标题 字符"/>
    <w:basedOn w:val="21"/>
    <w:link w:val="17"/>
    <w:autoRedefine/>
    <w:qFormat/>
    <w:uiPriority w:val="10"/>
    <w:rPr>
      <w:rFonts w:ascii="Cambria" w:hAnsi="Cambria" w:eastAsia="宋体" w:cs="黑体"/>
      <w:b/>
      <w:bCs/>
      <w:sz w:val="32"/>
      <w:szCs w:val="32"/>
    </w:rPr>
  </w:style>
  <w:style w:type="character" w:customStyle="1" w:styleId="41">
    <w:name w:val="①级 Char"/>
    <w:basedOn w:val="39"/>
    <w:link w:val="30"/>
    <w:autoRedefine/>
    <w:qFormat/>
    <w:uiPriority w:val="0"/>
    <w:rPr>
      <w:rFonts w:ascii="Times New Roman" w:hAnsi="Times New Roman" w:eastAsia="宋体" w:cs="Times New Roman"/>
      <w:sz w:val="36"/>
      <w:szCs w:val="32"/>
      <w:lang w:val="zh-CN"/>
    </w:rPr>
  </w:style>
  <w:style w:type="character" w:customStyle="1" w:styleId="42">
    <w:name w:val="③级 Char"/>
    <w:basedOn w:val="41"/>
    <w:link w:val="31"/>
    <w:autoRedefine/>
    <w:qFormat/>
    <w:uiPriority w:val="0"/>
    <w:rPr>
      <w:rFonts w:ascii="Times New Roman" w:hAnsi="Times New Roman" w:eastAsia="宋体" w:cs="Times New Roman"/>
      <w:sz w:val="30"/>
      <w:szCs w:val="32"/>
      <w:lang w:val="zh-CN"/>
    </w:rPr>
  </w:style>
  <w:style w:type="character" w:customStyle="1" w:styleId="43">
    <w:name w:val="④级 Char"/>
    <w:basedOn w:val="21"/>
    <w:link w:val="32"/>
    <w:autoRedefine/>
    <w:qFormat/>
    <w:uiPriority w:val="0"/>
    <w:rPr>
      <w:rFonts w:ascii="Times New Roman" w:hAnsi="Times New Roman" w:eastAsia="宋体" w:cs="Times New Roman"/>
      <w:b/>
      <w:sz w:val="28"/>
      <w:szCs w:val="24"/>
    </w:rPr>
  </w:style>
  <w:style w:type="character" w:customStyle="1" w:styleId="44">
    <w:name w:val="批注框文本 字符"/>
    <w:basedOn w:val="21"/>
    <w:link w:val="11"/>
    <w:autoRedefine/>
    <w:semiHidden/>
    <w:qFormat/>
    <w:uiPriority w:val="99"/>
    <w:rPr>
      <w:rFonts w:ascii="Times New Roman" w:hAnsi="Times New Roman" w:eastAsia="宋体" w:cs="Times New Roman"/>
      <w:sz w:val="18"/>
      <w:szCs w:val="18"/>
    </w:rPr>
  </w:style>
  <w:style w:type="character" w:customStyle="1" w:styleId="45">
    <w:name w:val="批注文字 字符"/>
    <w:basedOn w:val="21"/>
    <w:link w:val="9"/>
    <w:autoRedefine/>
    <w:semiHidden/>
    <w:qFormat/>
    <w:uiPriority w:val="99"/>
    <w:rPr>
      <w:rFonts w:ascii="Times New Roman" w:hAnsi="Times New Roman" w:eastAsia="宋体" w:cs="Times New Roman"/>
      <w:szCs w:val="24"/>
    </w:rPr>
  </w:style>
  <w:style w:type="character" w:customStyle="1" w:styleId="46">
    <w:name w:val="批注主题 字符"/>
    <w:basedOn w:val="45"/>
    <w:link w:val="18"/>
    <w:autoRedefine/>
    <w:semiHidden/>
    <w:qFormat/>
    <w:uiPriority w:val="99"/>
    <w:rPr>
      <w:rFonts w:ascii="Times New Roman" w:hAnsi="Times New Roman" w:eastAsia="宋体" w:cs="Times New Roman"/>
      <w:b/>
      <w:bCs/>
      <w:szCs w:val="24"/>
    </w:rPr>
  </w:style>
  <w:style w:type="character" w:customStyle="1" w:styleId="47">
    <w:name w:val="页眉 字符"/>
    <w:basedOn w:val="21"/>
    <w:link w:val="13"/>
    <w:autoRedefine/>
    <w:qFormat/>
    <w:uiPriority w:val="99"/>
    <w:rPr>
      <w:rFonts w:ascii="Times New Roman" w:hAnsi="Times New Roman" w:eastAsia="宋体" w:cs="Times New Roman"/>
      <w:sz w:val="18"/>
      <w:szCs w:val="18"/>
    </w:rPr>
  </w:style>
  <w:style w:type="paragraph" w:customStyle="1" w:styleId="48">
    <w:name w:val="本文表格"/>
    <w:basedOn w:val="1"/>
    <w:autoRedefine/>
    <w:qFormat/>
    <w:uiPriority w:val="0"/>
    <w:pPr>
      <w:adjustRightInd w:val="0"/>
      <w:snapToGrid w:val="0"/>
      <w:spacing w:line="240" w:lineRule="auto"/>
      <w:ind w:firstLine="0" w:firstLineChars="0"/>
      <w:jc w:val="center"/>
    </w:pPr>
    <w:rPr>
      <w:rFonts w:cs="Arial"/>
      <w:sz w:val="21"/>
    </w:rPr>
  </w:style>
  <w:style w:type="paragraph" w:customStyle="1" w:styleId="49">
    <w:name w:val="本文正文"/>
    <w:basedOn w:val="1"/>
    <w:autoRedefine/>
    <w:qFormat/>
    <w:uiPriority w:val="0"/>
    <w:pPr>
      <w:adjustRightInd w:val="0"/>
      <w:snapToGrid w:val="0"/>
    </w:pPr>
    <w:rPr>
      <w:rFonts w:eastAsia="宋体" w:cs="Times New Roman"/>
      <w:kern w:val="0"/>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Pages>
  <Words>3385</Words>
  <Characters>3956</Characters>
  <Lines>34</Lines>
  <Paragraphs>9</Paragraphs>
  <TotalTime>3</TotalTime>
  <ScaleCrop>false</ScaleCrop>
  <LinksUpToDate>false</LinksUpToDate>
  <CharactersWithSpaces>4128</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2019-10-21T03:00:00Z</dcterms:created>
  <dc:creator>瓶子赵</dc:creator>
  <cp:lastModifiedBy>ZY</cp:lastModifiedBy>
  <cp:lastPrinted>2022-09-13T10:54:00Z</cp:lastPrinted>
  <dcterms:modified xsi:type="dcterms:W3CDTF">2024-04-18T00:46:04Z</dcterms:modified>
  <dc:title>东胜气田什股壕气区锦66井区2020年滚动开发项目</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DE99C4CBB15E458E8F1769AE04157DF2</vt:lpwstr>
  </property>
</Properties>
</file>