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53A65036">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hint="eastAsia" w:ascii="仿宋_GB2312" w:hAnsi="仿宋_GB2312" w:eastAsia="仿宋_GB2312" w:cs="仿宋_GB2312"/>
          <w:snapToGrid/>
          <w:color w:val="auto"/>
          <w:kern w:val="2"/>
          <w:sz w:val="32"/>
          <w:szCs w:val="32"/>
          <w:highlight w:val="none"/>
          <w:lang w:bidi="en-US"/>
        </w:rPr>
      </w:pPr>
      <w:r>
        <w:rPr>
          <w:rFonts w:hint="eastAsia" w:ascii="仿宋_GB2312" w:hAnsi="仿宋_GB2312" w:eastAsia="仿宋_GB2312" w:cs="仿宋_GB2312"/>
          <w:snapToGrid/>
          <w:color w:val="auto"/>
          <w:kern w:val="2"/>
          <w:sz w:val="32"/>
          <w:szCs w:val="32"/>
          <w:highlight w:val="none"/>
          <w:lang w:bidi="en-US"/>
        </w:rPr>
        <w:t>锡署环审书〔2024〕</w:t>
      </w:r>
      <w:r>
        <w:rPr>
          <w:rFonts w:hint="eastAsia" w:ascii="仿宋_GB2312" w:hAnsi="仿宋_GB2312" w:eastAsia="仿宋_GB2312" w:cs="仿宋_GB2312"/>
          <w:snapToGrid/>
          <w:color w:val="auto"/>
          <w:kern w:val="2"/>
          <w:sz w:val="32"/>
          <w:szCs w:val="32"/>
          <w:highlight w:val="none"/>
          <w:lang w:val="en-US" w:eastAsia="zh-CN" w:bidi="en-US"/>
        </w:rPr>
        <w:t>43</w:t>
      </w:r>
      <w:r>
        <w:rPr>
          <w:rFonts w:hint="eastAsia" w:ascii="仿宋_GB2312" w:hAnsi="仿宋_GB2312" w:eastAsia="仿宋_GB2312" w:cs="仿宋_GB2312"/>
          <w:snapToGrid/>
          <w:color w:val="auto"/>
          <w:kern w:val="2"/>
          <w:sz w:val="32"/>
          <w:szCs w:val="32"/>
          <w:highlight w:val="none"/>
          <w:lang w:bidi="en-US"/>
        </w:rPr>
        <w:t>号</w:t>
      </w:r>
    </w:p>
    <w:p w14:paraId="6E8E893B">
      <w:pPr>
        <w:keepNext w:val="0"/>
        <w:keepLines w:val="0"/>
        <w:pageBreakBefore w:val="0"/>
        <w:widowControl w:val="0"/>
        <w:kinsoku/>
        <w:overflowPunct/>
        <w:topLinePunct w:val="0"/>
        <w:bidi w:val="0"/>
        <w:snapToGrid w:val="0"/>
        <w:spacing w:line="600" w:lineRule="exact"/>
        <w:ind w:firstLine="0" w:firstLineChars="0"/>
        <w:jc w:val="both"/>
        <w:textAlignment w:val="auto"/>
        <w:rPr>
          <w:rFonts w:ascii="Times New Roman" w:hAnsi="Times New Roman" w:eastAsia="仿宋_GB2312" w:cs="Times New Roman"/>
          <w:snapToGrid/>
          <w:color w:val="auto"/>
          <w:kern w:val="2"/>
          <w:sz w:val="32"/>
          <w:szCs w:val="32"/>
          <w:highlight w:val="none"/>
          <w:lang w:eastAsia="zh-CN" w:bidi="en-US"/>
        </w:rPr>
      </w:pPr>
    </w:p>
    <w:p w14:paraId="70F7F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highlight w:val="none"/>
        </w:rPr>
        <w:t>锡林郭勒盟生态环境</w:t>
      </w:r>
      <w:r>
        <w:rPr>
          <w:rFonts w:hint="eastAsia" w:ascii="方正小标宋简体" w:hAnsi="方正小标宋简体" w:eastAsia="方正小标宋简体" w:cs="方正小标宋简体"/>
          <w:snapToGrid/>
          <w:color w:val="auto"/>
          <w:kern w:val="2"/>
          <w:sz w:val="44"/>
          <w:szCs w:val="44"/>
        </w:rPr>
        <w:t>局</w:t>
      </w:r>
    </w:p>
    <w:p w14:paraId="295DFD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napToGrid/>
          <w:color w:val="auto"/>
          <w:kern w:val="2"/>
          <w:sz w:val="32"/>
          <w:szCs w:val="32"/>
        </w:rPr>
      </w:pPr>
      <w:bookmarkStart w:id="0" w:name="_Toc21378"/>
      <w:bookmarkStart w:id="1" w:name="_Toc4331"/>
      <w:r>
        <w:rPr>
          <w:rFonts w:hint="eastAsia" w:ascii="方正小标宋简体" w:hAnsi="方正小标宋简体" w:eastAsia="方正小标宋简体" w:cs="方正小标宋简体"/>
          <w:snapToGrid/>
          <w:color w:val="auto"/>
          <w:kern w:val="2"/>
          <w:sz w:val="44"/>
          <w:szCs w:val="44"/>
          <w:lang w:eastAsia="zh-CN"/>
        </w:rPr>
        <w:t>关于</w:t>
      </w:r>
      <w:bookmarkEnd w:id="0"/>
      <w:bookmarkEnd w:id="1"/>
      <w:r>
        <w:rPr>
          <w:rFonts w:hint="eastAsia" w:ascii="方正小标宋简体" w:hAnsi="方正小标宋简体" w:eastAsia="方正小标宋简体" w:cs="方正小标宋简体"/>
          <w:snapToGrid/>
          <w:color w:val="auto"/>
          <w:kern w:val="2"/>
          <w:sz w:val="44"/>
          <w:szCs w:val="44"/>
          <w:lang w:eastAsia="zh-CN"/>
        </w:rPr>
        <w:t>锡林郭勒京能智汇防沙治沙和风电光伏一体化工程2024年度正镶白旗15万千瓦风电项目</w:t>
      </w:r>
      <w:r>
        <w:rPr>
          <w:rFonts w:hint="eastAsia" w:ascii="方正小标宋简体" w:hAnsi="方正小标宋简体" w:eastAsia="方正小标宋简体" w:cs="方正小标宋简体"/>
          <w:snapToGrid/>
          <w:color w:val="auto"/>
          <w:kern w:val="2"/>
          <w:sz w:val="44"/>
          <w:szCs w:val="44"/>
        </w:rPr>
        <w:t>环境影响报告书的批复</w:t>
      </w:r>
    </w:p>
    <w:p w14:paraId="5C4C3FB6">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snapToGrid/>
          <w:color w:val="auto"/>
          <w:kern w:val="2"/>
          <w:sz w:val="32"/>
          <w:szCs w:val="32"/>
        </w:rPr>
      </w:pPr>
    </w:p>
    <w:p w14:paraId="5B4D14D2">
      <w:pPr>
        <w:keepNext w:val="0"/>
        <w:keepLines w:val="0"/>
        <w:pageBreakBefore w:val="0"/>
        <w:widowControl w:val="0"/>
        <w:kinsoku/>
        <w:wordWrap/>
        <w:overflowPunct/>
        <w:topLinePunct w:val="0"/>
        <w:autoSpaceDE/>
        <w:autoSpaceDN/>
        <w:bidi w:val="0"/>
        <w:adjustRightInd w:val="0"/>
        <w:snapToGrid w:val="0"/>
        <w:spacing w:afterAutospacing="0" w:line="520" w:lineRule="exact"/>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z w:val="32"/>
          <w:szCs w:val="32"/>
          <w:lang w:eastAsia="zh-CN"/>
        </w:rPr>
        <w:t>正镶白旗京能智汇清洁能源有限公司</w:t>
      </w:r>
      <w:r>
        <w:rPr>
          <w:rFonts w:hint="eastAsia" w:ascii="仿宋_GB2312" w:hAnsi="仿宋_GB2312" w:eastAsia="仿宋_GB2312" w:cs="仿宋_GB2312"/>
          <w:snapToGrid/>
          <w:color w:val="auto"/>
          <w:kern w:val="2"/>
          <w:sz w:val="32"/>
          <w:szCs w:val="32"/>
        </w:rPr>
        <w:t>：</w:t>
      </w:r>
    </w:p>
    <w:p w14:paraId="56718681">
      <w:pPr>
        <w:pStyle w:val="12"/>
        <w:keepNext w:val="0"/>
        <w:keepLines w:val="0"/>
        <w:pageBreakBefore w:val="0"/>
        <w:widowControl w:val="0"/>
        <w:kinsoku/>
        <w:wordWrap/>
        <w:overflowPunct/>
        <w:topLinePunct w:val="0"/>
        <w:autoSpaceDE/>
        <w:autoSpaceDN/>
        <w:bidi w:val="0"/>
        <w:adjustRightInd w:val="0"/>
        <w:snapToGrid/>
        <w:spacing w:after="0" w:afterLines="0" w:afterAutospacing="0" w:line="520" w:lineRule="exact"/>
        <w:ind w:left="0" w:leftChars="0" w:firstLine="640" w:firstLineChars="200"/>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你单位报送的《锡林郭勒京能智汇防沙治沙和风电光伏一体化工程2024年度正</w:t>
      </w:r>
      <w:bookmarkStart w:id="2" w:name="_GoBack"/>
      <w:bookmarkEnd w:id="2"/>
      <w:r>
        <w:rPr>
          <w:rFonts w:hint="eastAsia" w:ascii="仿宋_GB2312" w:hAnsi="仿宋_GB2312" w:eastAsia="仿宋_GB2312" w:cs="仿宋_GB2312"/>
          <w:snapToGrid w:val="0"/>
          <w:color w:val="000000"/>
          <w:sz w:val="32"/>
          <w:szCs w:val="32"/>
          <w:lang w:val="en-US" w:eastAsia="zh-CN" w:bidi="ar-SA"/>
        </w:rPr>
        <w:t>镶白旗15万千瓦风电项目环境影响报告书》（以下简称《报告书》）收悉。经研究，批复如下：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2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512BE238">
      <w:pPr>
        <w:keepNext w:val="0"/>
        <w:keepLines w:val="0"/>
        <w:pageBreakBefore w:val="0"/>
        <w:widowControl w:val="0"/>
        <w:kinsoku/>
        <w:wordWrap/>
        <w:overflowPunct/>
        <w:topLinePunct w:val="0"/>
        <w:autoSpaceDE/>
        <w:autoSpaceDN/>
        <w:bidi w:val="0"/>
        <w:adjustRightInd w:val="0"/>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锡林郭勒京能智汇防沙治沙和风电光伏一体化工程2024年度正镶白旗15万千瓦风电项目位于</w:t>
      </w:r>
      <w:r>
        <w:rPr>
          <w:rFonts w:hint="eastAsia" w:ascii="仿宋_GB2312" w:hAnsi="仿宋_GB2312" w:eastAsia="仿宋_GB2312" w:cs="仿宋_GB2312"/>
          <w:sz w:val="32"/>
          <w:szCs w:val="32"/>
          <w:lang w:eastAsia="zh-CN"/>
        </w:rPr>
        <w:t>内蒙古自治区锡林郭勒盟正镶白旗伊和淖尔苏木</w:t>
      </w:r>
      <w:r>
        <w:rPr>
          <w:rFonts w:hint="eastAsia" w:ascii="仿宋_GB2312" w:hAnsi="仿宋_GB2312" w:eastAsia="仿宋_GB2312" w:cs="仿宋_GB2312"/>
          <w:sz w:val="32"/>
          <w:szCs w:val="32"/>
          <w:lang w:val="en-US" w:eastAsia="zh-CN"/>
        </w:rPr>
        <w:t>，场址中心坐标东经42.542309°，北纬115.242168°。项目</w:t>
      </w:r>
      <w:r>
        <w:rPr>
          <w:rFonts w:hint="eastAsia" w:ascii="仿宋_GB2312" w:hAnsi="仿宋_GB2312" w:eastAsia="仿宋_GB2312" w:cs="仿宋_GB2312"/>
          <w:color w:val="auto"/>
          <w:kern w:val="2"/>
          <w:sz w:val="32"/>
          <w:szCs w:val="32"/>
          <w:lang w:val="en-US" w:eastAsia="zh-CN" w:bidi="ar-SA"/>
        </w:rPr>
        <w:t>建设150MW风力发电场，拟选用单机容量10MW发电机组15台，新建进场道路，配套数量箱变、集电线路、场内外道路及检修道路等，项目配置风电装机容量的15%/2h电化学储能系统，并按照电网公司要求及实际需求配置调相机。</w:t>
      </w:r>
    </w:p>
    <w:p w14:paraId="029BDD41">
      <w:pPr>
        <w:keepNext w:val="0"/>
        <w:keepLines w:val="0"/>
        <w:pageBreakBefore w:val="0"/>
        <w:widowControl w:val="0"/>
        <w:kinsoku/>
        <w:wordWrap/>
        <w:overflowPunct/>
        <w:topLinePunct w:val="0"/>
        <w:autoSpaceDE/>
        <w:autoSpaceDN/>
        <w:bidi w:val="0"/>
        <w:snapToGrid/>
        <w:spacing w:line="520" w:lineRule="exact"/>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b w:val="0"/>
          <w:bCs w:val="0"/>
          <w:snapToGrid w:val="0"/>
          <w:color w:val="auto"/>
          <w:kern w:val="2"/>
          <w:sz w:val="32"/>
          <w:szCs w:val="32"/>
          <w:highlight w:val="none"/>
          <w:lang w:val="zh-CN" w:eastAsia="zh-CN" w:bidi="en-US"/>
        </w:rPr>
        <w:t>该项目总投资为82350.94万元，其中环保投资为895万元，环保投资占总投资的</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napToGrid w:val="0"/>
          <w:color w:val="auto"/>
          <w:kern w:val="2"/>
          <w:sz w:val="32"/>
          <w:szCs w:val="32"/>
          <w:highlight w:val="none"/>
          <w:lang w:val="zh-CN" w:eastAsia="zh-CN" w:bidi="en-US"/>
        </w:rPr>
        <w:t>。</w:t>
      </w:r>
      <w:r>
        <w:rPr>
          <w:rFonts w:hint="eastAsia" w:ascii="仿宋_GB2312" w:hAnsi="仿宋_GB2312" w:eastAsia="仿宋_GB2312" w:cs="仿宋_GB2312"/>
          <w:color w:val="auto"/>
          <w:kern w:val="2"/>
          <w:sz w:val="32"/>
          <w:szCs w:val="32"/>
          <w:lang w:val="en-US" w:eastAsia="zh-CN" w:bidi="ar-SA"/>
        </w:rPr>
        <w:t>本次评价不包含升压站及相关工程（储能和危废暂存间等） 和辐射类环评相关内容。</w:t>
      </w:r>
    </w:p>
    <w:p w14:paraId="04498BEB">
      <w:pPr>
        <w:keepNext w:val="0"/>
        <w:keepLines w:val="0"/>
        <w:pageBreakBefore w:val="0"/>
        <w:widowControl w:val="0"/>
        <w:kinsoku/>
        <w:wordWrap/>
        <w:overflowPunct/>
        <w:topLinePunct w:val="0"/>
        <w:autoSpaceDE/>
        <w:autoSpaceDN/>
        <w:bidi w:val="0"/>
        <w:adjustRightInd/>
        <w:snapToGrid w:val="0"/>
        <w:spacing w:afterAutospacing="0" w:line="520" w:lineRule="exact"/>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根据中华人民共和国国家发展和改革委员会发布的《产业结构调整指导目录（2024年本）》，本项目属于鼓励类。项目已取得</w:t>
      </w:r>
      <w:r>
        <w:rPr>
          <w:rFonts w:hint="default" w:ascii="仿宋_GB2312" w:hAnsi="仿宋_GB2312" w:eastAsia="仿宋_GB2312" w:cs="仿宋_GB2312"/>
          <w:snapToGrid/>
          <w:color w:val="auto"/>
          <w:kern w:val="2"/>
          <w:sz w:val="32"/>
          <w:szCs w:val="32"/>
          <w:highlight w:val="none"/>
          <w:lang w:val="en-US" w:eastAsia="zh-CN" w:bidi="en-US"/>
        </w:rPr>
        <w:t>锡林郭勒盟能源局</w:t>
      </w:r>
      <w:r>
        <w:rPr>
          <w:rFonts w:hint="eastAsia" w:ascii="仿宋_GB2312" w:hAnsi="仿宋_GB2312" w:eastAsia="仿宋_GB2312" w:cs="仿宋_GB2312"/>
          <w:snapToGrid/>
          <w:color w:val="auto"/>
          <w:kern w:val="2"/>
          <w:sz w:val="32"/>
          <w:szCs w:val="32"/>
          <w:highlight w:val="none"/>
          <w:lang w:val="en-US" w:eastAsia="zh-CN" w:bidi="en-US"/>
        </w:rPr>
        <w:t>核准文件</w:t>
      </w:r>
      <w:r>
        <w:rPr>
          <w:rFonts w:hint="default" w:ascii="仿宋_GB2312" w:hAnsi="仿宋_GB2312" w:eastAsia="仿宋_GB2312" w:cs="仿宋_GB2312"/>
          <w:snapToGrid/>
          <w:color w:val="auto"/>
          <w:kern w:val="2"/>
          <w:sz w:val="32"/>
          <w:szCs w:val="32"/>
          <w:highlight w:val="none"/>
          <w:lang w:val="en-US" w:eastAsia="zh-CN" w:bidi="en-US"/>
        </w:rPr>
        <w:t>，项目代码为：</w:t>
      </w:r>
      <w:r>
        <w:rPr>
          <w:rFonts w:hint="eastAsia" w:ascii="仿宋_GB2312" w:hAnsi="仿宋_GB2312" w:eastAsia="仿宋_GB2312" w:cs="仿宋_GB2312"/>
          <w:color w:val="auto"/>
          <w:kern w:val="2"/>
          <w:sz w:val="32"/>
          <w:szCs w:val="32"/>
          <w:highlight w:val="none"/>
          <w:lang w:val="en-US" w:eastAsia="zh-CN" w:bidi="en-US"/>
        </w:rPr>
        <w:t>2407-152529-60-01-873838</w:t>
      </w:r>
      <w:r>
        <w:rPr>
          <w:rFonts w:hint="eastAsia" w:ascii="仿宋_GB2312" w:hAnsi="仿宋_GB2312" w:eastAsia="仿宋_GB2312" w:cs="仿宋_GB2312"/>
          <w:snapToGrid/>
          <w:color w:val="auto"/>
          <w:kern w:val="2"/>
          <w:sz w:val="32"/>
          <w:szCs w:val="32"/>
          <w:highlight w:val="none"/>
          <w:lang w:val="en-US" w:eastAsia="zh-CN" w:bidi="en-US"/>
        </w:rPr>
        <w:t>。项目的建设符合锡林郭勒盟“三线一单”相关管控要求，符合相关法律规范和行业规范要求。</w:t>
      </w:r>
      <w:r>
        <w:rPr>
          <w:rFonts w:hint="default" w:ascii="仿宋_GB2312" w:hAnsi="仿宋_GB2312" w:eastAsia="仿宋_GB2312" w:cs="仿宋_GB2312"/>
          <w:snapToGrid/>
          <w:color w:val="auto"/>
          <w:kern w:val="2"/>
          <w:sz w:val="32"/>
          <w:szCs w:val="32"/>
          <w:highlight w:val="none"/>
          <w:lang w:val="en-US" w:eastAsia="zh-CN" w:bidi="en-US"/>
        </w:rPr>
        <w:t>《报告书》认为，在全面落实各项生态保护和污染防治措施的前提下，项目建设对环境的不利影响能够得到一定的缓解和控制。因此，</w:t>
      </w:r>
      <w:r>
        <w:rPr>
          <w:rFonts w:hint="eastAsia" w:ascii="仿宋_GB2312" w:hAnsi="仿宋_GB2312" w:eastAsia="仿宋_GB2312" w:cs="仿宋_GB2312"/>
          <w:snapToGrid/>
          <w:color w:val="auto"/>
          <w:kern w:val="2"/>
          <w:sz w:val="32"/>
          <w:szCs w:val="32"/>
          <w:highlight w:val="none"/>
          <w:lang w:val="en-US" w:eastAsia="zh-CN" w:bidi="en-US"/>
        </w:rPr>
        <w:t>我局原则同意本项目环境影响报告书总体评价结论和拟采取的生态环境保护措施。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52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7A839F26">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（一）</w:t>
      </w:r>
      <w:r>
        <w:rPr>
          <w:rFonts w:hint="eastAsia" w:ascii="楷体" w:hAnsi="楷体" w:eastAsia="楷体" w:cs="楷体"/>
          <w:color w:val="auto"/>
          <w:kern w:val="2"/>
          <w:sz w:val="32"/>
          <w:szCs w:val="32"/>
          <w:highlight w:val="none"/>
          <w:lang w:val="en-US" w:eastAsia="zh-CN" w:bidi="en-US"/>
        </w:rPr>
        <w:t>全面落实《报告书》提出的各项生态环境保护措施。</w:t>
      </w:r>
      <w:r>
        <w:rPr>
          <w:rFonts w:hint="eastAsia" w:ascii="仿宋_GB2312" w:hAnsi="仿宋_GB2312" w:eastAsia="仿宋_GB2312" w:cs="仿宋_GB2312"/>
          <w:snapToGrid/>
          <w:color w:val="auto"/>
          <w:kern w:val="2"/>
          <w:sz w:val="32"/>
          <w:szCs w:val="32"/>
          <w:lang w:val="zh-CN" w:eastAsia="zh-CN" w:bidi="ar-SA"/>
        </w:rPr>
        <w:t>严格执行国家和地方产业政策、生态环境准入清单、污染防治和生态保护的相关要求，有新调整或细化规定的，按照新规定执行。</w:t>
      </w:r>
    </w:p>
    <w:p w14:paraId="199E947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（二）</w:t>
      </w:r>
      <w:r>
        <w:rPr>
          <w:rFonts w:hint="eastAsia" w:ascii="楷体" w:hAnsi="楷体" w:eastAsia="楷体" w:cs="楷体"/>
          <w:color w:val="auto"/>
          <w:kern w:val="2"/>
          <w:sz w:val="32"/>
          <w:szCs w:val="32"/>
          <w:highlight w:val="none"/>
          <w:lang w:val="en-US" w:eastAsia="zh-CN" w:bidi="en-US"/>
        </w:rPr>
        <w:t>加强施工期间的环境管理工作。</w:t>
      </w:r>
      <w:r>
        <w:rPr>
          <w:rFonts w:hint="eastAsia" w:ascii="仿宋_GB2312" w:hAnsi="仿宋_GB2312" w:eastAsia="仿宋_GB2312" w:cs="仿宋_GB2312"/>
          <w:snapToGrid/>
          <w:color w:val="auto"/>
          <w:kern w:val="2"/>
          <w:sz w:val="32"/>
          <w:szCs w:val="32"/>
          <w:lang w:val="en-US" w:eastAsia="zh-CN" w:bidi="ar-SA"/>
        </w:rPr>
        <w:t>施工期严格控制施工范围，合理布局施工场地，减少对地表和植被的扰动。施工过程中严格控制占地范围，禁止在生态保护红线和生态空间管控区域内设置取弃土场。施工过程中对开挖表土定点堆放，同时苫盖防尘抑尘网、定期洒水抑尘。工程完毕后及时进行土地复垦，恢复植被。剥离的表土运往表土堆场单独存放。撒播当地草籽和种植当地草种，减少裸露面，防止水土流失。在进站道路两侧及生活区围墙周围进行绿化。结合当地生态环境现状和土地利用规划，实施生态补偿措施，恢复和改善被干扰土地的生态平衡。</w:t>
      </w:r>
    </w:p>
    <w:p w14:paraId="5B8271B8">
      <w:pPr>
        <w:pStyle w:val="14"/>
        <w:keepNext w:val="0"/>
        <w:keepLines w:val="0"/>
        <w:pageBreakBefore w:val="0"/>
        <w:widowControl w:val="0"/>
        <w:kinsoku/>
        <w:wordWrap/>
        <w:overflowPunct/>
        <w:topLinePunct w:val="0"/>
        <w:autoSpaceDE/>
        <w:autoSpaceDN/>
        <w:bidi w:val="0"/>
        <w:adjustRightInd/>
        <w:snapToGrid/>
        <w:spacing w:after="0" w:line="520" w:lineRule="exact"/>
        <w:ind w:right="0" w:firstLine="640" w:firstLineChars="200"/>
        <w:textAlignment w:val="auto"/>
        <w:rPr>
          <w:rFonts w:hint="eastAsia" w:ascii="仿宋_GB2312" w:hAnsi="仿宋_GB2312" w:eastAsia="仿宋_GB2312" w:cs="仿宋_GB2312"/>
          <w:snapToGrid/>
          <w:color w:val="auto"/>
          <w:kern w:val="2"/>
          <w:sz w:val="32"/>
          <w:szCs w:val="32"/>
          <w:lang w:val="zh-CN" w:eastAsia="zh-CN" w:bidi="ar-SA"/>
        </w:rPr>
      </w:pPr>
      <w:r>
        <w:rPr>
          <w:rFonts w:hint="eastAsia" w:ascii="仿宋_GB2312" w:hAnsi="仿宋_GB2312" w:eastAsia="仿宋_GB2312" w:cs="仿宋_GB2312"/>
          <w:snapToGrid/>
          <w:color w:val="auto"/>
          <w:kern w:val="2"/>
          <w:sz w:val="32"/>
          <w:szCs w:val="32"/>
          <w:lang w:val="en-US" w:eastAsia="zh-CN" w:bidi="ar-SA"/>
        </w:rPr>
        <w:t>该</w:t>
      </w:r>
      <w:r>
        <w:rPr>
          <w:rFonts w:hint="eastAsia" w:ascii="仿宋_GB2312" w:hAnsi="仿宋_GB2312" w:eastAsia="仿宋_GB2312" w:cs="仿宋_GB2312"/>
          <w:sz w:val="32"/>
          <w:szCs w:val="32"/>
        </w:rPr>
        <w:t>施工期</w:t>
      </w:r>
      <w:r>
        <w:rPr>
          <w:rFonts w:hint="eastAsia" w:ascii="仿宋_GB2312" w:hAnsi="仿宋_GB2312" w:eastAsia="仿宋_GB2312" w:cs="仿宋_GB2312"/>
          <w:color w:val="auto"/>
          <w:kern w:val="2"/>
          <w:sz w:val="32"/>
          <w:szCs w:val="32"/>
          <w:highlight w:val="none"/>
          <w:lang w:val="en-US" w:eastAsia="zh-CN" w:bidi="en-US"/>
        </w:rPr>
        <w:t>产生废水经相应措施处理后回用于道路洒水，生活污水拉运至污水处理厂处理。采取选用低噪声设备、隔声、基础减振、控制车速、严禁鸣笛，严禁超载超速，禁止夜间运输等措施降低噪声对周边环境的影响。施工期施工废土石场内平衡，建筑垃圾运送至当地政府指定地点集中处理，生活垃圾经场区内收集后，定期由当地环卫部门统一收集处置。项目风机基础开挖等产生的废土方，大部分回填，剩余土方集中堆放于临时弃土，并及时调配用于场内道路修筑等进行综合利用。</w:t>
      </w:r>
    </w:p>
    <w:p w14:paraId="56F3FF0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（三）</w:t>
      </w:r>
      <w:r>
        <w:rPr>
          <w:rFonts w:hint="eastAsia" w:ascii="楷体" w:hAnsi="楷体" w:eastAsia="楷体" w:cs="楷体"/>
          <w:color w:val="auto"/>
          <w:kern w:val="2"/>
          <w:sz w:val="32"/>
          <w:szCs w:val="32"/>
          <w:highlight w:val="none"/>
          <w:lang w:val="en-US" w:eastAsia="zh-CN" w:bidi="en-US"/>
        </w:rPr>
        <w:t>严格落实各项大气污染防治措施。</w:t>
      </w:r>
      <w:r>
        <w:rPr>
          <w:rFonts w:hint="eastAsia" w:ascii="仿宋_GB2312" w:hAnsi="仿宋_GB2312" w:eastAsia="仿宋_GB2312" w:cs="仿宋_GB2312"/>
          <w:snapToGrid/>
          <w:color w:val="auto"/>
          <w:kern w:val="2"/>
          <w:sz w:val="32"/>
          <w:szCs w:val="32"/>
          <w:lang w:val="en-US" w:eastAsia="zh-CN" w:bidi="ar-SA"/>
        </w:rPr>
        <w:t>限制风电场检修道路车辆车速并加强日常管理，在巡视检修车辆进场前利用洒水车对检修道路进行洒水抑尘。道路扬尘执行《大气污染物综合排放标准》（GB16297-1996）中新污染源大气污染物排放限值中无组织排放监控浓度限值要求。</w:t>
      </w:r>
    </w:p>
    <w:p w14:paraId="05DD14D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lang w:eastAsia="zh-CN"/>
        </w:rPr>
        <w:t>（四）</w:t>
      </w:r>
      <w:r>
        <w:rPr>
          <w:rFonts w:hint="eastAsia" w:ascii="楷体" w:hAnsi="楷体" w:eastAsia="楷体" w:cs="楷体"/>
          <w:color w:val="auto"/>
          <w:kern w:val="2"/>
          <w:sz w:val="32"/>
          <w:szCs w:val="32"/>
          <w:highlight w:val="none"/>
          <w:lang w:val="en-US" w:eastAsia="zh-CN" w:bidi="en-US"/>
        </w:rPr>
        <w:t>严格落实各项水污染防治措施。</w:t>
      </w:r>
      <w:r>
        <w:rPr>
          <w:rFonts w:hint="eastAsia" w:ascii="仿宋_GB2312" w:hAnsi="仿宋_GB2312" w:eastAsia="仿宋_GB2312" w:cs="仿宋_GB2312"/>
          <w:snapToGrid/>
          <w:color w:val="auto"/>
          <w:kern w:val="2"/>
          <w:sz w:val="32"/>
          <w:szCs w:val="32"/>
          <w:lang w:val="en-US" w:eastAsia="zh-CN" w:bidi="ar-SA"/>
        </w:rPr>
        <w:t>该项目运营期主要为升压站生活污水，升压站生活污水由建设单位另行委托进行环境影响评价。</w:t>
      </w:r>
    </w:p>
    <w:p w14:paraId="14F95E9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五</w:t>
      </w:r>
      <w:r>
        <w:rPr>
          <w:rFonts w:hint="eastAsia" w:ascii="仿宋_GB2312" w:hAnsi="仿宋_GB2312" w:eastAsia="仿宋_GB2312" w:cs="仿宋_GB2312"/>
          <w:snapToGrid/>
          <w:color w:val="auto"/>
          <w:sz w:val="32"/>
          <w:szCs w:val="32"/>
        </w:rPr>
        <w:t>）</w:t>
      </w:r>
      <w:r>
        <w:rPr>
          <w:rFonts w:hint="eastAsia" w:ascii="楷体" w:hAnsi="楷体" w:eastAsia="楷体" w:cs="楷体"/>
          <w:b w:val="0"/>
          <w:bCs w:val="0"/>
          <w:color w:val="000000"/>
          <w:sz w:val="32"/>
          <w:szCs w:val="32"/>
          <w:highlight w:val="none"/>
          <w:lang w:val="en-US" w:eastAsia="zh-CN"/>
        </w:rPr>
        <w:t>严格落实噪声防治措施。</w:t>
      </w:r>
      <w:r>
        <w:rPr>
          <w:rFonts w:hint="eastAsia" w:ascii="仿宋_GB2312" w:hAnsi="仿宋_GB2312" w:eastAsia="仿宋_GB2312" w:cs="仿宋_GB2312"/>
          <w:snapToGrid/>
          <w:color w:val="auto"/>
          <w:kern w:val="2"/>
          <w:sz w:val="32"/>
          <w:szCs w:val="32"/>
          <w:lang w:val="en-US" w:eastAsia="zh-CN" w:bidi="ar-SA"/>
        </w:rPr>
        <w:t>合理布置风力发电机组、选用低噪声风机、加强风机的日常维护、选用低噪声变压器，敏感点处噪声执行《声环境质量标准》（GB3096-2008）中1类标准要求。</w:t>
      </w:r>
    </w:p>
    <w:p w14:paraId="5B8F1ACF">
      <w:pPr>
        <w:pStyle w:val="14"/>
        <w:keepNext w:val="0"/>
        <w:keepLines w:val="0"/>
        <w:pageBreakBefore w:val="0"/>
        <w:kinsoku/>
        <w:wordWrap/>
        <w:overflowPunct/>
        <w:topLinePunct w:val="0"/>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六</w:t>
      </w:r>
      <w:r>
        <w:rPr>
          <w:rFonts w:hint="eastAsia" w:ascii="仿宋_GB2312" w:hAnsi="仿宋_GB2312" w:eastAsia="仿宋_GB2312" w:cs="仿宋_GB2312"/>
          <w:snapToGrid/>
          <w:color w:val="auto"/>
          <w:sz w:val="32"/>
          <w:szCs w:val="32"/>
        </w:rPr>
        <w:t>）</w:t>
      </w:r>
      <w:r>
        <w:rPr>
          <w:rFonts w:hint="eastAsia" w:ascii="楷体" w:hAnsi="楷体" w:eastAsia="楷体" w:cs="楷体"/>
          <w:color w:val="auto"/>
          <w:kern w:val="2"/>
          <w:sz w:val="32"/>
          <w:szCs w:val="32"/>
          <w:highlight w:val="none"/>
          <w:lang w:val="en-US" w:eastAsia="zh-CN" w:bidi="en-US"/>
        </w:rPr>
        <w:t>严格落实固体废物污染防治措施。</w:t>
      </w:r>
      <w:r>
        <w:rPr>
          <w:rFonts w:hint="eastAsia" w:ascii="仿宋_GB2312" w:hAnsi="仿宋_GB2312" w:eastAsia="仿宋_GB2312" w:cs="仿宋_GB2312"/>
          <w:color w:val="auto"/>
          <w:kern w:val="2"/>
          <w:sz w:val="32"/>
          <w:szCs w:val="32"/>
          <w:highlight w:val="none"/>
          <w:lang w:val="en-US" w:eastAsia="zh-CN" w:bidi="en-US"/>
        </w:rPr>
        <w:t>运营期废风机叶片和废磷酸铁锂电池由厂家拉运回收，不在场内暂存；废机油、废油桶和废抹布经专门容器收集后依托升压站内危险废物暂存间贮存，委托有该危废处置资质的单位及时处理；箱式变压器事故状态下将变压器油排入事故油池，及时委托有该危废处置资质的单位及时处理，无法及时清运时暂存于危废暂存间内，委托有资质单位清运处置。</w:t>
      </w:r>
    </w:p>
    <w:p w14:paraId="5F7F9678">
      <w:pPr>
        <w:pStyle w:val="11"/>
        <w:keepNext w:val="0"/>
        <w:keepLines w:val="0"/>
        <w:pageBreakBefore w:val="0"/>
        <w:widowControl w:val="0"/>
        <w:kinsoku w:val="0"/>
        <w:wordWrap/>
        <w:overflowPunct/>
        <w:topLinePunct w:val="0"/>
        <w:autoSpaceDE w:val="0"/>
        <w:autoSpaceDN w:val="0"/>
        <w:bidi w:val="0"/>
        <w:adjustRightInd w:val="0"/>
        <w:snapToGrid w:val="0"/>
        <w:spacing w:afterAutospacing="0" w:line="52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snapToGrid/>
          <w:color w:val="auto"/>
          <w:kern w:val="2"/>
          <w:sz w:val="32"/>
          <w:szCs w:val="32"/>
          <w:lang w:val="en-US" w:eastAsia="zh-CN" w:bidi="ar-SA"/>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项目建设必须严格执行配套的环境保护设施与主体工程同时设计、同时施工、同时投产使用的环境保护“三同时”制度。按规定程序实施竣工环境保护验收。</w:t>
      </w:r>
    </w:p>
    <w:p w14:paraId="2E62724C">
      <w:pPr>
        <w:pStyle w:val="11"/>
        <w:keepNext w:val="0"/>
        <w:keepLines w:val="0"/>
        <w:pageBreakBefore w:val="0"/>
        <w:widowControl w:val="0"/>
        <w:wordWrap/>
        <w:overflowPunct/>
        <w:topLinePunct w:val="0"/>
        <w:bidi w:val="0"/>
        <w:adjustRightInd w:val="0"/>
        <w:snapToGrid w:val="0"/>
        <w:spacing w:afterAutospacing="0" w:line="520" w:lineRule="exact"/>
        <w:ind w:left="0" w:leftChars="0" w:firstLine="640" w:firstLineChars="200"/>
        <w:jc w:val="both"/>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b w:val="0"/>
          <w:bCs w:val="0"/>
          <w:snapToGrid/>
          <w:color w:val="auto"/>
          <w:kern w:val="2"/>
          <w:sz w:val="32"/>
          <w:szCs w:val="32"/>
          <w:lang w:val="en-US" w:eastAsia="zh-CN" w:bidi="ar-SA"/>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我局委托锡林郭勒盟生态环境局正镶白旗分局对该项目各项生态环境保护措施落实情况进行监督检查和管理。</w:t>
      </w:r>
    </w:p>
    <w:p w14:paraId="1D6DE6DD">
      <w:pPr>
        <w:pStyle w:val="12"/>
        <w:keepNext w:val="0"/>
        <w:keepLines w:val="0"/>
        <w:pageBreakBefore w:val="0"/>
        <w:overflowPunct/>
        <w:topLinePunct w:val="0"/>
        <w:bidi w:val="0"/>
        <w:spacing w:line="520" w:lineRule="exact"/>
      </w:pPr>
    </w:p>
    <w:p w14:paraId="18040CE6"/>
    <w:p w14:paraId="420BCD62">
      <w:pPr>
        <w:keepNext w:val="0"/>
        <w:keepLines w:val="0"/>
        <w:pageBreakBefore w:val="0"/>
        <w:wordWrap w:val="0"/>
        <w:overflowPunct/>
        <w:topLinePunct w:val="0"/>
        <w:bidi w:val="0"/>
        <w:adjustRightInd w:val="0"/>
        <w:snapToGrid w:val="0"/>
        <w:spacing w:line="520" w:lineRule="exact"/>
        <w:ind w:left="0" w:leftChars="0" w:firstLine="796" w:firstLineChars="200"/>
        <w:jc w:val="right"/>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6"/>
          <w:w w:val="102"/>
          <w:sz w:val="32"/>
          <w:szCs w:val="32"/>
          <w:lang w:val="en-US" w:eastAsia="zh-CN"/>
        </w:rPr>
        <w:t xml:space="preserve">   </w:t>
      </w:r>
      <w:r>
        <w:rPr>
          <w:rFonts w:hint="eastAsia" w:ascii="仿宋_GB2312" w:hAnsi="仿宋_GB2312" w:eastAsia="仿宋_GB2312" w:cs="仿宋_GB2312"/>
          <w:color w:val="auto"/>
          <w:spacing w:val="36"/>
          <w:w w:val="102"/>
          <w:sz w:val="32"/>
          <w:szCs w:val="32"/>
        </w:rPr>
        <w:t xml:space="preserve">锡林郭勒盟生态环境局      </w:t>
      </w:r>
    </w:p>
    <w:p w14:paraId="15A96B7D">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center"/>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 xml:space="preserve">        </w:t>
      </w:r>
      <w:r>
        <w:rPr>
          <w:rFonts w:hint="eastAsia" w:ascii="仿宋_GB2312" w:hAnsi="仿宋_GB2312" w:eastAsia="仿宋_GB2312" w:cs="仿宋_GB2312"/>
          <w:color w:val="auto"/>
          <w:spacing w:val="18"/>
          <w:w w:val="104"/>
          <w:sz w:val="32"/>
          <w:szCs w:val="32"/>
        </w:rPr>
        <w:t>2024年</w:t>
      </w:r>
      <w:r>
        <w:rPr>
          <w:rFonts w:hint="eastAsia" w:ascii="仿宋_GB2312" w:hAnsi="仿宋_GB2312" w:eastAsia="仿宋_GB2312" w:cs="仿宋_GB2312"/>
          <w:color w:val="auto"/>
          <w:spacing w:val="18"/>
          <w:w w:val="104"/>
          <w:sz w:val="32"/>
          <w:szCs w:val="32"/>
          <w:lang w:val="en-US" w:eastAsia="zh-CN"/>
        </w:rPr>
        <w:t>12</w:t>
      </w:r>
      <w:r>
        <w:rPr>
          <w:rFonts w:hint="eastAsia" w:ascii="仿宋_GB2312" w:hAnsi="仿宋_GB2312" w:eastAsia="仿宋_GB2312" w:cs="仿宋_GB2312"/>
          <w:color w:val="auto"/>
          <w:spacing w:val="18"/>
          <w:w w:val="104"/>
          <w:sz w:val="32"/>
          <w:szCs w:val="32"/>
        </w:rPr>
        <w:t>月</w:t>
      </w:r>
      <w:r>
        <w:rPr>
          <w:rFonts w:hint="eastAsia" w:ascii="仿宋_GB2312" w:hAnsi="仿宋_GB2312" w:eastAsia="仿宋_GB2312" w:cs="仿宋_GB2312"/>
          <w:color w:val="auto"/>
          <w:spacing w:val="18"/>
          <w:w w:val="104"/>
          <w:sz w:val="32"/>
          <w:szCs w:val="32"/>
          <w:lang w:val="en-US" w:eastAsia="zh-CN"/>
        </w:rPr>
        <w:t>10</w:t>
      </w:r>
      <w:r>
        <w:rPr>
          <w:rFonts w:hint="eastAsia" w:ascii="仿宋_GB2312" w:hAnsi="仿宋_GB2312" w:eastAsia="仿宋_GB2312" w:cs="仿宋_GB2312"/>
          <w:color w:val="auto"/>
          <w:spacing w:val="18"/>
          <w:w w:val="104"/>
          <w:sz w:val="32"/>
          <w:szCs w:val="32"/>
        </w:rPr>
        <w:t>日</w:t>
      </w:r>
      <w:r>
        <w:rPr>
          <w:rFonts w:hint="eastAsia" w:ascii="仿宋_GB2312" w:hAnsi="仿宋_GB2312" w:eastAsia="仿宋_GB2312" w:cs="仿宋_GB2312"/>
          <w:color w:val="auto"/>
          <w:spacing w:val="18"/>
          <w:w w:val="104"/>
          <w:sz w:val="32"/>
          <w:szCs w:val="32"/>
          <w:lang w:val="en-US" w:eastAsia="zh-CN"/>
        </w:rPr>
        <w:t xml:space="preserve">  </w:t>
      </w:r>
    </w:p>
    <w:p w14:paraId="65F347DF">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35F2326">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4A9A94AC">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59054C6D">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093860D">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7F51BC48">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default"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 xml:space="preserve">        </w:t>
      </w:r>
    </w:p>
    <w:p w14:paraId="10245524">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-14605</wp:posOffset>
                </wp:positionH>
                <wp:positionV relativeFrom="paragraph">
                  <wp:posOffset>292100</wp:posOffset>
                </wp:positionV>
                <wp:extent cx="5351780" cy="5715"/>
                <wp:effectExtent l="0" t="0" r="0" b="0"/>
                <wp:wrapNone/>
                <wp:docPr id="1027"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1.15pt;margin-top:23pt;height:0.45pt;width:421.4pt;z-index:251660288;mso-width-relative:page;mso-height-relative:page;" filled="f" stroked="t" coordsize="21600,21600" o:gfxdata="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aK1+9YAAAAIAQAADwAAAAAAAAABACAAAAAiAAAAZHJzL2Rvd25yZXYu&#10;eG1sUEsBAhQAFAAAAAgAh07iQKZAijb9AQAA8wMAAA4AAAAAAAAAAQAgAAAAJQ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kern w:val="2"/>
          <w:sz w:val="28"/>
          <w:szCs w:val="28"/>
        </w:rPr>
        <w:t>盟生态环境综合行政执法支队</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盟生态环境局</w:t>
      </w:r>
      <w:r>
        <w:rPr>
          <w:rFonts w:hint="eastAsia" w:ascii="仿宋_GB2312" w:hAnsi="仿宋_GB2312" w:eastAsia="仿宋_GB2312" w:cs="仿宋_GB2312"/>
          <w:color w:val="auto"/>
          <w:kern w:val="2"/>
          <w:sz w:val="28"/>
          <w:szCs w:val="28"/>
          <w:lang w:val="en-US" w:eastAsia="zh-CN"/>
        </w:rPr>
        <w:t>正镶白旗</w:t>
      </w:r>
      <w:r>
        <w:rPr>
          <w:rFonts w:hint="eastAsia" w:ascii="仿宋_GB2312" w:hAnsi="仿宋_GB2312" w:eastAsia="仿宋_GB2312" w:cs="仿宋_GB2312"/>
          <w:color w:val="auto"/>
          <w:kern w:val="2"/>
          <w:sz w:val="28"/>
          <w:szCs w:val="28"/>
        </w:rPr>
        <w:t>分局</w:t>
      </w:r>
    </w:p>
    <w:p w14:paraId="5933A466">
      <w:pPr>
        <w:spacing w:line="360" w:lineRule="auto"/>
        <w:ind w:firstLine="280" w:firstLineChars="100"/>
        <w:rPr>
          <w:rFonts w:hint="eastAsia" w:ascii="仿宋_GB2312" w:hAnsi="仿宋_GB2312" w:eastAsia="仿宋_GB2312" w:cs="仿宋_GB2312"/>
          <w:color w:val="auto"/>
          <w:spacing w:val="36"/>
          <w:w w:val="102"/>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299085</wp:posOffset>
                </wp:positionV>
                <wp:extent cx="5351780" cy="5715"/>
                <wp:effectExtent l="0" t="0" r="0" b="0"/>
                <wp:wrapNone/>
                <wp:docPr id="2"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0.05pt;margin-top:23.55pt;height:0.45pt;width:421.4pt;z-index:251660288;mso-width-relative:page;mso-height-relative:page;" filled="f" stroked="t" coordsize="21600,21600" o:gfxdata="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6+SNUAAAAHAQAADwAAAAAAAAABACAAAAAiAAAAZHJzL2Rvd25yZXYueG1s&#10;UEsBAhQAFAAAAAgAh07iQGACVjv7AQAA8A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锡林郭勒盟生态环境局办公室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E09836-0CCB-4CD6-BD8D-4DC4DE68EF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E07124E-FFCF-4D1D-9680-5801BF4DAB28}"/>
  </w:font>
  <w:font w:name="仿宋_GB2312">
    <w:panose1 w:val="02010609030101010101"/>
    <w:charset w:val="86"/>
    <w:family w:val="auto"/>
    <w:pitch w:val="default"/>
    <w:sig w:usb0="00000001" w:usb1="080E0000" w:usb2="00000000" w:usb3="00000000" w:csb0="00040000" w:csb1="00000000"/>
    <w:embedRegular r:id="rId3" w:fontKey="{EBF37418-A1CA-4F62-82B6-26EB5C61AD2F}"/>
  </w:font>
  <w:font w:name="方正小标宋简体">
    <w:panose1 w:val="03000509000000000000"/>
    <w:charset w:val="86"/>
    <w:family w:val="auto"/>
    <w:pitch w:val="default"/>
    <w:sig w:usb0="00000001" w:usb1="080E0000" w:usb2="00000000" w:usb3="00000000" w:csb0="00040000" w:csb1="00000000"/>
    <w:embedRegular r:id="rId4" w:fontKey="{6B59C832-3FF5-44A0-A261-0E1B25C93C74}"/>
  </w:font>
  <w:font w:name="楷体">
    <w:panose1 w:val="02010609060101010101"/>
    <w:charset w:val="86"/>
    <w:family w:val="auto"/>
    <w:pitch w:val="default"/>
    <w:sig w:usb0="800002BF" w:usb1="38CF7CFA" w:usb2="00000016" w:usb3="00000000" w:csb0="00040001" w:csb1="00000000"/>
    <w:embedRegular r:id="rId5" w:fontKey="{33C840C0-2FAA-440B-A788-2D8AD16B46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95D0">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F3A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650C"/>
    <w:multiLevelType w:val="multilevel"/>
    <w:tmpl w:val="467C650C"/>
    <w:lvl w:ilvl="0" w:tentative="0">
      <w:start w:val="1"/>
      <w:numFmt w:val="decimal"/>
      <w:lvlText w:val="%1"/>
      <w:lvlJc w:val="left"/>
      <w:pPr>
        <w:tabs>
          <w:tab w:val="left" w:pos="972"/>
        </w:tabs>
        <w:ind w:left="972" w:hanging="432"/>
      </w:pPr>
      <w:rPr>
        <w:rFonts w:hint="default"/>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1980"/>
        </w:tabs>
        <w:ind w:left="1980" w:hanging="720"/>
      </w:pPr>
      <w:rPr>
        <w:rFonts w:hint="eastAsia"/>
      </w:rPr>
    </w:lvl>
    <w:lvl w:ilvl="3" w:tentative="0">
      <w:start w:val="1"/>
      <w:numFmt w:val="decimal"/>
      <w:pStyle w:val="21"/>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Dc0MWE2MzMxMjkwZmE5ODU4OGMzYzc5YjkzMTAifQ=="/>
  </w:docVars>
  <w:rsids>
    <w:rsidRoot w:val="589E3581"/>
    <w:rsid w:val="01351709"/>
    <w:rsid w:val="02946E78"/>
    <w:rsid w:val="03165668"/>
    <w:rsid w:val="032D3728"/>
    <w:rsid w:val="04E577C8"/>
    <w:rsid w:val="0737795B"/>
    <w:rsid w:val="087B7D1C"/>
    <w:rsid w:val="08BA5B26"/>
    <w:rsid w:val="09254C3A"/>
    <w:rsid w:val="0BD72AFB"/>
    <w:rsid w:val="0BE67BA2"/>
    <w:rsid w:val="0C970E9C"/>
    <w:rsid w:val="0D644E3F"/>
    <w:rsid w:val="0FFA1BFE"/>
    <w:rsid w:val="100E76C7"/>
    <w:rsid w:val="150A66AF"/>
    <w:rsid w:val="158D36CB"/>
    <w:rsid w:val="1AD35795"/>
    <w:rsid w:val="1CB74BA8"/>
    <w:rsid w:val="1D1C3424"/>
    <w:rsid w:val="1DDC2BB3"/>
    <w:rsid w:val="207035BF"/>
    <w:rsid w:val="21D96D62"/>
    <w:rsid w:val="22BC4ED3"/>
    <w:rsid w:val="233268A5"/>
    <w:rsid w:val="240D6EC1"/>
    <w:rsid w:val="241C1F5B"/>
    <w:rsid w:val="299E3412"/>
    <w:rsid w:val="2BA70CA4"/>
    <w:rsid w:val="2BC02C27"/>
    <w:rsid w:val="305D7B83"/>
    <w:rsid w:val="321F3205"/>
    <w:rsid w:val="36527E8D"/>
    <w:rsid w:val="388C002D"/>
    <w:rsid w:val="392333DD"/>
    <w:rsid w:val="39297DD7"/>
    <w:rsid w:val="3D430101"/>
    <w:rsid w:val="406C330D"/>
    <w:rsid w:val="40823F3F"/>
    <w:rsid w:val="41123F15"/>
    <w:rsid w:val="43261F5B"/>
    <w:rsid w:val="440E72B6"/>
    <w:rsid w:val="44BC219C"/>
    <w:rsid w:val="48242613"/>
    <w:rsid w:val="484A16D8"/>
    <w:rsid w:val="4B5C1005"/>
    <w:rsid w:val="4CAA0A7C"/>
    <w:rsid w:val="4D2D2298"/>
    <w:rsid w:val="5209326F"/>
    <w:rsid w:val="53CE651E"/>
    <w:rsid w:val="579A2E45"/>
    <w:rsid w:val="57B86DCB"/>
    <w:rsid w:val="589E3581"/>
    <w:rsid w:val="59043943"/>
    <w:rsid w:val="59AF294E"/>
    <w:rsid w:val="5A5C0D28"/>
    <w:rsid w:val="5D9702C9"/>
    <w:rsid w:val="683F3A37"/>
    <w:rsid w:val="6AF515D6"/>
    <w:rsid w:val="6B0074AE"/>
    <w:rsid w:val="6C261800"/>
    <w:rsid w:val="70D93BD0"/>
    <w:rsid w:val="721750DD"/>
    <w:rsid w:val="75400D68"/>
    <w:rsid w:val="76834B14"/>
    <w:rsid w:val="786B4972"/>
    <w:rsid w:val="78977D98"/>
    <w:rsid w:val="7C8137F2"/>
    <w:rsid w:val="7D7C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0"/>
    <w:autoRedefine/>
    <w:qFormat/>
    <w:uiPriority w:val="0"/>
    <w:pPr>
      <w:keepNext/>
      <w:keepLines/>
      <w:adjustRightInd w:val="0"/>
      <w:snapToGrid w:val="0"/>
      <w:spacing w:line="360" w:lineRule="auto"/>
      <w:ind w:left="0" w:firstLine="883" w:firstLineChars="200"/>
      <w:outlineLvl w:val="0"/>
    </w:pPr>
    <w:rPr>
      <w:rFonts w:ascii="Times New Roman" w:hAnsi="Times New Roman" w:eastAsia="宋体"/>
      <w:b/>
      <w:kern w:val="44"/>
      <w:sz w:val="44"/>
      <w:szCs w:val="20"/>
    </w:rPr>
  </w:style>
  <w:style w:type="paragraph" w:styleId="3">
    <w:name w:val="heading 2"/>
    <w:basedOn w:val="1"/>
    <w:next w:val="1"/>
    <w:link w:val="19"/>
    <w:autoRedefine/>
    <w:semiHidden/>
    <w:unhideWhenUsed/>
    <w:qFormat/>
    <w:uiPriority w:val="0"/>
    <w:pPr>
      <w:keepNext/>
      <w:keepLines/>
      <w:adjustRightInd w:val="0"/>
      <w:snapToGrid w:val="0"/>
      <w:spacing w:line="360" w:lineRule="auto"/>
      <w:outlineLvl w:val="1"/>
    </w:pPr>
    <w:rPr>
      <w:rFonts w:ascii="Times New Roman" w:hAnsi="Times New Roman" w:eastAsia="宋体"/>
      <w:b/>
      <w:bCs/>
      <w:sz w:val="32"/>
      <w:szCs w:val="3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360" w:lineRule="auto"/>
      <w:ind w:firstLine="883" w:firstLineChars="200"/>
      <w:outlineLvl w:val="3"/>
    </w:pPr>
    <w:rPr>
      <w:rFonts w:ascii="Times New Roman" w:hAnsi="Times New Roman" w:eastAsia="宋体"/>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2"/>
    <w:autoRedefine/>
    <w:qFormat/>
    <w:uiPriority w:val="0"/>
    <w:pPr>
      <w:widowControl w:val="0"/>
      <w:ind w:firstLine="420" w:firstLineChars="200"/>
      <w:jc w:val="both"/>
    </w:pPr>
    <w:rPr>
      <w:rFonts w:ascii="Times New Roman" w:hAnsi="Times New Roman" w:eastAsia="宋体" w:cs="Times New Roman"/>
      <w:kern w:val="2"/>
      <w:szCs w:val="24"/>
    </w:rPr>
  </w:style>
  <w:style w:type="paragraph" w:styleId="12">
    <w:name w:val="Body Text First Indent 2"/>
    <w:basedOn w:val="13"/>
    <w:next w:val="1"/>
    <w:qFormat/>
    <w:uiPriority w:val="0"/>
    <w:pPr>
      <w:ind w:firstLine="420" w:firstLineChars="200"/>
    </w:pPr>
  </w:style>
  <w:style w:type="paragraph" w:styleId="13">
    <w:name w:val="Body Text Indent"/>
    <w:basedOn w:val="1"/>
    <w:next w:val="1"/>
    <w:autoRedefine/>
    <w:qFormat/>
    <w:uiPriority w:val="0"/>
    <w:pPr>
      <w:spacing w:after="120" w:afterLines="0" w:afterAutospacing="0"/>
      <w:ind w:left="420" w:leftChars="200"/>
    </w:pPr>
  </w:style>
  <w:style w:type="paragraph" w:styleId="14">
    <w:name w:val="Body Text"/>
    <w:basedOn w:val="1"/>
    <w:qFormat/>
    <w:uiPriority w:val="0"/>
    <w:pPr>
      <w:spacing w:after="120"/>
    </w:pPr>
    <w:rPr>
      <w:szCs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9">
    <w:name w:val="标题 2 Char"/>
    <w:link w:val="3"/>
    <w:autoRedefine/>
    <w:qFormat/>
    <w:uiPriority w:val="0"/>
    <w:rPr>
      <w:rFonts w:ascii="Times New Roman" w:hAnsi="Times New Roman" w:eastAsia="宋体"/>
      <w:b/>
      <w:bCs/>
      <w:kern w:val="2"/>
      <w:sz w:val="32"/>
      <w:szCs w:val="32"/>
      <w:lang w:val="en-US" w:eastAsia="zh-CN" w:bidi="ar-SA"/>
    </w:rPr>
  </w:style>
  <w:style w:type="character" w:customStyle="1" w:styleId="20">
    <w:name w:val="标题 1 Char"/>
    <w:link w:val="2"/>
    <w:qFormat/>
    <w:uiPriority w:val="0"/>
    <w:rPr>
      <w:rFonts w:ascii="Times New Roman" w:hAnsi="Times New Roman" w:eastAsia="宋体"/>
      <w:b/>
      <w:kern w:val="44"/>
      <w:sz w:val="44"/>
    </w:rPr>
  </w:style>
  <w:style w:type="paragraph" w:customStyle="1" w:styleId="21">
    <w:name w:val="标题四最终"/>
    <w:basedOn w:val="1"/>
    <w:autoRedefine/>
    <w:qFormat/>
    <w:uiPriority w:val="0"/>
    <w:pPr>
      <w:numPr>
        <w:ilvl w:val="3"/>
        <w:numId w:val="1"/>
      </w:numPr>
      <w:ind w:left="864" w:hanging="864"/>
    </w:pPr>
  </w:style>
  <w:style w:type="character" w:customStyle="1" w:styleId="22">
    <w:name w:val="ca-1"/>
    <w:basedOn w:val="1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1805</Words>
  <Characters>1921</Characters>
  <Lines>0</Lines>
  <Paragraphs>0</Paragraphs>
  <TotalTime>0</TotalTime>
  <ScaleCrop>false</ScaleCrop>
  <LinksUpToDate>false</LinksUpToDate>
  <CharactersWithSpaces>1962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2024-05-07T08:16:00Z</dcterms:created>
  <dc:creator>LH。</dc:creator>
  <cp:lastModifiedBy>ོʚ 中ོ然ོ ɞ</cp:lastModifiedBy>
  <cp:lastPrinted>2024-07-23T08:26:00Z</cp:lastPrinted>
  <dcterms:modified xsi:type="dcterms:W3CDTF">2024-12-10T03:21:10Z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BA733DE546F7445D818E16FD86869CD0_13</vt:lpwstr>
  </property>
</Properties>
</file>