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A2674">
      <w:pPr>
        <w:adjustRightInd w:val="0"/>
        <w:snapToGrid w:val="0"/>
        <w:spacing w:line="360" w:lineRule="auto"/>
        <w:jc w:val="center"/>
        <w:rPr>
          <w:b/>
          <w:bCs/>
          <w:color w:val="auto"/>
          <w:sz w:val="32"/>
          <w:szCs w:val="32"/>
        </w:rPr>
      </w:pPr>
      <w:bookmarkStart w:id="0" w:name="_Hlk124747957"/>
    </w:p>
    <w:p w14:paraId="2B76AEE8">
      <w:pPr>
        <w:adjustRightInd w:val="0"/>
        <w:snapToGrid w:val="0"/>
        <w:spacing w:line="360" w:lineRule="auto"/>
        <w:jc w:val="center"/>
        <w:rPr>
          <w:b/>
          <w:bCs/>
          <w:color w:val="auto"/>
          <w:sz w:val="32"/>
          <w:szCs w:val="32"/>
        </w:rPr>
      </w:pPr>
    </w:p>
    <w:p w14:paraId="07C6C0C4">
      <w:pPr>
        <w:pStyle w:val="10"/>
        <w:rPr>
          <w:b/>
          <w:bCs/>
          <w:color w:val="auto"/>
          <w:sz w:val="32"/>
          <w:szCs w:val="32"/>
        </w:rPr>
      </w:pPr>
    </w:p>
    <w:p w14:paraId="1F319347">
      <w:pPr>
        <w:rPr>
          <w:b/>
          <w:bCs/>
          <w:color w:val="auto"/>
          <w:sz w:val="32"/>
          <w:szCs w:val="32"/>
        </w:rPr>
      </w:pPr>
    </w:p>
    <w:p w14:paraId="1223B0C0">
      <w:pPr>
        <w:pStyle w:val="10"/>
        <w:rPr>
          <w:b/>
          <w:bCs/>
          <w:color w:val="auto"/>
          <w:sz w:val="32"/>
          <w:szCs w:val="32"/>
        </w:rPr>
      </w:pPr>
    </w:p>
    <w:p w14:paraId="448DD028">
      <w:pPr>
        <w:pStyle w:val="10"/>
        <w:ind w:left="0" w:leftChars="0" w:firstLine="0" w:firstLineChars="0"/>
        <w:rPr>
          <w:b/>
          <w:bCs/>
          <w:color w:val="auto"/>
          <w:sz w:val="32"/>
          <w:szCs w:val="32"/>
        </w:rPr>
      </w:pPr>
    </w:p>
    <w:p w14:paraId="4546C209">
      <w:pPr>
        <w:rPr>
          <w:color w:val="auto"/>
        </w:rPr>
      </w:pPr>
    </w:p>
    <w:p w14:paraId="460EEBB9">
      <w:pPr>
        <w:pStyle w:val="10"/>
        <w:rPr>
          <w:color w:val="auto"/>
        </w:rPr>
      </w:pPr>
    </w:p>
    <w:p w14:paraId="7535AF56">
      <w:pPr>
        <w:rPr>
          <w:color w:val="auto"/>
        </w:rPr>
      </w:pPr>
    </w:p>
    <w:p w14:paraId="12BE2D1C">
      <w:pPr>
        <w:autoSpaceDE w:val="0"/>
        <w:autoSpaceDN w:val="0"/>
        <w:adjustRightInd w:val="0"/>
        <w:snapToGrid w:val="0"/>
        <w:spacing w:line="560" w:lineRule="exact"/>
        <w:jc w:val="center"/>
        <w:rPr>
          <w:rFonts w:ascii="仿宋_GB2312" w:hAnsi="Times New Roman" w:eastAsia="仿宋_GB2312" w:cs="Arial"/>
          <w:color w:val="auto"/>
          <w:sz w:val="32"/>
          <w:szCs w:val="32"/>
          <w:highlight w:val="none"/>
          <w:lang w:bidi="en-US"/>
        </w:rPr>
      </w:pPr>
      <w:r>
        <w:rPr>
          <w:rFonts w:hint="eastAsia" w:ascii="仿宋_GB2312" w:hAnsi="Times New Roman" w:eastAsia="仿宋_GB2312" w:cs="Arial"/>
          <w:color w:val="auto"/>
          <w:sz w:val="32"/>
          <w:szCs w:val="32"/>
          <w:lang w:bidi="en-US"/>
        </w:rPr>
        <w:t>锡署环审书〔</w:t>
      </w:r>
      <w:r>
        <w:rPr>
          <w:rFonts w:hint="eastAsia" w:ascii="仿宋_GB2312" w:hAnsi="Times New Roman" w:eastAsia="仿宋_GB2312" w:cs="Arial"/>
          <w:color w:val="auto"/>
          <w:sz w:val="32"/>
          <w:szCs w:val="32"/>
          <w:highlight w:val="none"/>
          <w:lang w:bidi="en-US"/>
        </w:rPr>
        <w:t>202</w:t>
      </w:r>
      <w:r>
        <w:rPr>
          <w:rFonts w:hint="eastAsia" w:ascii="仿宋_GB2312" w:hAnsi="Times New Roman" w:eastAsia="仿宋_GB2312" w:cs="Arial"/>
          <w:color w:val="auto"/>
          <w:sz w:val="32"/>
          <w:szCs w:val="32"/>
          <w:highlight w:val="none"/>
          <w:lang w:val="en-US" w:eastAsia="zh-CN" w:bidi="en-US"/>
        </w:rPr>
        <w:t>4</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44</w:t>
      </w:r>
      <w:r>
        <w:rPr>
          <w:rFonts w:hint="eastAsia" w:ascii="仿宋_GB2312" w:hAnsi="Times New Roman" w:eastAsia="仿宋_GB2312" w:cs="Arial"/>
          <w:color w:val="auto"/>
          <w:sz w:val="32"/>
          <w:szCs w:val="32"/>
          <w:highlight w:val="none"/>
          <w:lang w:bidi="en-US"/>
        </w:rPr>
        <w:t>号</w:t>
      </w:r>
    </w:p>
    <w:p w14:paraId="4D37ACD5">
      <w:pPr>
        <w:adjustRightInd w:val="0"/>
        <w:snapToGrid w:val="0"/>
        <w:spacing w:line="360" w:lineRule="auto"/>
        <w:jc w:val="center"/>
        <w:rPr>
          <w:b/>
          <w:bCs/>
          <w:color w:val="auto"/>
          <w:sz w:val="32"/>
          <w:szCs w:val="32"/>
          <w:highlight w:val="none"/>
        </w:rPr>
      </w:pPr>
    </w:p>
    <w:p w14:paraId="78B0F42E">
      <w:pPr>
        <w:widowControl/>
        <w:spacing w:line="700" w:lineRule="exact"/>
        <w:jc w:val="center"/>
        <w:textAlignment w:val="baseline"/>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492854CA">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内蒙古先导新材料有限公司新型光电子材料产业化项目</w:t>
      </w:r>
      <w:r>
        <w:rPr>
          <w:rFonts w:hint="eastAsia" w:ascii="方正小标宋简体" w:hAnsi="方正小标宋简体" w:eastAsia="方正小标宋简体" w:cs="方正小标宋简体"/>
          <w:bCs/>
          <w:color w:val="auto"/>
          <w:sz w:val="44"/>
          <w:szCs w:val="44"/>
          <w:highlight w:val="none"/>
        </w:rPr>
        <w:t>环境影响报告书的批复</w:t>
      </w:r>
    </w:p>
    <w:p w14:paraId="05EAD291">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14:paraId="0D460E09">
      <w:pPr>
        <w:keepNext w:val="0"/>
        <w:keepLines w:val="0"/>
        <w:pageBreakBefore w:val="0"/>
        <w:widowControl w:val="0"/>
        <w:kinsoku/>
        <w:wordWrap/>
        <w:overflowPunct/>
        <w:autoSpaceDE w:val="0"/>
        <w:autoSpaceDN w:val="0"/>
        <w:bidi w:val="0"/>
        <w:adjustRightInd w:val="0"/>
        <w:snapToGrid w:val="0"/>
        <w:spacing w:line="56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内蒙古先导新材料有限公司</w:t>
      </w:r>
      <w:r>
        <w:rPr>
          <w:rFonts w:hint="eastAsia" w:ascii="仿宋_GB2312" w:hAnsi="仿宋_GB2312" w:eastAsia="仿宋_GB2312" w:cs="仿宋_GB2312"/>
          <w:color w:val="auto"/>
          <w:sz w:val="32"/>
          <w:szCs w:val="32"/>
          <w:lang w:bidi="en-US"/>
        </w:rPr>
        <w:t>：</w:t>
      </w:r>
    </w:p>
    <w:p w14:paraId="5552D516">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lang w:val="en-US" w:eastAsia="zh-CN" w:bidi="en-US"/>
        </w:rPr>
        <w:t>内蒙古先导新材料有限公司新型光电子材料产业化项目</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54D8BBD6">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640" w:firstLineChars="200"/>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一、项目概况</w:t>
      </w:r>
    </w:p>
    <w:p w14:paraId="54B9D223">
      <w:pPr>
        <w:pStyle w:val="25"/>
        <w:keepNext w:val="0"/>
        <w:keepLines w:val="0"/>
        <w:pageBreakBefore w:val="0"/>
        <w:widowControl w:val="0"/>
        <w:numPr>
          <w:ilvl w:val="0"/>
          <w:numId w:val="0"/>
        </w:numPr>
        <w:kinsoku/>
        <w:wordWrap/>
        <w:overflowPunct/>
        <w:bidi w:val="0"/>
        <w:spacing w:line="56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内蒙古先导新材料有限公司新型光电子材料产业化项目，</w:t>
      </w:r>
      <w:r>
        <w:rPr>
          <w:rFonts w:hint="eastAsia" w:ascii="仿宋_GB2312" w:hAnsi="仿宋_GB2312" w:eastAsia="仿宋_GB2312" w:cs="仿宋_GB2312"/>
          <w:b w:val="0"/>
          <w:bCs/>
          <w:color w:val="auto"/>
          <w:kern w:val="0"/>
          <w:sz w:val="32"/>
          <w:szCs w:val="32"/>
          <w:lang w:val="en-US" w:eastAsia="zh-CN" w:bidi="ar"/>
        </w:rPr>
        <w:t>位于锡林郭勒盟锡林浩特市锡林郭勒经济技术开发区能源装备制造园区，占地面积为</w:t>
      </w:r>
      <w:r>
        <w:rPr>
          <w:rFonts w:hint="eastAsia" w:ascii="仿宋_GB2312" w:hAnsi="仿宋_GB2312" w:eastAsia="仿宋_GB2312" w:cs="仿宋_GB2312"/>
          <w:color w:val="auto"/>
          <w:sz w:val="32"/>
          <w:szCs w:val="32"/>
          <w:highlight w:val="none"/>
          <w:lang w:val="en-US" w:eastAsia="zh-CN"/>
        </w:rPr>
        <w:t>281914.11</w:t>
      </w:r>
      <w:r>
        <w:rPr>
          <w:rFonts w:hint="eastAsia" w:ascii="仿宋_GB2312" w:hAnsi="仿宋_GB2312" w:eastAsia="仿宋_GB2312" w:cs="仿宋_GB2312"/>
          <w:b w:val="0"/>
          <w:bCs/>
          <w:color w:val="auto"/>
          <w:kern w:val="0"/>
          <w:sz w:val="32"/>
          <w:szCs w:val="32"/>
          <w:lang w:val="en-US" w:eastAsia="zh-CN" w:bidi="ar"/>
        </w:rPr>
        <w:t>平方米，总投资为</w:t>
      </w:r>
      <w:r>
        <w:rPr>
          <w:rFonts w:hint="eastAsia" w:ascii="仿宋_GB2312" w:hAnsi="仿宋_GB2312" w:eastAsia="仿宋_GB2312" w:cs="仿宋_GB2312"/>
          <w:color w:val="auto"/>
          <w:sz w:val="32"/>
          <w:szCs w:val="32"/>
          <w:highlight w:val="none"/>
          <w:lang w:val="en-US" w:eastAsia="zh-CN"/>
        </w:rPr>
        <w:t>400000</w:t>
      </w:r>
      <w:r>
        <w:rPr>
          <w:rFonts w:hint="eastAsia" w:ascii="仿宋_GB2312" w:hAnsi="仿宋_GB2312" w:eastAsia="仿宋_GB2312" w:cs="仿宋_GB2312"/>
          <w:b w:val="0"/>
          <w:bCs/>
          <w:color w:val="auto"/>
          <w:kern w:val="0"/>
          <w:sz w:val="32"/>
          <w:szCs w:val="32"/>
          <w:lang w:val="en-US" w:eastAsia="zh-CN" w:bidi="ar"/>
        </w:rPr>
        <w:t>万元，其中环保投资1250万元，占总投资比例为0.31%。</w:t>
      </w:r>
    </w:p>
    <w:p w14:paraId="5ACDA10A">
      <w:pPr>
        <w:pStyle w:val="25"/>
        <w:keepNext w:val="0"/>
        <w:keepLines w:val="0"/>
        <w:pageBreakBefore w:val="0"/>
        <w:widowControl w:val="0"/>
        <w:numPr>
          <w:ilvl w:val="0"/>
          <w:numId w:val="0"/>
        </w:numPr>
        <w:kinsoku/>
        <w:wordWrap/>
        <w:overflowPunct/>
        <w:bidi w:val="0"/>
        <w:spacing w:line="56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b w:val="0"/>
          <w:bCs/>
          <w:color w:val="auto"/>
          <w:kern w:val="0"/>
          <w:sz w:val="32"/>
          <w:szCs w:val="32"/>
          <w:lang w:val="en-US" w:eastAsia="zh-CN" w:bidi="ar"/>
        </w:rPr>
        <w:t>本项目拟建设碳化硅、碳化钽车间（内设碳化硅、碳化钽生产线）、蓝宝石车间（内设蓝宝石生产线）、太阳能铝边框车间（内设太阳能铝边框生产线）、高纯铝车间（内设高纯铝生产线）、高纯铜、钴、镍车间（内设高纯铜、钴、镍生产线）、高纯钛车间（内设高纯钛生产线）、高纯钽、铌车间（内设高纯钽、铌生产线）、超导合金车间（内设超导合金生产线）等其他公辅工程及环保工程。项目建成后形成碳化硅涂层产品20万套/年、碳化钽涂层产品10万套/年、太阳能铝边框50000吨/年、高纯铝1750吨/年、4英寸蓝宝石晶体200万毫米/年、6 英寸蓝宝石晶体130万毫米/年、8寸蓝宝石晶体400万毫米/年、高纯钽200吨/年、高纯铌1000吨/年、高纯铜2000吨/年、高纯镍300吨/年、高纯钛1000吨/年、高纯钴300吨 /年、铌钛合金5000吨/年产能。</w:t>
      </w:r>
    </w:p>
    <w:p w14:paraId="23192AC9">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040D9B29">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640" w:firstLineChars="200"/>
        <w:jc w:val="both"/>
        <w:textAlignment w:val="auto"/>
        <w:rPr>
          <w:rFonts w:hint="eastAsia"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二、工程设计、建设和运行过程中应做好以下工作：</w:t>
      </w:r>
    </w:p>
    <w:p w14:paraId="360F0920">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（一）严格落实各项大气污染防治措施。</w:t>
      </w:r>
    </w:p>
    <w:p w14:paraId="7B6D9EEE">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碳化硅、碳化钽生产线纯化过程产生的废气经冷凝且通过2级碱液洗涤塔处理后，由排气筒引至高空排放，其中颗粒物、氟化物有组织及无组织排放浓度须满足《大气污染物综合排放标准》（GB16297-1996）浓度限值要求；</w:t>
      </w:r>
    </w:p>
    <w:p w14:paraId="03642099">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碳化硅沉积过程产生的氯化氢，碳化钽沉积过程产生的氯化氢和非甲烷总烃均采用2级碱液洗涤塔处理后，由排气筒引至高空排放，其中氯化氢、</w:t>
      </w:r>
      <w:r>
        <w:rPr>
          <w:rFonts w:hint="eastAsia" w:ascii="仿宋_GB2312" w:hAnsi="仿宋_GB2312" w:eastAsia="仿宋_GB2312" w:cs="仿宋_GB2312"/>
          <w:color w:val="auto"/>
          <w:kern w:val="2"/>
          <w:sz w:val="32"/>
          <w:szCs w:val="32"/>
          <w:highlight w:val="none"/>
          <w:lang w:val="en-US" w:eastAsia="zh-CN" w:bidi="ar-SA"/>
        </w:rPr>
        <w:t>非甲烷总烃有组织及厂界无组织排放浓度</w:t>
      </w:r>
      <w:r>
        <w:rPr>
          <w:rFonts w:hint="eastAsia" w:ascii="仿宋_GB2312" w:hAnsi="仿宋_GB2312" w:eastAsia="仿宋_GB2312" w:cs="仿宋_GB2312"/>
          <w:color w:val="auto"/>
          <w:kern w:val="2"/>
          <w:sz w:val="32"/>
          <w:szCs w:val="32"/>
          <w:lang w:val="en-US" w:eastAsia="zh-CN" w:bidi="ar-SA"/>
        </w:rPr>
        <w:t>须满足《大气污染物综合排放标准》（GB16297-1996）浓度限值要求。同时非甲烷总烃厂内无组织排放浓度须满足《挥发性有机物无组织排放控制标准》（GB37822-2019）限值要求。</w:t>
      </w:r>
    </w:p>
    <w:p w14:paraId="6FE9B8F8">
      <w:pPr>
        <w:keepNext w:val="0"/>
        <w:keepLines w:val="0"/>
        <w:pageBreakBefore w:val="0"/>
        <w:widowControl w:val="0"/>
        <w:numPr>
          <w:ilvl w:val="0"/>
          <w:numId w:val="1"/>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太阳能边框铝型材铝锭熔化、精炼、铸棒环节废气，在熔炼炉、精炼炉、铸棒产生处均设有集气罩，废气通过集气罩收集且经布袋除尘器处理后由排气筒引至高空排放，其中颗粒物排放浓度须满足《铸造工业大气污染物排放标准》（GB39726-2020）浓度限值要求。同时颗粒物无组织排放浓度须满足《大气污染物综合排放标准》（GB 16297-1996）浓度限值要求。</w:t>
      </w:r>
    </w:p>
    <w:p w14:paraId="3741BA26">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脱脂、中和、氧化环节废气采用“槽边侧吸”方式对各生产线酸雾废气进行收集，废气通过收集且经碱液洗涤塔净化后，由排气筒引至高空排放，净化后的硫酸雾排放浓度须满足《电镀污染物排放标准》（GB21900-2008）浓度限值要求。同时硫酸雾无组织排放浓度须满足《大气污染物综合排放标准》（GB16297-1996）浓度限值要求。</w:t>
      </w:r>
    </w:p>
    <w:p w14:paraId="70C984C3">
      <w:pPr>
        <w:keepNext w:val="0"/>
        <w:keepLines w:val="0"/>
        <w:pageBreakBefore w:val="0"/>
        <w:widowControl w:val="0"/>
        <w:numPr>
          <w:ilvl w:val="0"/>
          <w:numId w:val="1"/>
        </w:numPr>
        <w:kinsoku/>
        <w:wordWrap/>
        <w:overflowPunct/>
        <w:autoSpaceDE w:val="0"/>
        <w:autoSpaceDN w:val="0"/>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高纯铝生产线电解槽烟气，电解槽上方设有集气罩，废气经收集且通过“氢氧化钙半干法脱酸+布袋除尘器”处理后由排气筒引至高空排放，其中颗粒物、氟化物有组织及无组织排放浓度均须满足《铝工业污染物排放标准》（GB25465-2010）浓度限值要求；氯化氢有组织及无组织排放浓度均须满足《大气污染物综合排放标准》（GB16297-1996）浓度限值要求。</w:t>
      </w:r>
    </w:p>
    <w:p w14:paraId="4783E6AF">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铝液熔化、铸锭废气电解质铸锭过程产生的废气经集气罩收集、布袋除尘器处理后，由排气筒引至高空排放，其中颗粒物有组织及无组织排放浓度均须满足《铸造工业大气污染物排放标准》（GB39726-2020）浓度限值要求。</w:t>
      </w:r>
    </w:p>
    <w:p w14:paraId="60DBFD68">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4、高纯铜生产线在水洗槽、电解槽上方设置集气罩，废气经洗涤塔处理后，由排气筒引至高空排放，其中氮氧化物有组织、无组织排放浓度均须满足《大气污染物综合排放标准》（GB16297-1996）浓度限值要求。</w:t>
      </w:r>
    </w:p>
    <w:p w14:paraId="274BD69B">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高纯钴生产线在电积槽上方设置大风量密闭集气罩，废气经收集且采用“硫代硫酸钠+碱液”两级洗涤塔处理后，由排气筒引至高空排放，其中氯化氢、氯气有组织及无组织排放浓度均须满足《铜、镍、钴工业污染物排放标准》（GB25467-2010）浓度限值要求。</w:t>
      </w:r>
    </w:p>
    <w:p w14:paraId="0852B0A7">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高纯镍生产线皂化、萃取、反萃过程中产生的有机废气经集气罩收集且通过“碱液+活性炭吸附”洗涤塔处理后，由排气筒引至高空排放，其中氯化氢有组织及无组织排放浓度均须满足《铜、镍、钴工业污染物排放标准》（GB25467-2010）浓度限值要求；非甲烷总烃有组织及厂界无组织排放浓度均须满足《大气污染物综合排放标准》（GB16297- 1996）浓度限值要求。同时非甲烷总烃厂内无组织排放浓度须满足《挥发性有机物无组织排放控制标准》（GB37822-2019）限值要求。</w:t>
      </w:r>
    </w:p>
    <w:p w14:paraId="22613962">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电积槽废气经集气罩收集且采用“硫代硫酸钠+碱液”两级洗涤塔处理后，由排气筒引至高空排放，其中氯化氢、氯气有组织及无组织排放浓度均须满足《铜、镍、钴工业污染物排放标准》（GB25467-2010）浓度限值要求。</w:t>
      </w:r>
    </w:p>
    <w:p w14:paraId="47F979D3">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7、高纯钛生产线真空电子束熔炼炉产生的颗粒物无组织排放浓度须满足《镁、钛工业污染物排放标准》（GB25468-2010）浓度限值要求。</w:t>
      </w:r>
    </w:p>
    <w:p w14:paraId="0BD872F9">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高纯钽生产线酸洗过程置于密闭空间，进出料过程产生的废气，经集气罩收集及碱液洗涤塔处理后，由排气筒引至高空排放，其中氟化物、氯化氢有组织、无组织排放浓度均须满足《大气污染物综合排放标准》（GB16297-1996）浓度限值要求。</w:t>
      </w:r>
    </w:p>
    <w:p w14:paraId="50C0B0A2">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高纯铌生产线铌粉、碳粉混料过程产生的废气利用集气罩收集、布袋除尘器处理后，由排气筒引至高空排放，其中颗粒物有组织、无组织排放浓度均须满足《大气污染物综合排放标准》（GB16297-1996）浓度限值要求。</w:t>
      </w:r>
    </w:p>
    <w:p w14:paraId="09F3BD7C">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10、超导合金生产线铌板轧制废气经集气罩收集、布袋除尘器处理后，由排气筒引至高空排放，其中颗粒物有组织及无组织排放浓度均须满足《大气污染物综合排放标准》（GB16297-1996）浓度限值要求。</w:t>
      </w:r>
    </w:p>
    <w:p w14:paraId="5FADA24C">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电极焊接废气利用集气罩收集、布袋除尘器处理后，由排气筒引至高空排放，其中颗粒物、锡及其化合物有组织及无组织排放浓度均须满足《大气污染物综合排放标准》（GB16297-1996）浓度限值要求。</w:t>
      </w:r>
    </w:p>
    <w:p w14:paraId="76180599">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sz w:val="32"/>
          <w:szCs w:val="32"/>
          <w:lang w:val="en-GB" w:eastAsia="zh-CN" w:bidi="en-US"/>
        </w:rPr>
        <w:t>严格按照《报告书》中的要求明确区分固废种类，项目运营期间产生的所有一般工业固废均暂存于一般固废暂存间，定期外售处理。危险废物均分类、分区暂存于规范化危废暂存间内，定期交由有资质单位处置。本项目产生的生活垃圾暂存在厂区封闭式垃圾箱，定期由园区环卫部门统一收集处置。</w:t>
      </w:r>
    </w:p>
    <w:p w14:paraId="502A032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8" w:firstLineChars="19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严格落实各项水污染防治措施。</w:t>
      </w:r>
      <w:r>
        <w:rPr>
          <w:rFonts w:hint="eastAsia" w:ascii="仿宋_GB2312" w:hAnsi="仿宋_GB2312" w:eastAsia="仿宋_GB2312" w:cs="仿宋_GB2312"/>
          <w:color w:val="auto"/>
          <w:sz w:val="32"/>
          <w:szCs w:val="32"/>
          <w:lang w:eastAsia="zh-CN" w:bidi="en-US"/>
        </w:rPr>
        <w:t>本项目运营期产生的废水主要为纯水制备、循环冷却水、各生产线产品清洗、酸洗废水、中和沉淀废水、碱液洗涤塔废水和生活污水。以上生产</w:t>
      </w:r>
      <w:r>
        <w:rPr>
          <w:rFonts w:hint="eastAsia" w:ascii="仿宋_GB2312" w:hAnsi="仿宋_GB2312" w:eastAsia="仿宋_GB2312" w:cs="仿宋_GB2312"/>
          <w:color w:val="auto"/>
          <w:sz w:val="32"/>
          <w:szCs w:val="32"/>
          <w:highlight w:val="none"/>
          <w:lang w:eastAsia="zh-CN" w:bidi="en-US"/>
        </w:rPr>
        <w:t>废水均经厂内污水处理站处理后，实现全</w:t>
      </w:r>
      <w:r>
        <w:rPr>
          <w:rFonts w:hint="eastAsia" w:ascii="仿宋_GB2312" w:hAnsi="仿宋_GB2312" w:eastAsia="仿宋_GB2312" w:cs="仿宋_GB2312"/>
          <w:color w:val="auto"/>
          <w:sz w:val="32"/>
          <w:szCs w:val="32"/>
          <w:lang w:eastAsia="zh-CN" w:bidi="en-US"/>
        </w:rPr>
        <w:t>部回用。生活污水经多级防渗化粪池处理后排放至市政污水管网。</w:t>
      </w:r>
    </w:p>
    <w:p w14:paraId="425331B1">
      <w:pPr>
        <w:keepNext w:val="0"/>
        <w:keepLines w:val="0"/>
        <w:pageBreakBefore w:val="0"/>
        <w:widowControl w:val="0"/>
        <w:numPr>
          <w:ilvl w:val="0"/>
          <w:numId w:val="3"/>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zh-TW" w:eastAsia="zh-TW" w:bidi="en-US"/>
        </w:rPr>
      </w:pPr>
      <w:r>
        <w:rPr>
          <w:rFonts w:hint="eastAsia" w:ascii="楷体" w:hAnsi="楷体" w:eastAsia="楷体" w:cs="楷体"/>
          <w:color w:val="auto"/>
          <w:kern w:val="2"/>
          <w:sz w:val="32"/>
          <w:szCs w:val="32"/>
          <w:lang w:val="en-US" w:eastAsia="zh-CN" w:bidi="ar-SA"/>
        </w:rPr>
        <w:t>严格落实噪声防治措施。</w:t>
      </w:r>
      <w:r>
        <w:rPr>
          <w:rFonts w:hint="eastAsia" w:ascii="仿宋_GB2312" w:hAnsi="仿宋_GB2312" w:eastAsia="仿宋_GB2312" w:cs="仿宋_GB2312"/>
          <w:color w:val="auto"/>
          <w:sz w:val="32"/>
          <w:szCs w:val="32"/>
          <w:lang w:bidi="en-US"/>
        </w:rPr>
        <w:t>本项目</w:t>
      </w:r>
      <w:r>
        <w:rPr>
          <w:rFonts w:hint="eastAsia" w:ascii="仿宋_GB2312" w:hAnsi="仿宋_GB2312" w:eastAsia="仿宋_GB2312" w:cs="仿宋_GB2312"/>
          <w:color w:val="auto"/>
          <w:sz w:val="32"/>
          <w:szCs w:val="32"/>
          <w:lang w:eastAsia="zh-CN" w:bidi="en-US"/>
        </w:rPr>
        <w:t>运营期</w:t>
      </w:r>
      <w:r>
        <w:rPr>
          <w:rFonts w:hint="eastAsia" w:ascii="仿宋_GB2312" w:hAnsi="仿宋_GB2312" w:eastAsia="仿宋_GB2312" w:cs="仿宋_GB2312"/>
          <w:color w:val="auto"/>
          <w:sz w:val="32"/>
          <w:szCs w:val="32"/>
          <w:lang w:bidi="en-US"/>
        </w:rPr>
        <w:t>噪声源主要为熔炼炉、电解槽、电弧炉、空压机等机械设备动力噪声。合理安排布置，高噪声设备应远离综合办公区，同时针对不同的声源采取相应的消声、隔音、减振、降噪措施，高噪设备均置于封闭车间内并加装减震基座，同时加强机械设备日常维护。运输车辆减速行驶，禁止鸣笛。最终噪声排放满足《工业企业厂界环境噪声排放标准》（GB12348-2008）3类标准限值要求。</w:t>
      </w:r>
    </w:p>
    <w:p w14:paraId="58C1A5C0">
      <w:pPr>
        <w:keepNext w:val="0"/>
        <w:keepLines w:val="0"/>
        <w:pageBreakBefore w:val="0"/>
        <w:widowControl w:val="0"/>
        <w:numPr>
          <w:ilvl w:val="0"/>
          <w:numId w:val="3"/>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zh-TW" w:eastAsia="zh-TW" w:bidi="en-US"/>
        </w:rPr>
      </w:pPr>
      <w:r>
        <w:rPr>
          <w:rFonts w:hint="eastAsia" w:ascii="楷体" w:hAnsi="楷体" w:eastAsia="楷体" w:cs="楷体"/>
          <w:color w:val="auto"/>
          <w:sz w:val="32"/>
          <w:szCs w:val="32"/>
          <w:lang w:eastAsia="zh-CN" w:bidi="en-US"/>
        </w:rPr>
        <w:t>严格落实各项环境风险防范措施</w:t>
      </w:r>
      <w:r>
        <w:rPr>
          <w:rFonts w:hint="eastAsia" w:ascii="楷体" w:hAnsi="楷体" w:eastAsia="楷体" w:cs="楷体"/>
          <w:color w:val="auto"/>
          <w:sz w:val="32"/>
          <w:szCs w:val="32"/>
          <w:lang w:bidi="en-US"/>
        </w:rPr>
        <w:t>。</w:t>
      </w:r>
      <w:r>
        <w:rPr>
          <w:rFonts w:hint="eastAsia" w:ascii="仿宋_GB2312" w:hAnsi="仿宋_GB2312" w:eastAsia="仿宋_GB2312" w:cs="仿宋_GB2312"/>
          <w:color w:val="000000"/>
          <w:kern w:val="2"/>
          <w:sz w:val="32"/>
          <w:szCs w:val="32"/>
          <w:lang w:val="en-US" w:eastAsia="zh-CN" w:bidi="ar-SA"/>
        </w:rPr>
        <w:t>落实环保设施安全生产工作，建立环保设备设施台账和维护管理制度。</w:t>
      </w:r>
      <w:r>
        <w:rPr>
          <w:rFonts w:hint="eastAsia" w:ascii="仿宋_GB2312" w:hAnsi="仿宋_GB2312" w:eastAsia="仿宋_GB2312" w:cs="仿宋_GB2312"/>
          <w:color w:val="auto"/>
          <w:sz w:val="32"/>
          <w:szCs w:val="32"/>
          <w:highlight w:val="none"/>
        </w:rPr>
        <w:t>严格落实各项风险防范措施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制定突发环境事件应急预案并定期开展应急演练，配备足够的应急队伍、设备和物资。按照分类管理、分级响应、区域联动的原则，做好项目与地方政府的突发环境事件联防联控工作，不断提升区域环境风险防范能力，有效防控区域环境风险。</w:t>
      </w:r>
    </w:p>
    <w:p w14:paraId="3A510F96">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（六）</w:t>
      </w:r>
      <w:r>
        <w:rPr>
          <w:rFonts w:hint="eastAsia" w:ascii="楷体" w:hAnsi="楷体" w:eastAsia="楷体" w:cs="楷体"/>
          <w:color w:val="auto"/>
          <w:sz w:val="32"/>
          <w:szCs w:val="32"/>
          <w:lang w:bidi="en-US"/>
        </w:rPr>
        <w:t>严格落实运营期污染源监测计划。</w:t>
      </w:r>
      <w:r>
        <w:rPr>
          <w:rFonts w:hint="eastAsia" w:ascii="仿宋_GB2312" w:hAnsi="仿宋_GB2312" w:eastAsia="仿宋_GB2312" w:cs="仿宋_GB2312"/>
          <w:color w:val="auto"/>
          <w:sz w:val="32"/>
          <w:szCs w:val="32"/>
          <w:lang w:bidi="en-US"/>
        </w:rPr>
        <w:t>按照相关标准、规范等要求，落实报告书提出的环境管理及监测计划，</w:t>
      </w:r>
      <w:r>
        <w:rPr>
          <w:rFonts w:hint="eastAsia" w:ascii="仿宋_GB2312" w:hAnsi="仿宋_GB2312" w:eastAsia="仿宋_GB2312" w:cs="仿宋_GB2312"/>
          <w:color w:val="auto"/>
          <w:sz w:val="32"/>
          <w:szCs w:val="32"/>
          <w:lang w:val="en-US" w:eastAsia="zh-CN" w:bidi="en-US"/>
        </w:rPr>
        <w:t>加强污染监控感知端建设，</w:t>
      </w:r>
      <w:r>
        <w:rPr>
          <w:rFonts w:hint="eastAsia" w:ascii="仿宋_GB2312" w:hAnsi="仿宋_GB2312" w:eastAsia="仿宋_GB2312" w:cs="仿宋_GB2312"/>
          <w:color w:val="auto"/>
          <w:sz w:val="32"/>
          <w:szCs w:val="32"/>
          <w:lang w:bidi="en-US"/>
        </w:rPr>
        <w:t>建立运营期污染源监测管理体系，并覆盖常规污染物、特征污染物。如出现污染物超标排放情况，应立即查明原因并采取进一步污染物减排措施。</w:t>
      </w:r>
      <w:bookmarkStart w:id="1" w:name="_GoBack"/>
      <w:bookmarkEnd w:id="1"/>
    </w:p>
    <w:p w14:paraId="6D23AEAF">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黑体" w:hAnsi="黑体" w:eastAsia="黑体" w:cs="黑体"/>
          <w:color w:val="auto"/>
          <w:sz w:val="32"/>
          <w:szCs w:val="32"/>
          <w:lang w:bidi="en-US"/>
        </w:rPr>
        <w:t>三、</w:t>
      </w:r>
      <w:r>
        <w:rPr>
          <w:rFonts w:hint="eastAsia" w:ascii="仿宋_GB2312" w:hAnsi="仿宋_GB2312" w:eastAsia="仿宋_GB2312" w:cs="仿宋_GB2312"/>
          <w:color w:val="auto"/>
          <w:sz w:val="32"/>
          <w:szCs w:val="32"/>
          <w:lang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58D4B6B3">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黑体" w:hAnsi="黑体" w:eastAsia="黑体" w:cs="黑体"/>
          <w:color w:val="auto"/>
          <w:sz w:val="32"/>
          <w:szCs w:val="32"/>
          <w:lang w:bidi="en-US"/>
        </w:rPr>
        <w:t>四、</w:t>
      </w:r>
      <w:r>
        <w:rPr>
          <w:rFonts w:hint="eastAsia" w:ascii="仿宋_GB2312" w:hAnsi="仿宋_GB2312" w:eastAsia="仿宋_GB2312" w:cs="仿宋_GB2312"/>
          <w:color w:val="auto"/>
          <w:sz w:val="32"/>
          <w:szCs w:val="32"/>
          <w:lang w:bidi="en-US"/>
        </w:rPr>
        <w:t>我局委托锡林郭勒盟生态环境局</w:t>
      </w:r>
      <w:r>
        <w:rPr>
          <w:rFonts w:hint="eastAsia" w:ascii="仿宋_GB2312" w:hAnsi="仿宋_GB2312" w:eastAsia="仿宋_GB2312" w:cs="仿宋_GB2312"/>
          <w:color w:val="auto"/>
          <w:sz w:val="32"/>
          <w:szCs w:val="32"/>
          <w:lang w:eastAsia="zh-CN" w:bidi="en-US"/>
        </w:rPr>
        <w:t>锡林浩特市分局</w:t>
      </w:r>
      <w:r>
        <w:rPr>
          <w:rFonts w:hint="eastAsia" w:ascii="仿宋_GB2312" w:hAnsi="仿宋_GB2312" w:eastAsia="仿宋_GB2312" w:cs="仿宋_GB2312"/>
          <w:color w:val="auto"/>
          <w:sz w:val="32"/>
          <w:szCs w:val="32"/>
          <w:lang w:bidi="en-US"/>
        </w:rPr>
        <w:t>对该项目各项污染防治措施落实情况进行监督检查和管理。</w:t>
      </w:r>
    </w:p>
    <w:p w14:paraId="22E4FA0C">
      <w:pPr>
        <w:rPr>
          <w:rFonts w:hint="eastAsia"/>
          <w:color w:val="auto"/>
        </w:rPr>
      </w:pPr>
    </w:p>
    <w:p w14:paraId="7E4DBF19">
      <w:pPr>
        <w:rPr>
          <w:rFonts w:hint="eastAsia"/>
          <w:color w:val="auto"/>
        </w:rPr>
      </w:pPr>
    </w:p>
    <w:p w14:paraId="1776A274">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58510F88">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 w:hAnsi="仿宋" w:eastAsia="仿宋_GB2312" w:cs="仿宋"/>
          <w:color w:val="auto"/>
          <w:highlight w:val="none"/>
          <w:lang w:val="en-US" w:eastAsia="zh-CN"/>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4</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12</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10</w:t>
      </w:r>
      <w:r>
        <w:rPr>
          <w:rFonts w:hint="eastAsia" w:ascii="仿宋_GB2312" w:hAnsi="仿宋_GB2312" w:eastAsia="仿宋_GB2312" w:cs="仿宋_GB2312"/>
          <w:color w:val="auto"/>
          <w:sz w:val="32"/>
          <w:szCs w:val="32"/>
          <w:highlight w:val="none"/>
          <w:lang w:bidi="en-US"/>
        </w:rPr>
        <w:t>日</w:t>
      </w:r>
    </w:p>
    <w:p w14:paraId="2A0CA17F">
      <w:pPr>
        <w:pStyle w:val="15"/>
        <w:rPr>
          <w:rFonts w:hint="eastAsia" w:ascii="仿宋" w:hAnsi="仿宋" w:eastAsia="仿宋" w:cs="仿宋"/>
          <w:color w:val="auto"/>
          <w:highlight w:val="none"/>
        </w:rPr>
      </w:pPr>
    </w:p>
    <w:p w14:paraId="588FEC99">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仿宋_GB2312" w:hAnsi="仿宋_GB2312" w:eastAsia="仿宋_GB2312" w:cs="仿宋_GB2312"/>
          <w:color w:val="auto"/>
          <w:sz w:val="32"/>
          <w:szCs w:val="32"/>
          <w:lang w:eastAsia="zh-CN" w:bidi="en-US"/>
        </w:rPr>
        <w:t>（此页无正文）</w:t>
      </w:r>
    </w:p>
    <w:p w14:paraId="11D5F282">
      <w:pPr>
        <w:rPr>
          <w:rFonts w:hint="eastAsia" w:ascii="仿宋" w:hAnsi="仿宋" w:eastAsia="仿宋" w:cs="仿宋"/>
          <w:color w:val="auto"/>
          <w:highlight w:val="none"/>
        </w:rPr>
      </w:pPr>
    </w:p>
    <w:p w14:paraId="609285B6">
      <w:pPr>
        <w:rPr>
          <w:rFonts w:hint="eastAsia" w:ascii="仿宋" w:hAnsi="仿宋" w:eastAsia="仿宋" w:cs="仿宋"/>
          <w:color w:val="auto"/>
          <w:highlight w:val="none"/>
        </w:rPr>
      </w:pPr>
    </w:p>
    <w:p w14:paraId="02E4DEDF">
      <w:pPr>
        <w:rPr>
          <w:rFonts w:hint="eastAsia" w:ascii="仿宋" w:hAnsi="仿宋" w:eastAsia="仿宋" w:cs="仿宋"/>
          <w:color w:val="auto"/>
          <w:highlight w:val="none"/>
        </w:rPr>
      </w:pPr>
    </w:p>
    <w:p w14:paraId="57F3AFB0">
      <w:pPr>
        <w:rPr>
          <w:rFonts w:hint="eastAsia" w:ascii="仿宋" w:hAnsi="仿宋" w:eastAsia="仿宋" w:cs="仿宋"/>
          <w:color w:val="auto"/>
          <w:highlight w:val="none"/>
        </w:rPr>
      </w:pPr>
    </w:p>
    <w:p w14:paraId="330B67F0">
      <w:pPr>
        <w:rPr>
          <w:rFonts w:hint="eastAsia" w:ascii="仿宋" w:hAnsi="仿宋" w:eastAsia="仿宋" w:cs="仿宋"/>
          <w:color w:val="auto"/>
          <w:highlight w:val="none"/>
        </w:rPr>
      </w:pPr>
    </w:p>
    <w:p w14:paraId="53F7BC1B">
      <w:pPr>
        <w:rPr>
          <w:rFonts w:hint="eastAsia" w:ascii="仿宋" w:hAnsi="仿宋" w:eastAsia="仿宋" w:cs="仿宋"/>
          <w:color w:val="auto"/>
          <w:highlight w:val="none"/>
        </w:rPr>
      </w:pPr>
    </w:p>
    <w:p w14:paraId="3DA9125D">
      <w:pPr>
        <w:rPr>
          <w:rFonts w:hint="eastAsia" w:ascii="仿宋" w:hAnsi="仿宋" w:eastAsia="仿宋" w:cs="仿宋"/>
          <w:color w:val="auto"/>
          <w:highlight w:val="none"/>
        </w:rPr>
      </w:pPr>
    </w:p>
    <w:p w14:paraId="36F5B781">
      <w:pPr>
        <w:rPr>
          <w:rFonts w:hint="eastAsia" w:ascii="仿宋" w:hAnsi="仿宋" w:eastAsia="仿宋" w:cs="仿宋"/>
          <w:color w:val="auto"/>
          <w:highlight w:val="none"/>
        </w:rPr>
      </w:pPr>
    </w:p>
    <w:p w14:paraId="14D738CC">
      <w:pPr>
        <w:rPr>
          <w:rFonts w:hint="eastAsia" w:ascii="仿宋" w:hAnsi="仿宋" w:eastAsia="仿宋" w:cs="仿宋"/>
          <w:color w:val="auto"/>
          <w:highlight w:val="none"/>
        </w:rPr>
      </w:pPr>
    </w:p>
    <w:p w14:paraId="282B22D8">
      <w:pPr>
        <w:rPr>
          <w:rFonts w:hint="eastAsia" w:ascii="仿宋" w:hAnsi="仿宋" w:eastAsia="仿宋" w:cs="仿宋"/>
          <w:color w:val="auto"/>
          <w:highlight w:val="none"/>
        </w:rPr>
      </w:pPr>
    </w:p>
    <w:p w14:paraId="044A5A34">
      <w:pPr>
        <w:rPr>
          <w:rFonts w:hint="eastAsia" w:ascii="仿宋" w:hAnsi="仿宋" w:eastAsia="仿宋" w:cs="仿宋"/>
          <w:color w:val="auto"/>
          <w:highlight w:val="none"/>
        </w:rPr>
      </w:pPr>
    </w:p>
    <w:p w14:paraId="112BCD0C">
      <w:pPr>
        <w:rPr>
          <w:rFonts w:hint="eastAsia" w:ascii="仿宋" w:hAnsi="仿宋" w:eastAsia="仿宋" w:cs="仿宋"/>
          <w:color w:val="auto"/>
          <w:highlight w:val="none"/>
        </w:rPr>
      </w:pPr>
    </w:p>
    <w:p w14:paraId="0ACDF26E">
      <w:pPr>
        <w:rPr>
          <w:rFonts w:hint="eastAsia" w:ascii="仿宋" w:hAnsi="仿宋" w:eastAsia="仿宋" w:cs="仿宋"/>
          <w:color w:val="auto"/>
          <w:highlight w:val="none"/>
        </w:rPr>
      </w:pPr>
    </w:p>
    <w:p w14:paraId="0EBB46FE">
      <w:pPr>
        <w:rPr>
          <w:rFonts w:hint="eastAsia" w:ascii="仿宋" w:hAnsi="仿宋" w:eastAsia="仿宋" w:cs="仿宋"/>
          <w:color w:val="auto"/>
          <w:highlight w:val="none"/>
        </w:rPr>
      </w:pPr>
    </w:p>
    <w:p w14:paraId="49AA39F6">
      <w:pPr>
        <w:rPr>
          <w:rFonts w:hint="eastAsia" w:ascii="仿宋" w:hAnsi="仿宋" w:eastAsia="仿宋" w:cs="仿宋"/>
          <w:color w:val="auto"/>
          <w:highlight w:val="none"/>
        </w:rPr>
      </w:pPr>
    </w:p>
    <w:p w14:paraId="40B9F372">
      <w:pPr>
        <w:rPr>
          <w:rFonts w:hint="eastAsia" w:ascii="仿宋" w:hAnsi="仿宋" w:eastAsia="仿宋" w:cs="仿宋"/>
          <w:color w:val="auto"/>
          <w:highlight w:val="none"/>
        </w:rPr>
      </w:pPr>
    </w:p>
    <w:p w14:paraId="4CAC125B">
      <w:pPr>
        <w:rPr>
          <w:rFonts w:hint="eastAsia" w:ascii="仿宋" w:hAnsi="仿宋" w:eastAsia="仿宋" w:cs="仿宋"/>
          <w:color w:val="auto"/>
          <w:highlight w:val="none"/>
        </w:rPr>
      </w:pPr>
    </w:p>
    <w:p w14:paraId="6E91D0D0">
      <w:pPr>
        <w:rPr>
          <w:rFonts w:hint="eastAsia" w:ascii="仿宋" w:hAnsi="仿宋" w:eastAsia="仿宋" w:cs="仿宋"/>
          <w:color w:val="auto"/>
          <w:highlight w:val="none"/>
        </w:rPr>
      </w:pPr>
    </w:p>
    <w:p w14:paraId="1B646D7D">
      <w:pPr>
        <w:rPr>
          <w:rFonts w:hint="eastAsia" w:ascii="仿宋" w:hAnsi="仿宋" w:eastAsia="仿宋" w:cs="仿宋"/>
          <w:color w:val="auto"/>
          <w:highlight w:val="none"/>
        </w:rPr>
      </w:pPr>
    </w:p>
    <w:p w14:paraId="44CCE4F8">
      <w:pPr>
        <w:rPr>
          <w:rFonts w:hint="eastAsia" w:ascii="仿宋" w:hAnsi="仿宋" w:eastAsia="仿宋" w:cs="仿宋"/>
          <w:color w:val="auto"/>
          <w:highlight w:val="none"/>
        </w:rPr>
      </w:pPr>
    </w:p>
    <w:p w14:paraId="59E9D8AE">
      <w:pPr>
        <w:rPr>
          <w:rFonts w:hint="eastAsia" w:ascii="仿宋" w:hAnsi="仿宋" w:eastAsia="仿宋" w:cs="仿宋"/>
          <w:color w:val="auto"/>
          <w:highlight w:val="none"/>
        </w:rPr>
      </w:pPr>
    </w:p>
    <w:p w14:paraId="7F8DC814">
      <w:pPr>
        <w:rPr>
          <w:rFonts w:hint="eastAsia" w:ascii="仿宋" w:hAnsi="仿宋" w:eastAsia="仿宋" w:cs="仿宋"/>
          <w:color w:val="auto"/>
          <w:highlight w:val="none"/>
        </w:rPr>
      </w:pPr>
    </w:p>
    <w:p w14:paraId="3938E342">
      <w:pPr>
        <w:rPr>
          <w:rFonts w:hint="eastAsia" w:ascii="仿宋" w:hAnsi="仿宋" w:eastAsia="仿宋" w:cs="仿宋"/>
          <w:color w:val="auto"/>
          <w:highlight w:val="none"/>
        </w:rPr>
      </w:pPr>
    </w:p>
    <w:p w14:paraId="47B357DE">
      <w:pPr>
        <w:rPr>
          <w:rFonts w:hint="eastAsia" w:ascii="仿宋" w:hAnsi="仿宋" w:eastAsia="仿宋" w:cs="仿宋"/>
          <w:color w:val="auto"/>
          <w:highlight w:val="none"/>
        </w:rPr>
      </w:pPr>
    </w:p>
    <w:p w14:paraId="763D61A2">
      <w:pPr>
        <w:rPr>
          <w:rFonts w:hint="eastAsia" w:ascii="仿宋" w:hAnsi="仿宋" w:eastAsia="仿宋" w:cs="仿宋"/>
          <w:color w:val="auto"/>
          <w:highlight w:val="none"/>
        </w:rPr>
      </w:pPr>
    </w:p>
    <w:p w14:paraId="49F750E1">
      <w:pPr>
        <w:rPr>
          <w:rFonts w:hint="eastAsia" w:ascii="仿宋" w:hAnsi="仿宋" w:eastAsia="仿宋" w:cs="仿宋"/>
          <w:color w:val="auto"/>
          <w:highlight w:val="none"/>
        </w:rPr>
      </w:pPr>
    </w:p>
    <w:p w14:paraId="433C2594">
      <w:pPr>
        <w:rPr>
          <w:rFonts w:hint="eastAsia" w:ascii="仿宋" w:hAnsi="仿宋" w:eastAsia="仿宋" w:cs="仿宋"/>
          <w:color w:val="auto"/>
          <w:highlight w:val="none"/>
        </w:rPr>
      </w:pPr>
    </w:p>
    <w:p w14:paraId="39A48FD5">
      <w:pPr>
        <w:rPr>
          <w:rFonts w:hint="eastAsia" w:ascii="仿宋" w:hAnsi="仿宋" w:eastAsia="仿宋" w:cs="仿宋"/>
          <w:color w:val="auto"/>
          <w:highlight w:val="none"/>
        </w:rPr>
      </w:pPr>
    </w:p>
    <w:p w14:paraId="5636CE86">
      <w:pPr>
        <w:rPr>
          <w:rFonts w:hint="eastAsia" w:ascii="仿宋" w:hAnsi="仿宋" w:eastAsia="仿宋" w:cs="仿宋"/>
          <w:color w:val="auto"/>
          <w:highlight w:val="none"/>
        </w:rPr>
      </w:pPr>
    </w:p>
    <w:p w14:paraId="3708CFDD">
      <w:pPr>
        <w:rPr>
          <w:rFonts w:hint="eastAsia" w:ascii="仿宋" w:hAnsi="仿宋" w:eastAsia="仿宋" w:cs="仿宋"/>
          <w:color w:val="auto"/>
          <w:highlight w:val="none"/>
        </w:rPr>
      </w:pPr>
    </w:p>
    <w:p w14:paraId="715145CD">
      <w:pPr>
        <w:rPr>
          <w:rFonts w:hint="eastAsia" w:ascii="仿宋" w:hAnsi="仿宋" w:eastAsia="仿宋" w:cs="仿宋"/>
          <w:color w:val="auto"/>
          <w:highlight w:val="none"/>
        </w:rPr>
      </w:pPr>
    </w:p>
    <w:p w14:paraId="720AE9E3">
      <w:pPr>
        <w:rPr>
          <w:rFonts w:hint="eastAsia" w:ascii="仿宋" w:hAnsi="仿宋" w:eastAsia="仿宋" w:cs="仿宋"/>
          <w:color w:val="auto"/>
          <w:highlight w:val="none"/>
        </w:rPr>
      </w:pPr>
    </w:p>
    <w:p w14:paraId="41315167">
      <w:pPr>
        <w:rPr>
          <w:rFonts w:hint="eastAsia" w:ascii="仿宋" w:hAnsi="仿宋" w:eastAsia="仿宋" w:cs="仿宋"/>
          <w:color w:val="auto"/>
          <w:highlight w:val="none"/>
        </w:rPr>
      </w:pPr>
    </w:p>
    <w:p w14:paraId="39ADF9CB">
      <w:pPr>
        <w:rPr>
          <w:rFonts w:hint="eastAsia" w:ascii="仿宋" w:hAnsi="仿宋" w:eastAsia="仿宋" w:cs="仿宋"/>
          <w:color w:val="auto"/>
          <w:highlight w:val="none"/>
        </w:rPr>
      </w:pPr>
    </w:p>
    <w:p w14:paraId="33F4715A">
      <w:pPr>
        <w:rPr>
          <w:rFonts w:hint="eastAsia" w:ascii="仿宋" w:hAnsi="仿宋" w:eastAsia="仿宋" w:cs="仿宋"/>
          <w:color w:val="auto"/>
          <w:highlight w:val="none"/>
        </w:rPr>
      </w:pPr>
    </w:p>
    <w:p w14:paraId="0A309F94">
      <w:pPr>
        <w:rPr>
          <w:rFonts w:hint="eastAsia" w:ascii="仿宋" w:hAnsi="仿宋" w:eastAsia="仿宋" w:cs="仿宋"/>
          <w:color w:val="auto"/>
          <w:highlight w:val="none"/>
        </w:rPr>
      </w:pPr>
    </w:p>
    <w:p w14:paraId="4CBA2305">
      <w:pPr>
        <w:rPr>
          <w:rFonts w:hint="eastAsia" w:ascii="仿宋" w:hAnsi="仿宋" w:eastAsia="仿宋" w:cs="仿宋"/>
          <w:color w:val="auto"/>
          <w:highlight w:val="none"/>
        </w:rPr>
      </w:pPr>
    </w:p>
    <w:p w14:paraId="18A7785D">
      <w:pPr>
        <w:rPr>
          <w:rFonts w:hint="eastAsia" w:ascii="仿宋" w:hAnsi="仿宋" w:eastAsia="仿宋" w:cs="仿宋"/>
          <w:color w:val="auto"/>
          <w:highlight w:val="none"/>
        </w:rPr>
      </w:pPr>
    </w:p>
    <w:p w14:paraId="7E1A2299">
      <w:pPr>
        <w:rPr>
          <w:rFonts w:hint="eastAsia" w:ascii="仿宋" w:hAnsi="仿宋" w:eastAsia="仿宋" w:cs="仿宋"/>
          <w:color w:val="auto"/>
          <w:highlight w:val="none"/>
        </w:rPr>
      </w:pPr>
    </w:p>
    <w:p w14:paraId="5425D187">
      <w:pPr>
        <w:pStyle w:val="15"/>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盟生态环境局</w:t>
      </w:r>
      <w:r>
        <w:rPr>
          <w:rFonts w:hint="eastAsia" w:ascii="仿宋" w:hAnsi="仿宋" w:eastAsia="仿宋" w:cs="仿宋"/>
          <w:color w:val="auto"/>
          <w:kern w:val="2"/>
          <w:sz w:val="28"/>
          <w:szCs w:val="28"/>
          <w:highlight w:val="none"/>
          <w:lang w:eastAsia="zh-CN" w:bidi="en-US"/>
        </w:rPr>
        <w:t>锡林浩特市分局</w:t>
      </w:r>
    </w:p>
    <w:p w14:paraId="22015473">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341C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DF75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6DF754">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EEF49"/>
    <w:multiLevelType w:val="singleLevel"/>
    <w:tmpl w:val="DBDEEF49"/>
    <w:lvl w:ilvl="0" w:tentative="0">
      <w:start w:val="3"/>
      <w:numFmt w:val="chineseCounting"/>
      <w:suff w:val="nothing"/>
      <w:lvlText w:val="（%1）"/>
      <w:lvlJc w:val="left"/>
      <w:rPr>
        <w:rFonts w:hint="eastAsia"/>
      </w:rPr>
    </w:lvl>
  </w:abstractNum>
  <w:abstractNum w:abstractNumId="1">
    <w:nsid w:val="FDECE0EE"/>
    <w:multiLevelType w:val="singleLevel"/>
    <w:tmpl w:val="FDECE0EE"/>
    <w:lvl w:ilvl="0" w:tentative="0">
      <w:start w:val="2"/>
      <w:numFmt w:val="decimal"/>
      <w:suff w:val="nothing"/>
      <w:lvlText w:val="%1、"/>
      <w:lvlJc w:val="left"/>
    </w:lvl>
  </w:abstractNum>
  <w:abstractNum w:abstractNumId="2">
    <w:nsid w:val="4B940A54"/>
    <w:multiLevelType w:val="singleLevel"/>
    <w:tmpl w:val="4B940A54"/>
    <w:lvl w:ilvl="0" w:tentative="0">
      <w:start w:val="4"/>
      <w:numFmt w:val="chineseCounting"/>
      <w:suff w:val="nothing"/>
      <w:lvlText w:val="（%1）"/>
      <w:lvlJc w:val="left"/>
      <w:rPr>
        <w:rFonts w:hint="eastAsia" w:ascii="楷体" w:hAnsi="楷体" w:eastAsia="楷体" w:cs="楷体"/>
        <w:b w:val="0"/>
        <w:bCs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33C2BF5"/>
    <w:rsid w:val="04082137"/>
    <w:rsid w:val="04D60042"/>
    <w:rsid w:val="05FD1001"/>
    <w:rsid w:val="064265FE"/>
    <w:rsid w:val="065A7A8E"/>
    <w:rsid w:val="073E518E"/>
    <w:rsid w:val="07E80A5E"/>
    <w:rsid w:val="08125FE6"/>
    <w:rsid w:val="09F707CE"/>
    <w:rsid w:val="0A055186"/>
    <w:rsid w:val="0C7A4895"/>
    <w:rsid w:val="0D6D6C1D"/>
    <w:rsid w:val="0EE27BE5"/>
    <w:rsid w:val="109F048E"/>
    <w:rsid w:val="133A3E29"/>
    <w:rsid w:val="134A4ECA"/>
    <w:rsid w:val="1B7C0676"/>
    <w:rsid w:val="1BF2CB73"/>
    <w:rsid w:val="1D61177E"/>
    <w:rsid w:val="1F9C573C"/>
    <w:rsid w:val="22B733D3"/>
    <w:rsid w:val="29D8150D"/>
    <w:rsid w:val="2CF929A0"/>
    <w:rsid w:val="2F1F3E8C"/>
    <w:rsid w:val="2F2B74F6"/>
    <w:rsid w:val="2F7E7F6E"/>
    <w:rsid w:val="3AD90E3C"/>
    <w:rsid w:val="3FC31BD1"/>
    <w:rsid w:val="445D3A2B"/>
    <w:rsid w:val="466622E2"/>
    <w:rsid w:val="46B26845"/>
    <w:rsid w:val="4A3B72B4"/>
    <w:rsid w:val="4CDD40CE"/>
    <w:rsid w:val="501114FC"/>
    <w:rsid w:val="56990422"/>
    <w:rsid w:val="5C1271C4"/>
    <w:rsid w:val="5DFFD6AD"/>
    <w:rsid w:val="5FA70BB0"/>
    <w:rsid w:val="617526E2"/>
    <w:rsid w:val="640E5DD6"/>
    <w:rsid w:val="65980358"/>
    <w:rsid w:val="67927E4C"/>
    <w:rsid w:val="68387D94"/>
    <w:rsid w:val="69BE5E32"/>
    <w:rsid w:val="69CC12A6"/>
    <w:rsid w:val="6E1A4AAF"/>
    <w:rsid w:val="6F173018"/>
    <w:rsid w:val="6FD159E5"/>
    <w:rsid w:val="6FEE6D0C"/>
    <w:rsid w:val="70EA0941"/>
    <w:rsid w:val="738745C9"/>
    <w:rsid w:val="776575C6"/>
    <w:rsid w:val="77A04D8F"/>
    <w:rsid w:val="78CC1696"/>
    <w:rsid w:val="795254DD"/>
    <w:rsid w:val="797A734F"/>
    <w:rsid w:val="7AC1646F"/>
    <w:rsid w:val="7CE53CE8"/>
    <w:rsid w:val="7D700E4E"/>
    <w:rsid w:val="7D9F9F4C"/>
    <w:rsid w:val="7E5356DB"/>
    <w:rsid w:val="7F6C2C5A"/>
    <w:rsid w:val="7FD6261A"/>
    <w:rsid w:val="97FFBFF7"/>
    <w:rsid w:val="B6FB1ACB"/>
    <w:rsid w:val="BBFD157B"/>
    <w:rsid w:val="BBFFB394"/>
    <w:rsid w:val="CF77A9DB"/>
    <w:rsid w:val="DBD5EE8A"/>
    <w:rsid w:val="F4FE1E3B"/>
    <w:rsid w:val="FE9F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szCs w:val="24"/>
    </w:rPr>
  </w:style>
  <w:style w:type="paragraph" w:styleId="4">
    <w:name w:val="annotation text"/>
    <w:basedOn w:val="1"/>
    <w:link w:val="23"/>
    <w:semiHidden/>
    <w:unhideWhenUsed/>
    <w:qFormat/>
    <w:uiPriority w:val="99"/>
    <w:pPr>
      <w:jc w:val="left"/>
    </w:pPr>
  </w:style>
  <w:style w:type="paragraph" w:styleId="5">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284"/>
        <w:tab w:val="right" w:leader="dot" w:pos="8296"/>
      </w:tabs>
    </w:pPr>
  </w:style>
  <w:style w:type="paragraph" w:styleId="9">
    <w:name w:val="annotation subject"/>
    <w:basedOn w:val="4"/>
    <w:next w:val="4"/>
    <w:link w:val="24"/>
    <w:semiHidden/>
    <w:unhideWhenUsed/>
    <w:qFormat/>
    <w:uiPriority w:val="99"/>
    <w:rPr>
      <w:b/>
      <w:bCs/>
    </w:rPr>
  </w:style>
  <w:style w:type="paragraph" w:styleId="10">
    <w:name w:val="Body Text First Indent 2"/>
    <w:basedOn w:val="5"/>
    <w:next w:val="1"/>
    <w:qFormat/>
    <w:uiPriority w:val="0"/>
    <w:pPr>
      <w:adjustRightInd w:val="0"/>
      <w:ind w:firstLine="420"/>
      <w:textAlignment w:val="baseline"/>
    </w:pPr>
    <w:rPr>
      <w:rFonts w:ascii="宋体" w:hAnsi="宋体"/>
      <w:sz w:val="18"/>
      <w:szCs w:val="18"/>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Default"/>
    <w:basedOn w:val="16"/>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纯文本1"/>
    <w:basedOn w:val="1"/>
    <w:qFormat/>
    <w:uiPriority w:val="0"/>
    <w:rPr>
      <w:rFonts w:ascii="宋体" w:hAnsi="Courier New"/>
      <w:szCs w:val="20"/>
    </w:rPr>
  </w:style>
  <w:style w:type="paragraph" w:customStyle="1" w:styleId="17">
    <w:name w:val="正文1"/>
    <w:basedOn w:val="15"/>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7"/>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4"/>
    <w:semiHidden/>
    <w:qFormat/>
    <w:uiPriority w:val="99"/>
    <w:rPr>
      <w:kern w:val="2"/>
      <w:sz w:val="21"/>
      <w:szCs w:val="22"/>
    </w:rPr>
  </w:style>
  <w:style w:type="character" w:customStyle="1" w:styleId="24">
    <w:name w:val="批注主题 字符"/>
    <w:basedOn w:val="23"/>
    <w:link w:val="9"/>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3396</Words>
  <Characters>3704</Characters>
  <Lines>19</Lines>
  <Paragraphs>5</Paragraphs>
  <TotalTime>1</TotalTime>
  <ScaleCrop>false</ScaleCrop>
  <LinksUpToDate>false</LinksUpToDate>
  <CharactersWithSpaces>3721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2023-01-31T09:32:00Z</dcterms:created>
  <dc:creator>hui hui</dc:creator>
  <cp:lastModifiedBy>ོʚ 中ོ然ོ ɞ</cp:lastModifiedBy>
  <cp:lastPrinted>2023-01-31T09:39:00Z</cp:lastPrinted>
  <dcterms:modified xsi:type="dcterms:W3CDTF">2024-12-10T09:17:32Z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CD303BA2E7C34248AB8DFC3CB85D95F9_13</vt:lpwstr>
  </property>
</Properties>
</file>