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8E72">
      <w:pPr>
        <w:autoSpaceDE w:val="0"/>
        <w:autoSpaceDN w:val="0"/>
        <w:adjustRightInd w:val="0"/>
        <w:snapToGrid w:val="0"/>
        <w:spacing w:line="560" w:lineRule="exact"/>
        <w:jc w:val="center"/>
        <w:rPr>
          <w:rFonts w:hint="eastAsia" w:ascii="仿宋_GB2312" w:hAnsi="Times New Roman" w:eastAsia="仿宋_GB2312" w:cs="Arial"/>
          <w:color w:val="000000"/>
          <w:sz w:val="32"/>
          <w:szCs w:val="32"/>
          <w:lang w:bidi="en-US"/>
        </w:rPr>
      </w:pPr>
      <w:bookmarkStart w:id="0" w:name="_Hlk124747957"/>
    </w:p>
    <w:p w14:paraId="0DA6EDCA">
      <w:pPr>
        <w:autoSpaceDE w:val="0"/>
        <w:autoSpaceDN w:val="0"/>
        <w:adjustRightInd w:val="0"/>
        <w:snapToGrid w:val="0"/>
        <w:spacing w:line="560" w:lineRule="exact"/>
        <w:jc w:val="center"/>
        <w:rPr>
          <w:rFonts w:hint="eastAsia" w:ascii="仿宋_GB2312" w:hAnsi="Times New Roman" w:eastAsia="仿宋_GB2312" w:cs="Arial"/>
          <w:color w:val="000000"/>
          <w:sz w:val="32"/>
          <w:szCs w:val="32"/>
          <w:lang w:bidi="en-US"/>
        </w:rPr>
      </w:pPr>
    </w:p>
    <w:p w14:paraId="0EC86922">
      <w:pPr>
        <w:autoSpaceDE w:val="0"/>
        <w:autoSpaceDN w:val="0"/>
        <w:adjustRightInd w:val="0"/>
        <w:snapToGrid w:val="0"/>
        <w:spacing w:line="560" w:lineRule="exact"/>
        <w:jc w:val="center"/>
        <w:rPr>
          <w:rFonts w:hint="eastAsia" w:ascii="仿宋_GB2312" w:hAnsi="Times New Roman" w:eastAsia="仿宋_GB2312" w:cs="Arial"/>
          <w:color w:val="000000"/>
          <w:sz w:val="32"/>
          <w:szCs w:val="32"/>
          <w:lang w:bidi="en-US"/>
        </w:rPr>
      </w:pPr>
    </w:p>
    <w:p w14:paraId="44571463">
      <w:pPr>
        <w:autoSpaceDE w:val="0"/>
        <w:autoSpaceDN w:val="0"/>
        <w:adjustRightInd w:val="0"/>
        <w:snapToGrid w:val="0"/>
        <w:spacing w:line="560" w:lineRule="exact"/>
        <w:jc w:val="center"/>
        <w:rPr>
          <w:rFonts w:hint="eastAsia" w:ascii="仿宋_GB2312" w:hAnsi="Times New Roman" w:eastAsia="仿宋_GB2312" w:cs="Arial"/>
          <w:color w:val="000000"/>
          <w:sz w:val="32"/>
          <w:szCs w:val="32"/>
          <w:lang w:bidi="en-US"/>
        </w:rPr>
      </w:pPr>
    </w:p>
    <w:p w14:paraId="2E501E7C">
      <w:pPr>
        <w:autoSpaceDE w:val="0"/>
        <w:autoSpaceDN w:val="0"/>
        <w:adjustRightInd w:val="0"/>
        <w:snapToGrid w:val="0"/>
        <w:spacing w:line="560" w:lineRule="exact"/>
        <w:jc w:val="center"/>
        <w:rPr>
          <w:rFonts w:hint="eastAsia" w:ascii="仿宋_GB2312" w:hAnsi="Times New Roman" w:eastAsia="仿宋_GB2312" w:cs="Arial"/>
          <w:color w:val="000000"/>
          <w:sz w:val="32"/>
          <w:szCs w:val="32"/>
          <w:lang w:bidi="en-US"/>
        </w:rPr>
      </w:pPr>
    </w:p>
    <w:p w14:paraId="278F2B36">
      <w:pPr>
        <w:autoSpaceDE w:val="0"/>
        <w:autoSpaceDN w:val="0"/>
        <w:adjustRightInd w:val="0"/>
        <w:snapToGrid w:val="0"/>
        <w:spacing w:line="560" w:lineRule="exact"/>
        <w:jc w:val="center"/>
        <w:rPr>
          <w:rFonts w:hint="eastAsia" w:ascii="仿宋_GB2312" w:hAnsi="Times New Roman" w:eastAsia="仿宋_GB2312" w:cs="Arial"/>
          <w:color w:val="000000"/>
          <w:sz w:val="32"/>
          <w:szCs w:val="32"/>
          <w:lang w:bidi="en-US"/>
        </w:rPr>
      </w:pPr>
    </w:p>
    <w:p w14:paraId="390103EC">
      <w:pPr>
        <w:autoSpaceDE w:val="0"/>
        <w:autoSpaceDN w:val="0"/>
        <w:adjustRightInd w:val="0"/>
        <w:snapToGrid w:val="0"/>
        <w:spacing w:line="560" w:lineRule="exact"/>
        <w:jc w:val="center"/>
        <w:rPr>
          <w:rFonts w:hint="eastAsia" w:ascii="仿宋_GB2312" w:hAnsi="Times New Roman" w:eastAsia="仿宋_GB2312" w:cs="Arial"/>
          <w:color w:val="000000"/>
          <w:sz w:val="32"/>
          <w:szCs w:val="32"/>
          <w:lang w:bidi="en-US"/>
        </w:rPr>
      </w:pPr>
    </w:p>
    <w:p w14:paraId="3BB18BFD">
      <w:pPr>
        <w:pStyle w:val="2"/>
        <w:rPr>
          <w:rFonts w:hint="eastAsia" w:ascii="仿宋_GB2312" w:hAnsi="Times New Roman" w:eastAsia="仿宋_GB2312" w:cs="Arial"/>
          <w:color w:val="000000"/>
          <w:sz w:val="32"/>
          <w:szCs w:val="32"/>
          <w:lang w:bidi="en-US"/>
        </w:rPr>
      </w:pPr>
    </w:p>
    <w:p w14:paraId="45BDFDC1">
      <w:pPr>
        <w:rPr>
          <w:rFonts w:hint="eastAsia"/>
        </w:rPr>
      </w:pPr>
    </w:p>
    <w:p w14:paraId="6FC4A685">
      <w:pPr>
        <w:autoSpaceDE w:val="0"/>
        <w:autoSpaceDN w:val="0"/>
        <w:adjustRightInd w:val="0"/>
        <w:snapToGrid w:val="0"/>
        <w:spacing w:line="560" w:lineRule="exact"/>
        <w:jc w:val="center"/>
        <w:rPr>
          <w:rFonts w:ascii="仿宋_GB2312" w:hAnsi="Times New Roman" w:eastAsia="仿宋_GB2312" w:cs="Arial"/>
          <w:color w:val="000000"/>
          <w:sz w:val="32"/>
          <w:szCs w:val="32"/>
          <w:lang w:bidi="en-US"/>
        </w:rPr>
      </w:pPr>
      <w:r>
        <w:rPr>
          <w:rFonts w:hint="eastAsia" w:ascii="仿宋_GB2312" w:hAnsi="Times New Roman" w:eastAsia="仿宋_GB2312" w:cs="Arial"/>
          <w:color w:val="000000"/>
          <w:sz w:val="32"/>
          <w:szCs w:val="32"/>
          <w:lang w:bidi="en-US"/>
        </w:rPr>
        <w:t>锡署环审书〔202</w:t>
      </w:r>
      <w:r>
        <w:rPr>
          <w:rFonts w:hint="eastAsia" w:ascii="仿宋_GB2312" w:hAnsi="Times New Roman" w:eastAsia="仿宋_GB2312" w:cs="Arial"/>
          <w:color w:val="000000"/>
          <w:sz w:val="32"/>
          <w:szCs w:val="32"/>
          <w:lang w:val="en-US" w:eastAsia="zh-CN" w:bidi="en-US"/>
        </w:rPr>
        <w:t>4</w:t>
      </w:r>
      <w:r>
        <w:rPr>
          <w:rFonts w:hint="eastAsia" w:ascii="仿宋_GB2312" w:hAnsi="Times New Roman" w:eastAsia="仿宋_GB2312" w:cs="Arial"/>
          <w:color w:val="000000"/>
          <w:sz w:val="32"/>
          <w:szCs w:val="32"/>
          <w:lang w:bidi="en-US"/>
        </w:rPr>
        <w:t>〕</w:t>
      </w:r>
      <w:r>
        <w:rPr>
          <w:rFonts w:hint="eastAsia" w:ascii="仿宋_GB2312" w:hAnsi="Times New Roman" w:eastAsia="仿宋_GB2312" w:cs="Arial"/>
          <w:color w:val="000000"/>
          <w:sz w:val="32"/>
          <w:szCs w:val="32"/>
          <w:lang w:val="en-US" w:eastAsia="zh-CN" w:bidi="en-US"/>
        </w:rPr>
        <w:t>50</w:t>
      </w:r>
      <w:r>
        <w:rPr>
          <w:rFonts w:hint="eastAsia" w:ascii="仿宋_GB2312" w:hAnsi="Times New Roman" w:eastAsia="仿宋_GB2312" w:cs="Arial"/>
          <w:color w:val="000000"/>
          <w:sz w:val="32"/>
          <w:szCs w:val="32"/>
          <w:lang w:bidi="en-US"/>
        </w:rPr>
        <w:t>号</w:t>
      </w:r>
    </w:p>
    <w:p w14:paraId="47C16D00">
      <w:pPr>
        <w:keepNext w:val="0"/>
        <w:keepLines w:val="0"/>
        <w:pageBreakBefore w:val="0"/>
        <w:kinsoku/>
        <w:wordWrap/>
        <w:overflowPunct/>
        <w:topLinePunct w:val="0"/>
        <w:bidi w:val="0"/>
        <w:adjustRightInd w:val="0"/>
        <w:snapToGrid w:val="0"/>
        <w:spacing w:line="560" w:lineRule="exact"/>
        <w:ind w:firstLine="640" w:firstLineChars="200"/>
        <w:jc w:val="center"/>
        <w:rPr>
          <w:b/>
          <w:bCs/>
          <w:sz w:val="32"/>
          <w:szCs w:val="32"/>
        </w:rPr>
      </w:pPr>
    </w:p>
    <w:p w14:paraId="5F17846F">
      <w:pPr>
        <w:keepNext w:val="0"/>
        <w:keepLines w:val="0"/>
        <w:pageBreakBefore w:val="0"/>
        <w:widowControl/>
        <w:kinsoku/>
        <w:wordWrap/>
        <w:overflowPunct/>
        <w:topLinePunct w:val="0"/>
        <w:autoSpaceDE/>
        <w:autoSpaceDN/>
        <w:bidi w:val="0"/>
        <w:adjustRightInd/>
        <w:snapToGrid/>
        <w:spacing w:line="700" w:lineRule="exact"/>
        <w:jc w:val="center"/>
        <w:textAlignment w:val="baseline"/>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锡林郭勒盟生态环境局</w:t>
      </w:r>
    </w:p>
    <w:bookmarkEnd w:id="0"/>
    <w:p w14:paraId="4F421EA3">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val="en-US" w:eastAsia="zh-CN"/>
        </w:rPr>
        <w:t>乌拉盖管理区生活垃圾资源化处理</w:t>
      </w:r>
    </w:p>
    <w:p w14:paraId="20F54597">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建设项目</w:t>
      </w:r>
      <w:r>
        <w:rPr>
          <w:rFonts w:hint="eastAsia" w:ascii="方正小标宋简体" w:hAnsi="方正小标宋简体" w:eastAsia="方正小标宋简体" w:cs="方正小标宋简体"/>
          <w:bCs/>
          <w:sz w:val="44"/>
          <w:szCs w:val="44"/>
        </w:rPr>
        <w:t>环境影响报告书的批复</w:t>
      </w:r>
    </w:p>
    <w:p w14:paraId="41790FFB">
      <w:pPr>
        <w:keepNext w:val="0"/>
        <w:keepLines w:val="0"/>
        <w:pageBreakBefore w:val="0"/>
        <w:kinsoku/>
        <w:wordWrap/>
        <w:overflowPunct/>
        <w:topLinePunct w:val="0"/>
        <w:bidi w:val="0"/>
        <w:spacing w:line="560" w:lineRule="exact"/>
        <w:ind w:firstLine="420" w:firstLineChars="200"/>
      </w:pPr>
    </w:p>
    <w:p w14:paraId="53F2F135">
      <w:pPr>
        <w:keepNext w:val="0"/>
        <w:keepLines w:val="0"/>
        <w:pageBreakBefore w:val="0"/>
        <w:kinsoku/>
        <w:wordWrap/>
        <w:overflowPunct/>
        <w:topLinePunct w:val="0"/>
        <w:bidi w:val="0"/>
        <w:adjustRightInd/>
        <w:snapToGrid/>
        <w:spacing w:line="520" w:lineRule="exact"/>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锡林郭勒盟乌拉盖管理区城市管理综合行政执法局：</w:t>
      </w:r>
    </w:p>
    <w:p w14:paraId="1F4268E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你单位报送的《乌拉盖管理区生活垃圾资源化处理建设项目</w:t>
      </w:r>
      <w:r>
        <w:rPr>
          <w:rFonts w:hint="eastAsia" w:ascii="仿宋_GB2312" w:hAnsi="仿宋_GB2312" w:eastAsia="仿宋_GB2312" w:cs="仿宋_GB2312"/>
          <w:color w:val="auto"/>
          <w:sz w:val="32"/>
          <w:szCs w:val="32"/>
          <w:lang w:val="en-US" w:eastAsia="zh-CN"/>
        </w:rPr>
        <w:t>环境影响报告书</w:t>
      </w:r>
      <w:r>
        <w:rPr>
          <w:rFonts w:hint="default" w:ascii="仿宋_GB2312" w:hAnsi="仿宋_GB2312" w:eastAsia="仿宋_GB2312" w:cs="仿宋_GB2312"/>
          <w:color w:val="auto"/>
          <w:sz w:val="32"/>
          <w:szCs w:val="32"/>
          <w:lang w:val="en-US" w:eastAsia="zh-CN"/>
        </w:rPr>
        <w:t>》（以下简称《报告书》）收悉。经研究，批复如下：</w:t>
      </w:r>
    </w:p>
    <w:p w14:paraId="72023935">
      <w:pPr>
        <w:keepNext w:val="0"/>
        <w:keepLines w:val="0"/>
        <w:pageBreakBefore w:val="0"/>
        <w:kinsoku/>
        <w:wordWrap/>
        <w:overflowPunct/>
        <w:topLinePunct w:val="0"/>
        <w:autoSpaceDE/>
        <w:autoSpaceDN/>
        <w:bidi w:val="0"/>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lang w:val="en-US" w:eastAsia="zh-CN"/>
        </w:rPr>
        <w:t>一、</w:t>
      </w:r>
      <w:r>
        <w:rPr>
          <w:rFonts w:hint="eastAsia" w:ascii="仿宋_GB2312" w:hAnsi="仿宋_GB2312" w:eastAsia="仿宋_GB2312" w:cs="仿宋_GB2312"/>
          <w:color w:val="auto"/>
          <w:sz w:val="32"/>
          <w:szCs w:val="32"/>
          <w:lang w:val="en-US" w:eastAsia="zh-CN"/>
        </w:rPr>
        <w:t>乌拉盖管理区生活垃圾资源化处理建设项目，位于乌拉盖管理区巴彦胡硕镇生活垃圾填埋场东侧，</w:t>
      </w:r>
      <w:r>
        <w:rPr>
          <w:rFonts w:hint="eastAsia" w:ascii="仿宋_GB2312" w:hAnsi="仿宋_GB2312" w:eastAsia="仿宋_GB2312" w:cs="仿宋_GB2312"/>
          <w:color w:val="000000"/>
          <w:sz w:val="32"/>
          <w:szCs w:val="32"/>
          <w:lang w:val="en-US" w:eastAsia="zh-CN" w:bidi="en-US"/>
        </w:rPr>
        <w:t>总占地面积为</w:t>
      </w:r>
      <w:r>
        <w:rPr>
          <w:rFonts w:hint="eastAsia" w:ascii="仿宋_GB2312" w:hAnsi="仿宋_GB2312" w:eastAsia="仿宋_GB2312" w:cs="仿宋_GB2312"/>
          <w:sz w:val="32"/>
          <w:szCs w:val="32"/>
          <w:lang w:val="en-US" w:eastAsia="zh-CN"/>
        </w:rPr>
        <w:t>28376</w:t>
      </w:r>
      <w:r>
        <w:rPr>
          <w:rFonts w:hint="eastAsia" w:ascii="仿宋_GB2312" w:hAnsi="仿宋_GB2312" w:eastAsia="仿宋_GB2312" w:cs="仿宋_GB2312"/>
          <w:color w:val="000000"/>
          <w:sz w:val="32"/>
          <w:szCs w:val="32"/>
          <w:lang w:val="en-US" w:eastAsia="zh-CN" w:bidi="en-US"/>
        </w:rPr>
        <w:t>.00m</w:t>
      </w:r>
      <w:r>
        <w:rPr>
          <w:rFonts w:hint="eastAsia" w:ascii="仿宋_GB2312" w:hAnsi="仿宋_GB2312" w:eastAsia="仿宋_GB2312" w:cs="仿宋_GB2312"/>
          <w:color w:val="000000"/>
          <w:sz w:val="32"/>
          <w:szCs w:val="32"/>
          <w:vertAlign w:val="superscript"/>
          <w:lang w:val="en-US" w:eastAsia="zh-CN" w:bidi="en-US"/>
        </w:rPr>
        <w:t>2</w:t>
      </w:r>
      <w:r>
        <w:rPr>
          <w:rFonts w:hint="eastAsia" w:ascii="仿宋_GB2312" w:hAnsi="仿宋_GB2312" w:eastAsia="仿宋_GB2312" w:cs="仿宋_GB2312"/>
          <w:color w:val="000000"/>
          <w:sz w:val="32"/>
          <w:szCs w:val="32"/>
          <w:lang w:val="en-US" w:eastAsia="zh-CN" w:bidi="en-US"/>
        </w:rPr>
        <w:t>。本</w:t>
      </w:r>
      <w:r>
        <w:rPr>
          <w:rFonts w:hint="eastAsia" w:ascii="仿宋_GB2312" w:hAnsi="仿宋_GB2312" w:eastAsia="仿宋_GB2312" w:cs="仿宋_GB2312"/>
          <w:b w:val="0"/>
          <w:bCs/>
          <w:color w:val="auto"/>
          <w:sz w:val="32"/>
          <w:szCs w:val="32"/>
          <w:lang w:val="en-US" w:eastAsia="zh-CN"/>
        </w:rPr>
        <w:t xml:space="preserve">项目建设规模为焚烧处理生活垃圾60t/d，主要建设内容包括生活垃圾焚烧处理主体设施、辅助及附属生产设施和办公生活设施。   </w:t>
      </w:r>
    </w:p>
    <w:p w14:paraId="160D63F2">
      <w:pPr>
        <w:keepNext w:val="0"/>
        <w:keepLines w:val="0"/>
        <w:pageBreakBefore w:val="0"/>
        <w:widowControl w:val="0"/>
        <w:kinsoku/>
        <w:wordWrap/>
        <w:overflowPunct/>
        <w:topLinePunct w:val="0"/>
        <w:autoSpaceDE w:val="0"/>
        <w:autoSpaceDN w:val="0"/>
        <w:bidi w:val="0"/>
        <w:adjustRightInd w:val="0"/>
        <w:snapToGrid w:val="0"/>
        <w:spacing w:line="520" w:lineRule="exact"/>
        <w:ind w:firstLine="640" w:firstLineChars="200"/>
        <w:textAlignment w:val="auto"/>
        <w:rPr>
          <w:rFonts w:hint="eastAsia" w:ascii="仿宋_GB2312" w:hAnsi="仿宋_GB2312" w:eastAsia="仿宋_GB2312" w:cs="仿宋_GB2312"/>
          <w:color w:val="000000"/>
          <w:sz w:val="32"/>
          <w:szCs w:val="32"/>
          <w:lang w:eastAsia="zh-CN" w:bidi="en-US"/>
        </w:rPr>
      </w:pPr>
      <w:r>
        <w:rPr>
          <w:rFonts w:hint="eastAsia" w:ascii="仿宋_GB2312" w:hAnsi="仿宋_GB2312" w:eastAsia="仿宋_GB2312" w:cs="仿宋_GB2312"/>
          <w:color w:val="000000"/>
          <w:sz w:val="32"/>
          <w:szCs w:val="32"/>
          <w:highlight w:val="none"/>
          <w:lang w:val="en-US" w:eastAsia="zh-CN" w:bidi="en-US"/>
        </w:rPr>
        <w:t>《报告书》认为，在全面落实各项生态保护和污</w:t>
      </w:r>
      <w:r>
        <w:rPr>
          <w:rFonts w:hint="eastAsia" w:ascii="仿宋_GB2312" w:hAnsi="仿宋_GB2312" w:eastAsia="仿宋_GB2312" w:cs="仿宋_GB2312"/>
          <w:color w:val="000000"/>
          <w:sz w:val="32"/>
          <w:szCs w:val="32"/>
          <w:lang w:bidi="en-US"/>
        </w:rPr>
        <w:t>染防治措施的前提下，项目建设对环境的不利影响能够得到一定的缓解和控制。因此，我局原则同意本项目按照《报告书》所列的建设项目性质、规模、地点和拟采取的污染防治措施及下述要求进行建设。</w:t>
      </w:r>
    </w:p>
    <w:p w14:paraId="04C31F33">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黑体" w:hAnsi="黑体" w:eastAsia="黑体" w:cs="黑体"/>
          <w:color w:val="000000"/>
          <w:sz w:val="32"/>
          <w:szCs w:val="32"/>
          <w:lang w:bidi="en-US"/>
        </w:rPr>
      </w:pPr>
      <w:r>
        <w:rPr>
          <w:rFonts w:hint="eastAsia" w:ascii="黑体" w:hAnsi="黑体" w:eastAsia="黑体" w:cs="黑体"/>
          <w:color w:val="000000"/>
          <w:sz w:val="32"/>
          <w:szCs w:val="32"/>
          <w:lang w:bidi="en-US"/>
        </w:rPr>
        <w:t>二、项目在设计、建设和运营过程中还应做好以下工作。</w:t>
      </w:r>
    </w:p>
    <w:p w14:paraId="58F737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楷体" w:hAnsi="楷体" w:eastAsia="楷体" w:cs="楷体"/>
          <w:color w:val="auto"/>
          <w:sz w:val="32"/>
          <w:szCs w:val="32"/>
          <w:highlight w:val="none"/>
          <w:lang w:val="en-US" w:eastAsia="zh-CN" w:bidi="en-US"/>
        </w:rPr>
        <w:t>（一）严格落实各项大气污染防治措施。</w:t>
      </w:r>
      <w:r>
        <w:rPr>
          <w:rFonts w:hint="eastAsia" w:ascii="仿宋_GB2312" w:hAnsi="仿宋_GB2312" w:eastAsia="仿宋_GB2312" w:cs="仿宋_GB2312"/>
          <w:b w:val="0"/>
          <w:bCs w:val="0"/>
          <w:color w:val="auto"/>
          <w:kern w:val="2"/>
          <w:sz w:val="32"/>
          <w:szCs w:val="32"/>
          <w:highlight w:val="none"/>
          <w:lang w:val="en-US" w:eastAsia="zh-CN" w:bidi="en-US"/>
        </w:rPr>
        <w:t>生活垃圾焚烧烟气净化系统采用1套“SNCR炉内脱硝＋半干法脱酸＋干法喷射＋活性炭吸附＋布袋除尘”的组合烟气净化工艺，经过净化后的烟气通过45m烟囱排放，其污染物排放满足《生活垃圾焚烧污染控制标准》（GB18485-2014）相应限值要求。垃圾贮存产生的恶臭气体，通过卸料区布置气幕机，防止恶臭气体外溢；垃圾贮存池全封闭建设，垃圾卸料大厅及垃圾池均处于负压状态，垃圾池上方设置吸风口，收集的臭气经风机收集后送入焚烧炉燃烧处理；渗滤液收集处理等系统产生的臭气收集后经管道引至垃圾池，与垃圾贮池中的恶臭气体一并送入焚烧炉燃烧处理；焚烧炉检修时，垃圾池产生的恶臭气体经1套活性炭除臭设施处理后通过排气口排放，其污染物排放满足《恶臭污染物排放标准》（GB14554-93）二级排放标准。炉渣池采用密闭+湿除渣方式降低粉尘。飞灰仓、石灰仓和活性炭仓等粉尘经仓顶除尘器处理后于封闭厂房内无组织逸散。最终厂界颗粒物排放满足《大气污染物综合排放标准》（GB16297-1996）标准限值要求，厂界恶臭污染因子排放满足《恶臭污染物排放标准》（GB14554-93）标准限值要求。</w:t>
      </w:r>
    </w:p>
    <w:p w14:paraId="08E0A57E">
      <w:pPr>
        <w:keepNext w:val="0"/>
        <w:keepLines w:val="0"/>
        <w:pageBreakBefore w:val="0"/>
        <w:widowControl w:val="0"/>
        <w:kinsoku/>
        <w:wordWrap/>
        <w:overflowPunct/>
        <w:topLinePunct w:val="0"/>
        <w:autoSpaceDE/>
        <w:autoSpaceDN/>
        <w:bidi w:val="0"/>
        <w:adjustRightInd w:val="0"/>
        <w:snapToGrid w:val="0"/>
        <w:spacing w:line="520" w:lineRule="exact"/>
        <w:ind w:left="0" w:right="0" w:firstLine="640" w:firstLineChars="200"/>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000000"/>
          <w:sz w:val="32"/>
          <w:szCs w:val="32"/>
          <w:highlight w:val="none"/>
          <w:lang w:val="en-US" w:eastAsia="zh-CN" w:bidi="en-US"/>
        </w:rPr>
        <w:t>（二）严格落实固体废物污染防治措施。</w:t>
      </w:r>
      <w:r>
        <w:rPr>
          <w:rFonts w:hint="eastAsia" w:ascii="仿宋_GB2312" w:hAnsi="仿宋_GB2312" w:eastAsia="仿宋_GB2312" w:cs="仿宋_GB2312"/>
          <w:color w:val="000000"/>
          <w:sz w:val="32"/>
          <w:szCs w:val="32"/>
          <w:highlight w:val="none"/>
          <w:lang w:val="en-US" w:eastAsia="zh-CN" w:bidi="en-US"/>
        </w:rPr>
        <w:t>焚烧炉产生的炉渣经渣池暂存，定期运至生活垃圾填埋场填埋处置。烟气净化系统收集的飞灰经固化处理后运至生活垃圾填埋场填埋处置。除臭装置产生的废活性炭、设备检修维护过程少量废矿物油和渗滤液处理站废膜组件均置于封闭容器内，分类分区暂存于危废暂存间，最终交由资质单位处置。</w:t>
      </w:r>
      <w:r>
        <w:rPr>
          <w:rFonts w:hint="eastAsia" w:ascii="仿宋_GB2312" w:hAnsi="仿宋_GB2312" w:eastAsia="仿宋_GB2312" w:cs="仿宋_GB2312"/>
          <w:color w:val="auto"/>
          <w:kern w:val="2"/>
          <w:sz w:val="32"/>
          <w:szCs w:val="32"/>
          <w:highlight w:val="none"/>
          <w:lang w:val="en-US" w:eastAsia="zh-CN" w:bidi="en-US"/>
        </w:rPr>
        <w:t>危废暂存间的建设及设计满足《危险废物贮存污染控制标准》（GB18597-2023）要求。</w:t>
      </w:r>
      <w:r>
        <w:rPr>
          <w:rFonts w:hint="eastAsia" w:ascii="仿宋_GB2312" w:hAnsi="仿宋_GB2312" w:eastAsia="仿宋_GB2312" w:cs="仿宋_GB2312"/>
          <w:color w:val="000000"/>
          <w:sz w:val="32"/>
          <w:szCs w:val="32"/>
          <w:highlight w:val="none"/>
          <w:lang w:val="en-US" w:eastAsia="zh-CN" w:bidi="en-US"/>
        </w:rPr>
        <w:t>焚烧炉布袋除尘器布袋由厂家进行更换，更换时由厂家拉走再生利用，厂家无法及时拉走，危废间分区暂存，最终交由资质单位处理。渗滤液处理站产生的污泥、软水制备废过滤膜及生活垃圾由焚烧炉焚烧处置。</w:t>
      </w:r>
    </w:p>
    <w:p w14:paraId="32D3F620">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楷体" w:hAnsi="楷体" w:eastAsia="楷体" w:cs="楷体"/>
          <w:color w:val="000000"/>
          <w:sz w:val="32"/>
          <w:szCs w:val="32"/>
          <w:highlight w:val="none"/>
          <w:lang w:val="en-US" w:eastAsia="zh-CN" w:bidi="en-US"/>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项目垃圾渗滤液、冲洗废水、初期雨水、生活污水均经渗滤液处理系统处理后回用生产，回用水污染因子满足《城市污水再生利用 工业用水水质》（GB/T19923-2024）标准限值要求。渗滤液处理产生的渗滤液浓水回喷焚烧炉焚烧处置。循环冷却系统排污水、软化水系统排水经pH调节+絮凝沉淀处理后回用循环冷却及出渣水封。</w:t>
      </w:r>
    </w:p>
    <w:p w14:paraId="37D77F71">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楷体" w:hAnsi="楷体" w:eastAsia="楷体" w:cs="楷体"/>
          <w:color w:val="000000"/>
          <w:sz w:val="32"/>
          <w:szCs w:val="32"/>
          <w:highlight w:val="none"/>
          <w:lang w:bidi="en-US"/>
        </w:rPr>
        <w:t>（四）严格落实噪声防治措施。</w:t>
      </w:r>
      <w:r>
        <w:rPr>
          <w:rFonts w:hint="eastAsia" w:ascii="仿宋_GB2312" w:hAnsi="仿宋_GB2312" w:eastAsia="仿宋_GB2312" w:cs="仿宋_GB2312"/>
          <w:color w:val="000000"/>
          <w:sz w:val="32"/>
          <w:szCs w:val="32"/>
          <w:highlight w:val="none"/>
          <w:lang w:bidi="en-US"/>
        </w:rPr>
        <w:t>合理规划厂区布局，针对不同的声源采取相应的消声、隔音、减振、降噪措施，高噪设备均置于封闭车间内并加装减震基座，同时加强机械设备日常维护。运输车辆减速行驶，禁止鸣笛。最终噪声排放满足《工业企业厂界环境噪声排放标准》（GB12348-2008）2类标准限值要求。</w:t>
      </w:r>
    </w:p>
    <w:p w14:paraId="5798DA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楷体" w:hAnsi="楷体" w:eastAsia="楷体" w:cs="楷体"/>
          <w:kern w:val="0"/>
          <w:sz w:val="32"/>
          <w:szCs w:val="32"/>
          <w:lang w:bidi="ar"/>
        </w:rPr>
        <w:t>（五）</w:t>
      </w:r>
      <w:r>
        <w:rPr>
          <w:rFonts w:hint="eastAsia" w:ascii="楷体" w:hAnsi="楷体" w:eastAsia="楷体" w:cs="楷体"/>
          <w:kern w:val="0"/>
          <w:sz w:val="32"/>
          <w:szCs w:val="32"/>
          <w:lang w:val="en-US" w:eastAsia="zh-CN" w:bidi="ar"/>
        </w:rPr>
        <w:t>严格落实土壤和地下水污染防治措施。</w:t>
      </w:r>
      <w:r>
        <w:rPr>
          <w:rFonts w:hint="eastAsia" w:ascii="仿宋_GB2312" w:hAnsi="仿宋_GB2312" w:eastAsia="仿宋_GB2312" w:cs="仿宋_GB2312"/>
          <w:color w:val="auto"/>
          <w:kern w:val="0"/>
          <w:sz w:val="32"/>
          <w:szCs w:val="32"/>
          <w:lang w:val="en-US" w:eastAsia="zh-CN" w:bidi="ar"/>
        </w:rPr>
        <w:t>按照“源头控制、分区防控、污染监控、应急响应”相结合的原则采取分区防渗，其中垃圾贮存池、渗滤液收集系统、</w:t>
      </w:r>
      <w:r>
        <w:rPr>
          <w:rFonts w:hint="default" w:ascii="仿宋_GB2312" w:hAnsi="仿宋_GB2312" w:eastAsia="仿宋_GB2312" w:cs="仿宋_GB2312"/>
          <w:kern w:val="0"/>
          <w:sz w:val="32"/>
          <w:szCs w:val="32"/>
          <w:lang w:bidi="ar"/>
        </w:rPr>
        <w:t>危险废物暂存间</w:t>
      </w:r>
      <w:r>
        <w:rPr>
          <w:rFonts w:hint="eastAsia" w:ascii="仿宋_GB2312" w:hAnsi="仿宋_GB2312" w:eastAsia="仿宋_GB2312" w:cs="仿宋_GB2312"/>
          <w:kern w:val="0"/>
          <w:sz w:val="32"/>
          <w:szCs w:val="32"/>
          <w:lang w:eastAsia="zh-CN" w:bidi="ar"/>
        </w:rPr>
        <w:t>等区域</w:t>
      </w:r>
      <w:r>
        <w:rPr>
          <w:rFonts w:hint="eastAsia" w:ascii="仿宋_GB2312" w:hAnsi="仿宋_GB2312" w:eastAsia="仿宋_GB2312" w:cs="仿宋_GB2312"/>
          <w:kern w:val="0"/>
          <w:sz w:val="32"/>
          <w:szCs w:val="32"/>
          <w:lang w:val="en-US" w:eastAsia="zh-CN" w:bidi="ar"/>
        </w:rPr>
        <w:t>采取重点防渗措施；卸料大厅、焚烧车间、循环水池等</w:t>
      </w:r>
      <w:r>
        <w:rPr>
          <w:rFonts w:hint="eastAsia" w:ascii="仿宋_GB2312" w:hAnsi="仿宋_GB2312" w:eastAsia="仿宋_GB2312" w:cs="仿宋_GB2312"/>
          <w:color w:val="auto"/>
          <w:kern w:val="0"/>
          <w:sz w:val="32"/>
          <w:szCs w:val="32"/>
          <w:lang w:val="en-US" w:eastAsia="zh-CN" w:bidi="ar"/>
        </w:rPr>
        <w:t>采取一般防渗措施；办公楼、门卫室、停车场等采取简单防渗措施。</w:t>
      </w:r>
      <w:r>
        <w:rPr>
          <w:rFonts w:hint="eastAsia" w:ascii="仿宋_GB2312" w:hAnsi="仿宋_GB2312" w:eastAsia="仿宋_GB2312" w:cs="仿宋_GB2312"/>
          <w:color w:val="auto"/>
          <w:sz w:val="32"/>
          <w:szCs w:val="32"/>
          <w:lang w:eastAsia="zh-CN" w:bidi="en-US"/>
        </w:rPr>
        <w:t>所有防渗措施均</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满足《环境影响评价技术导则 地下水环境》（HJ610-2016）技术要求。</w:t>
      </w:r>
    </w:p>
    <w:p w14:paraId="5F8F3E1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kern w:val="0"/>
          <w:sz w:val="32"/>
          <w:szCs w:val="32"/>
          <w:lang w:val="en-US" w:eastAsia="zh-CN" w:bidi="ar"/>
        </w:rPr>
        <w:t>（六）严格落实环境风险防治措施。</w:t>
      </w:r>
      <w:r>
        <w:rPr>
          <w:rFonts w:hint="eastAsia" w:ascii="仿宋_GB2312" w:hAnsi="仿宋_GB2312" w:eastAsia="仿宋_GB2312" w:cs="仿宋_GB2312"/>
          <w:color w:val="auto"/>
          <w:kern w:val="0"/>
          <w:sz w:val="32"/>
          <w:szCs w:val="32"/>
          <w:highlight w:val="none"/>
          <w:lang w:val="en-US" w:eastAsia="zh-CN" w:bidi="ar"/>
        </w:rPr>
        <w:t>按照规范布置罐区，设围堰和防火堤；加强</w:t>
      </w:r>
      <w:r>
        <w:rPr>
          <w:rFonts w:hint="eastAsia" w:ascii="仿宋_GB2312" w:hAnsi="仿宋_GB2312" w:eastAsia="仿宋_GB2312" w:cs="仿宋_GB2312"/>
          <w:color w:val="auto"/>
          <w:kern w:val="0"/>
          <w:sz w:val="32"/>
          <w:szCs w:val="32"/>
          <w:lang w:val="en-US" w:eastAsia="zh-CN" w:bidi="ar"/>
        </w:rPr>
        <w:t>生产过程设备的管理与维修，防止跑、冒、滴、漏现象的发生</w:t>
      </w:r>
      <w:r>
        <w:rPr>
          <w:rFonts w:hint="eastAsia" w:ascii="仿宋_GB2312" w:hAnsi="仿宋_GB2312" w:eastAsia="仿宋_GB2312" w:cs="仿宋_GB2312"/>
          <w:color w:val="auto"/>
          <w:kern w:val="0"/>
          <w:sz w:val="32"/>
          <w:szCs w:val="32"/>
          <w:highlight w:val="none"/>
          <w:lang w:val="en-US" w:eastAsia="zh-CN" w:bidi="ar"/>
        </w:rPr>
        <w:t>；在有可能泄漏可燃气体和有毒气体的部位设置可燃气和有毒气体探测器和通风除臭系统，</w:t>
      </w:r>
      <w:r>
        <w:rPr>
          <w:rFonts w:hint="eastAsia" w:ascii="仿宋_GB2312" w:hAnsi="仿宋_GB2312" w:eastAsia="仿宋_GB2312" w:cs="仿宋_GB2312"/>
          <w:color w:val="auto"/>
          <w:kern w:val="2"/>
          <w:sz w:val="32"/>
          <w:szCs w:val="32"/>
          <w:highlight w:val="none"/>
          <w:lang w:val="en-US" w:eastAsia="zh-CN" w:bidi="ar-SA"/>
        </w:rPr>
        <w:t>一旦发生泄漏及时报警；</w:t>
      </w:r>
      <w:r>
        <w:rPr>
          <w:rFonts w:hint="eastAsia" w:ascii="仿宋_GB2312" w:hAnsi="仿宋_GB2312" w:eastAsia="仿宋_GB2312" w:cs="仿宋_GB2312"/>
          <w:color w:val="000000"/>
          <w:kern w:val="2"/>
          <w:sz w:val="32"/>
          <w:szCs w:val="32"/>
          <w:lang w:val="en-US" w:eastAsia="zh-CN" w:bidi="ar-SA"/>
        </w:rPr>
        <w:t>建立完善的环境监督制度和事故应急措施，制定切实可行的环境风险应急预案，加强对生活垃圾和厨余垃圾的收集、运输、贮存过程和对处置工程主体装置、环保设施的运行管理；严格落实风险防范措施和应急预案，切实杜绝环境风险事故。</w:t>
      </w:r>
    </w:p>
    <w:p w14:paraId="5782EAA3">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leftChars="0"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楷体" w:hAnsi="楷体" w:eastAsia="楷体" w:cs="楷体"/>
          <w:kern w:val="0"/>
          <w:sz w:val="32"/>
          <w:szCs w:val="32"/>
          <w:lang w:val="en-US" w:eastAsia="zh-CN" w:bidi="ar"/>
        </w:rPr>
        <w:t>（七）严格落实运营期污染源监测计划。</w:t>
      </w:r>
      <w:r>
        <w:rPr>
          <w:rFonts w:hint="default" w:ascii="仿宋_GB2312" w:hAnsi="仿宋_GB2312" w:eastAsia="仿宋_GB2312" w:cs="仿宋_GB2312"/>
          <w:color w:val="000000"/>
          <w:kern w:val="2"/>
          <w:sz w:val="32"/>
          <w:szCs w:val="32"/>
          <w:lang w:val="en-US" w:eastAsia="zh-CN" w:bidi="ar-SA"/>
        </w:rPr>
        <w:t>按照</w:t>
      </w:r>
      <w:r>
        <w:rPr>
          <w:rFonts w:hint="eastAsia" w:ascii="仿宋_GB2312" w:hAnsi="仿宋_GB2312" w:eastAsia="仿宋_GB2312" w:cs="仿宋_GB2312"/>
          <w:color w:val="000000"/>
          <w:kern w:val="2"/>
          <w:sz w:val="32"/>
          <w:szCs w:val="32"/>
          <w:lang w:val="en-US" w:eastAsia="zh-CN" w:bidi="ar-SA"/>
        </w:rPr>
        <w:t>国家和地方有关规定设置规范的污染物排放口，并设立标志牌。按照相关标准、规范等要求，落实《报告书》提出的环境管理及监测计划，安装烟气自动连续监测等感知端系统，并与生态环境部门联网。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14:paraId="05DF8CD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sz w:val="32"/>
          <w:szCs w:val="32"/>
        </w:rPr>
      </w:pPr>
      <w:r>
        <w:rPr>
          <w:rFonts w:hint="eastAsia" w:ascii="楷体" w:hAnsi="楷体" w:eastAsia="楷体" w:cs="楷体"/>
          <w:kern w:val="0"/>
          <w:sz w:val="32"/>
          <w:szCs w:val="32"/>
          <w:lang w:val="en-US" w:eastAsia="zh-CN" w:bidi="ar"/>
        </w:rPr>
        <w:t>（八）建立畅通的公众参与平台。</w:t>
      </w:r>
      <w:r>
        <w:rPr>
          <w:rFonts w:hint="eastAsia" w:ascii="仿宋_GB2312" w:hAnsi="仿宋_GB2312" w:eastAsia="仿宋_GB2312" w:cs="仿宋_GB2312"/>
          <w:color w:val="000000"/>
          <w:sz w:val="32"/>
          <w:szCs w:val="32"/>
        </w:rPr>
        <w:t>加强宣传和沟通工作，关注周边居民意见，及时解决公众担忧的环境问题，满足公众合理的环境诉求。</w:t>
      </w:r>
    </w:p>
    <w:p w14:paraId="49A56CB2">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黑体" w:hAnsi="黑体" w:eastAsia="黑体" w:cs="黑体"/>
          <w:color w:val="000000"/>
          <w:sz w:val="32"/>
          <w:szCs w:val="32"/>
          <w:highlight w:val="none"/>
          <w:lang w:bidi="en-US"/>
        </w:rPr>
        <w:t>三、</w:t>
      </w:r>
      <w:r>
        <w:rPr>
          <w:rFonts w:hint="eastAsia" w:ascii="仿宋_GB2312" w:hAnsi="仿宋_GB2312" w:eastAsia="仿宋_GB2312" w:cs="仿宋_GB2312"/>
          <w:color w:val="000000"/>
          <w:sz w:val="32"/>
          <w:szCs w:val="32"/>
          <w:highlight w:val="none"/>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337855B0">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r>
        <w:rPr>
          <w:rFonts w:hint="eastAsia" w:ascii="黑体" w:hAnsi="黑体" w:eastAsia="黑体" w:cs="黑体"/>
          <w:color w:val="000000"/>
          <w:sz w:val="32"/>
          <w:szCs w:val="32"/>
          <w:highlight w:val="none"/>
          <w:lang w:bidi="en-US"/>
        </w:rPr>
        <w:t>四、</w:t>
      </w:r>
      <w:r>
        <w:rPr>
          <w:rFonts w:hint="eastAsia" w:ascii="仿宋_GB2312" w:hAnsi="仿宋_GB2312" w:eastAsia="仿宋_GB2312" w:cs="仿宋_GB2312"/>
          <w:color w:val="000000"/>
          <w:sz w:val="32"/>
          <w:szCs w:val="32"/>
          <w:highlight w:val="none"/>
          <w:lang w:bidi="en-US"/>
        </w:rPr>
        <w:t>我局委托锡林郭勒盟生态环境局</w:t>
      </w:r>
      <w:r>
        <w:rPr>
          <w:rFonts w:hint="eastAsia" w:ascii="仿宋_GB2312" w:hAnsi="仿宋_GB2312" w:eastAsia="仿宋_GB2312" w:cs="仿宋_GB2312"/>
          <w:color w:val="000000"/>
          <w:sz w:val="32"/>
          <w:szCs w:val="32"/>
          <w:lang w:val="en-US" w:eastAsia="zh-CN" w:bidi="en-US"/>
        </w:rPr>
        <w:t>乌拉盖管理区</w:t>
      </w:r>
      <w:r>
        <w:rPr>
          <w:rFonts w:hint="eastAsia" w:ascii="仿宋_GB2312" w:hAnsi="仿宋_GB2312" w:eastAsia="仿宋_GB2312" w:cs="仿宋_GB2312"/>
          <w:color w:val="000000"/>
          <w:sz w:val="32"/>
          <w:szCs w:val="32"/>
          <w:highlight w:val="none"/>
          <w:lang w:bidi="en-US"/>
        </w:rPr>
        <w:t>分局对该项目各项污染防治措施落实情况进行监督检查和管理。</w:t>
      </w:r>
    </w:p>
    <w:p w14:paraId="5791DAD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000000"/>
          <w:sz w:val="32"/>
          <w:szCs w:val="32"/>
          <w:highlight w:val="none"/>
          <w:lang w:bidi="en-US"/>
        </w:rPr>
      </w:pPr>
    </w:p>
    <w:p w14:paraId="6BE78D58">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p>
    <w:p w14:paraId="0820B351">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bidi="en-US"/>
        </w:rPr>
      </w:pPr>
    </w:p>
    <w:p w14:paraId="58AA451A">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3520" w:firstLineChars="11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锡林郭勒盟生态环境局</w:t>
      </w:r>
    </w:p>
    <w:p w14:paraId="12A1B92E">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4160" w:firstLineChars="1300"/>
        <w:textAlignment w:val="auto"/>
        <w:rPr>
          <w:rFonts w:hint="eastAsia" w:ascii="仿宋_GB2312" w:hAnsi="仿宋_GB2312" w:eastAsia="仿宋_GB2312" w:cs="仿宋_GB2312"/>
          <w:color w:val="000000"/>
          <w:sz w:val="32"/>
          <w:szCs w:val="32"/>
          <w:highlight w:val="none"/>
          <w:lang w:bidi="en-US"/>
        </w:rPr>
      </w:pPr>
      <w:r>
        <w:rPr>
          <w:rFonts w:hint="eastAsia" w:ascii="仿宋_GB2312" w:hAnsi="仿宋_GB2312" w:eastAsia="仿宋_GB2312" w:cs="仿宋_GB2312"/>
          <w:color w:val="000000"/>
          <w:sz w:val="32"/>
          <w:szCs w:val="32"/>
          <w:highlight w:val="none"/>
          <w:lang w:bidi="en-US"/>
        </w:rPr>
        <w:t>202</w:t>
      </w:r>
      <w:r>
        <w:rPr>
          <w:rFonts w:hint="eastAsia" w:ascii="仿宋_GB2312" w:hAnsi="仿宋_GB2312" w:eastAsia="仿宋_GB2312" w:cs="仿宋_GB2312"/>
          <w:color w:val="000000"/>
          <w:sz w:val="32"/>
          <w:szCs w:val="32"/>
          <w:highlight w:val="none"/>
          <w:lang w:val="en-US" w:eastAsia="zh-CN" w:bidi="en-US"/>
        </w:rPr>
        <w:t>4</w:t>
      </w:r>
      <w:r>
        <w:rPr>
          <w:rFonts w:hint="eastAsia" w:ascii="仿宋_GB2312" w:hAnsi="仿宋_GB2312" w:eastAsia="仿宋_GB2312" w:cs="仿宋_GB2312"/>
          <w:color w:val="000000"/>
          <w:sz w:val="32"/>
          <w:szCs w:val="32"/>
          <w:highlight w:val="none"/>
          <w:lang w:bidi="en-US"/>
        </w:rPr>
        <w:t>年</w:t>
      </w:r>
      <w:r>
        <w:rPr>
          <w:rFonts w:hint="eastAsia" w:ascii="仿宋_GB2312" w:hAnsi="仿宋_GB2312" w:eastAsia="仿宋_GB2312" w:cs="仿宋_GB2312"/>
          <w:color w:val="000000"/>
          <w:sz w:val="32"/>
          <w:szCs w:val="32"/>
          <w:highlight w:val="none"/>
          <w:lang w:val="en-US" w:eastAsia="zh-CN" w:bidi="en-US"/>
        </w:rPr>
        <w:t>12</w:t>
      </w:r>
      <w:r>
        <w:rPr>
          <w:rFonts w:hint="eastAsia" w:ascii="仿宋_GB2312" w:hAnsi="仿宋_GB2312" w:eastAsia="仿宋_GB2312" w:cs="仿宋_GB2312"/>
          <w:color w:val="000000"/>
          <w:sz w:val="32"/>
          <w:szCs w:val="32"/>
          <w:highlight w:val="none"/>
          <w:lang w:bidi="en-US"/>
        </w:rPr>
        <w:t>月</w:t>
      </w:r>
      <w:r>
        <w:rPr>
          <w:rFonts w:hint="eastAsia" w:ascii="仿宋_GB2312" w:hAnsi="仿宋_GB2312" w:eastAsia="仿宋_GB2312" w:cs="仿宋_GB2312"/>
          <w:color w:val="000000"/>
          <w:sz w:val="32"/>
          <w:szCs w:val="32"/>
          <w:highlight w:val="none"/>
          <w:lang w:val="en-US" w:eastAsia="zh-CN" w:bidi="en-US"/>
        </w:rPr>
        <w:t>30</w:t>
      </w:r>
      <w:r>
        <w:rPr>
          <w:rFonts w:hint="eastAsia" w:ascii="仿宋_GB2312" w:hAnsi="仿宋_GB2312" w:eastAsia="仿宋_GB2312" w:cs="仿宋_GB2312"/>
          <w:color w:val="000000"/>
          <w:sz w:val="32"/>
          <w:szCs w:val="32"/>
          <w:highlight w:val="none"/>
          <w:lang w:bidi="en-US"/>
        </w:rPr>
        <w:t>日</w:t>
      </w:r>
    </w:p>
    <w:p w14:paraId="44CB6531">
      <w:pPr>
        <w:pStyle w:val="12"/>
        <w:ind w:left="0" w:leftChars="0" w:firstLine="0" w:firstLineChars="0"/>
        <w:rPr>
          <w:rFonts w:hint="eastAsia"/>
          <w:sz w:val="32"/>
          <w:szCs w:val="32"/>
          <w:highlight w:val="none"/>
        </w:rPr>
      </w:pPr>
    </w:p>
    <w:p w14:paraId="3C9AF476">
      <w:pPr>
        <w:rPr>
          <w:rFonts w:hint="eastAsia"/>
          <w:sz w:val="32"/>
          <w:szCs w:val="32"/>
          <w:highlight w:val="none"/>
        </w:rPr>
      </w:pPr>
    </w:p>
    <w:p w14:paraId="1F11F161">
      <w:pPr>
        <w:pStyle w:val="3"/>
        <w:rPr>
          <w:rFonts w:hint="eastAsia"/>
          <w:sz w:val="32"/>
          <w:szCs w:val="32"/>
          <w:highlight w:val="none"/>
        </w:rPr>
      </w:pPr>
    </w:p>
    <w:p w14:paraId="71D59A9B">
      <w:pPr>
        <w:pStyle w:val="4"/>
        <w:rPr>
          <w:rFonts w:hint="eastAsia"/>
          <w:sz w:val="32"/>
          <w:szCs w:val="32"/>
          <w:highlight w:val="none"/>
        </w:rPr>
      </w:pPr>
    </w:p>
    <w:p w14:paraId="1A4DA165">
      <w:pPr>
        <w:rPr>
          <w:rFonts w:hint="eastAsia"/>
          <w:sz w:val="32"/>
          <w:szCs w:val="32"/>
          <w:highlight w:val="none"/>
        </w:rPr>
      </w:pPr>
    </w:p>
    <w:p w14:paraId="33EC39B9">
      <w:pPr>
        <w:pStyle w:val="2"/>
        <w:rPr>
          <w:rFonts w:hint="eastAsia"/>
          <w:sz w:val="32"/>
          <w:szCs w:val="32"/>
          <w:highlight w:val="none"/>
        </w:rPr>
      </w:pPr>
    </w:p>
    <w:p w14:paraId="249B1FF5">
      <w:pPr>
        <w:rPr>
          <w:rFonts w:hint="eastAsia"/>
          <w:sz w:val="32"/>
          <w:szCs w:val="32"/>
          <w:highlight w:val="none"/>
        </w:rPr>
      </w:pPr>
    </w:p>
    <w:p w14:paraId="2E1E862D">
      <w:pPr>
        <w:pStyle w:val="2"/>
        <w:rPr>
          <w:rFonts w:hint="eastAsia"/>
          <w:sz w:val="32"/>
          <w:szCs w:val="32"/>
          <w:highlight w:val="none"/>
        </w:rPr>
      </w:pPr>
    </w:p>
    <w:p w14:paraId="261A9578">
      <w:pPr>
        <w:rPr>
          <w:rFonts w:hint="eastAsia"/>
          <w:sz w:val="32"/>
          <w:szCs w:val="32"/>
          <w:highlight w:val="none"/>
        </w:rPr>
      </w:pPr>
    </w:p>
    <w:p w14:paraId="6D8EEE5B">
      <w:pPr>
        <w:pStyle w:val="2"/>
        <w:rPr>
          <w:rFonts w:hint="eastAsia"/>
          <w:sz w:val="32"/>
          <w:szCs w:val="32"/>
          <w:highlight w:val="none"/>
        </w:rPr>
      </w:pPr>
    </w:p>
    <w:p w14:paraId="281E8828">
      <w:pPr>
        <w:rPr>
          <w:rFonts w:hint="eastAsia"/>
          <w:sz w:val="32"/>
          <w:szCs w:val="32"/>
          <w:highlight w:val="none"/>
        </w:rPr>
      </w:pPr>
    </w:p>
    <w:p w14:paraId="11DE48FB">
      <w:pPr>
        <w:pStyle w:val="2"/>
        <w:rPr>
          <w:rFonts w:hint="eastAsia"/>
          <w:sz w:val="32"/>
          <w:szCs w:val="32"/>
          <w:highlight w:val="none"/>
        </w:rPr>
      </w:pPr>
    </w:p>
    <w:p w14:paraId="43425926">
      <w:pPr>
        <w:rPr>
          <w:rFonts w:hint="eastAsia"/>
          <w:sz w:val="32"/>
          <w:szCs w:val="32"/>
          <w:highlight w:val="none"/>
        </w:rPr>
      </w:pPr>
    </w:p>
    <w:p w14:paraId="51CF3804">
      <w:pPr>
        <w:pStyle w:val="2"/>
        <w:rPr>
          <w:rFonts w:hint="eastAsia"/>
          <w:sz w:val="32"/>
          <w:szCs w:val="32"/>
          <w:highlight w:val="none"/>
        </w:rPr>
      </w:pPr>
    </w:p>
    <w:p w14:paraId="3722261F">
      <w:pPr>
        <w:keepNext w:val="0"/>
        <w:keepLines w:val="0"/>
        <w:pageBreakBefore w:val="0"/>
        <w:widowControl w:val="0"/>
        <w:kinsoku/>
        <w:wordWrap/>
        <w:overflowPunct/>
        <w:topLinePunct w:val="0"/>
        <w:autoSpaceDE w:val="0"/>
        <w:autoSpaceDN w:val="0"/>
        <w:bidi w:val="0"/>
        <w:adjustRightInd w:val="0"/>
        <w:snapToGrid w:val="0"/>
        <w:spacing w:line="520" w:lineRule="exact"/>
        <w:ind w:left="0" w:leftChars="0" w:firstLine="640" w:firstLineChars="200"/>
        <w:textAlignment w:val="auto"/>
        <w:rPr>
          <w:rFonts w:hint="eastAsia" w:ascii="仿宋_GB2312" w:hAnsi="仿宋_GB2312" w:eastAsia="仿宋_GB2312" w:cs="仿宋_GB2312"/>
          <w:color w:val="000000"/>
          <w:sz w:val="32"/>
          <w:szCs w:val="32"/>
          <w:highlight w:val="none"/>
          <w:lang w:eastAsia="zh-CN" w:bidi="en-US"/>
        </w:rPr>
      </w:pPr>
      <w:r>
        <w:rPr>
          <w:rFonts w:hint="eastAsia" w:ascii="仿宋_GB2312" w:hAnsi="仿宋_GB2312" w:eastAsia="仿宋_GB2312" w:cs="仿宋_GB2312"/>
          <w:color w:val="000000"/>
          <w:sz w:val="32"/>
          <w:szCs w:val="32"/>
          <w:highlight w:val="none"/>
          <w:lang w:eastAsia="zh-CN" w:bidi="en-US"/>
        </w:rPr>
        <w:t>（此页无正文）</w:t>
      </w:r>
    </w:p>
    <w:p w14:paraId="5F42C203">
      <w:pPr>
        <w:pStyle w:val="2"/>
        <w:rPr>
          <w:rFonts w:hint="eastAsia"/>
          <w:sz w:val="32"/>
          <w:szCs w:val="32"/>
          <w:highlight w:val="none"/>
        </w:rPr>
      </w:pPr>
    </w:p>
    <w:p w14:paraId="153B07DA">
      <w:pPr>
        <w:rPr>
          <w:rFonts w:hint="eastAsia"/>
          <w:sz w:val="32"/>
          <w:szCs w:val="32"/>
          <w:highlight w:val="none"/>
        </w:rPr>
      </w:pPr>
    </w:p>
    <w:p w14:paraId="3727D3FC">
      <w:pPr>
        <w:pStyle w:val="2"/>
        <w:rPr>
          <w:rFonts w:hint="eastAsia"/>
          <w:sz w:val="32"/>
          <w:szCs w:val="32"/>
          <w:highlight w:val="none"/>
        </w:rPr>
      </w:pPr>
    </w:p>
    <w:p w14:paraId="7B5C6D39">
      <w:pPr>
        <w:rPr>
          <w:rFonts w:hint="eastAsia"/>
          <w:sz w:val="32"/>
          <w:szCs w:val="32"/>
          <w:highlight w:val="none"/>
        </w:rPr>
      </w:pPr>
    </w:p>
    <w:p w14:paraId="469D5A84">
      <w:pPr>
        <w:pStyle w:val="2"/>
        <w:rPr>
          <w:rFonts w:hint="eastAsia"/>
          <w:sz w:val="32"/>
          <w:szCs w:val="32"/>
          <w:highlight w:val="none"/>
        </w:rPr>
      </w:pPr>
    </w:p>
    <w:p w14:paraId="62DEC69E">
      <w:pPr>
        <w:rPr>
          <w:rFonts w:hint="eastAsia"/>
          <w:sz w:val="32"/>
          <w:szCs w:val="32"/>
          <w:highlight w:val="none"/>
        </w:rPr>
      </w:pPr>
    </w:p>
    <w:p w14:paraId="449E1A49">
      <w:pPr>
        <w:pStyle w:val="2"/>
        <w:rPr>
          <w:rFonts w:hint="eastAsia"/>
          <w:sz w:val="32"/>
          <w:szCs w:val="32"/>
          <w:highlight w:val="none"/>
        </w:rPr>
      </w:pPr>
    </w:p>
    <w:p w14:paraId="24A19707">
      <w:pPr>
        <w:rPr>
          <w:rFonts w:hint="eastAsia"/>
          <w:sz w:val="32"/>
          <w:szCs w:val="32"/>
          <w:highlight w:val="none"/>
        </w:rPr>
      </w:pPr>
    </w:p>
    <w:p w14:paraId="254F61E2">
      <w:pPr>
        <w:pStyle w:val="2"/>
        <w:rPr>
          <w:rFonts w:hint="eastAsia"/>
          <w:sz w:val="32"/>
          <w:szCs w:val="32"/>
          <w:highlight w:val="none"/>
        </w:rPr>
      </w:pPr>
    </w:p>
    <w:p w14:paraId="20260D0E">
      <w:pPr>
        <w:rPr>
          <w:rFonts w:hint="eastAsia"/>
          <w:sz w:val="32"/>
          <w:szCs w:val="32"/>
          <w:highlight w:val="none"/>
        </w:rPr>
      </w:pPr>
    </w:p>
    <w:p w14:paraId="271C2D53">
      <w:pPr>
        <w:pStyle w:val="2"/>
        <w:rPr>
          <w:rFonts w:hint="eastAsia"/>
          <w:sz w:val="32"/>
          <w:szCs w:val="32"/>
          <w:highlight w:val="none"/>
        </w:rPr>
      </w:pPr>
    </w:p>
    <w:p w14:paraId="6F896B2A">
      <w:pPr>
        <w:rPr>
          <w:rFonts w:hint="eastAsia"/>
          <w:sz w:val="32"/>
          <w:szCs w:val="32"/>
          <w:highlight w:val="none"/>
        </w:rPr>
      </w:pPr>
    </w:p>
    <w:p w14:paraId="5936611F">
      <w:pPr>
        <w:pStyle w:val="2"/>
        <w:rPr>
          <w:rFonts w:hint="eastAsia"/>
          <w:sz w:val="32"/>
          <w:szCs w:val="32"/>
          <w:highlight w:val="none"/>
        </w:rPr>
      </w:pPr>
    </w:p>
    <w:p w14:paraId="32861B47">
      <w:pPr>
        <w:rPr>
          <w:rFonts w:hint="eastAsia"/>
          <w:sz w:val="32"/>
          <w:szCs w:val="32"/>
          <w:highlight w:val="none"/>
        </w:rPr>
      </w:pPr>
    </w:p>
    <w:p w14:paraId="4CA30748">
      <w:pPr>
        <w:pStyle w:val="2"/>
        <w:rPr>
          <w:rFonts w:hint="eastAsia"/>
          <w:sz w:val="32"/>
          <w:szCs w:val="32"/>
          <w:highlight w:val="none"/>
        </w:rPr>
      </w:pPr>
    </w:p>
    <w:p w14:paraId="2B50998E">
      <w:pPr>
        <w:rPr>
          <w:rFonts w:hint="eastAsia"/>
          <w:sz w:val="32"/>
          <w:szCs w:val="32"/>
          <w:highlight w:val="none"/>
        </w:rPr>
      </w:pPr>
    </w:p>
    <w:p w14:paraId="7B4FA0D3">
      <w:pPr>
        <w:pStyle w:val="2"/>
        <w:rPr>
          <w:rFonts w:hint="eastAsia"/>
          <w:sz w:val="32"/>
          <w:szCs w:val="32"/>
          <w:highlight w:val="none"/>
        </w:rPr>
      </w:pPr>
    </w:p>
    <w:p w14:paraId="1E627145">
      <w:pPr>
        <w:rPr>
          <w:rFonts w:hint="eastAsia"/>
          <w:sz w:val="32"/>
          <w:szCs w:val="32"/>
          <w:highlight w:val="none"/>
        </w:rPr>
      </w:pPr>
    </w:p>
    <w:p w14:paraId="4276F3A4">
      <w:pPr>
        <w:pStyle w:val="2"/>
        <w:rPr>
          <w:rFonts w:hint="eastAsia"/>
        </w:rPr>
      </w:pPr>
    </w:p>
    <w:p w14:paraId="2744A6CA">
      <w:pPr>
        <w:rPr>
          <w:rFonts w:hint="eastAsia"/>
          <w:sz w:val="32"/>
          <w:szCs w:val="32"/>
          <w:highlight w:val="none"/>
        </w:rPr>
      </w:pPr>
    </w:p>
    <w:p w14:paraId="20133D3D">
      <w:pPr>
        <w:rPr>
          <w:rFonts w:hint="eastAsia"/>
          <w:sz w:val="32"/>
          <w:szCs w:val="32"/>
          <w:highlight w:val="none"/>
        </w:rPr>
      </w:pPr>
    </w:p>
    <w:p w14:paraId="4F26E322">
      <w:pPr>
        <w:rPr>
          <w:rFonts w:hint="eastAsia"/>
          <w:sz w:val="32"/>
          <w:szCs w:val="32"/>
          <w:highlight w:val="none"/>
        </w:rPr>
      </w:pPr>
    </w:p>
    <w:p w14:paraId="114B5FED">
      <w:pPr>
        <w:rPr>
          <w:rFonts w:hint="eastAsia"/>
          <w:highlight w:val="none"/>
        </w:rPr>
      </w:pPr>
    </w:p>
    <w:p w14:paraId="06A29E4C">
      <w:pPr>
        <w:pStyle w:val="2"/>
        <w:rPr>
          <w:rFonts w:hint="default" w:eastAsia="宋体"/>
          <w:highlight w:val="none"/>
          <w:u w:val="single"/>
          <w:lang w:val="en-US" w:eastAsia="zh-CN"/>
        </w:rPr>
      </w:pPr>
      <w:r>
        <w:rPr>
          <w:rFonts w:hint="eastAsia"/>
          <w:highlight w:val="none"/>
          <w:u w:val="single"/>
          <w:lang w:val="en-US" w:eastAsia="zh-CN"/>
        </w:rPr>
        <w:t xml:space="preserve">                                                                                            </w:t>
      </w:r>
    </w:p>
    <w:p w14:paraId="02024EC6">
      <w:pPr>
        <w:pStyle w:val="17"/>
        <w:keepNext w:val="0"/>
        <w:keepLines w:val="0"/>
        <w:pageBreakBefore w:val="0"/>
        <w:kinsoku/>
        <w:wordWrap/>
        <w:overflowPunct/>
        <w:topLinePunct w:val="0"/>
        <w:bidi w:val="0"/>
        <w:spacing w:line="240" w:lineRule="auto"/>
        <w:jc w:val="both"/>
        <w:rPr>
          <w:rFonts w:ascii="仿宋" w:hAnsi="仿宋" w:eastAsia="仿宋" w:cs="仿宋"/>
          <w:color w:val="auto"/>
          <w:kern w:val="2"/>
          <w:sz w:val="28"/>
          <w:szCs w:val="28"/>
          <w:highlight w:val="none"/>
          <w:lang w:bidi="en-US"/>
        </w:rPr>
      </w:pPr>
      <w:r>
        <w:rPr>
          <w:rFonts w:hint="eastAsia" w:ascii="仿宋" w:hAnsi="仿宋" w:eastAsia="仿宋" w:cs="仿宋"/>
          <w:color w:val="auto"/>
          <w:spacing w:val="1"/>
          <w:w w:val="96"/>
          <w:kern w:val="0"/>
          <w:sz w:val="28"/>
          <w:szCs w:val="28"/>
          <w:highlight w:val="none"/>
          <w:fitText w:val="8400" w:id="2050116686"/>
          <w:lang w:bidi="en-US"/>
        </w:rPr>
        <w:t>抄送：盟生态环境综合行政执法支队，盟生态环境局</w:t>
      </w:r>
      <w:r>
        <w:rPr>
          <w:rFonts w:hint="eastAsia" w:ascii="仿宋" w:hAnsi="仿宋" w:eastAsia="仿宋" w:cs="仿宋"/>
          <w:color w:val="auto"/>
          <w:spacing w:val="1"/>
          <w:w w:val="96"/>
          <w:kern w:val="0"/>
          <w:sz w:val="28"/>
          <w:szCs w:val="28"/>
          <w:highlight w:val="none"/>
          <w:fitText w:val="8400" w:id="2050116686"/>
          <w:lang w:val="en-US" w:eastAsia="zh-CN" w:bidi="en-US"/>
        </w:rPr>
        <w:t>乌拉盖管理区</w:t>
      </w:r>
      <w:bookmarkStart w:id="1" w:name="_GoBack"/>
      <w:bookmarkEnd w:id="1"/>
      <w:r>
        <w:rPr>
          <w:rFonts w:hint="eastAsia" w:ascii="仿宋" w:hAnsi="仿宋" w:eastAsia="仿宋" w:cs="仿宋"/>
          <w:color w:val="auto"/>
          <w:spacing w:val="1"/>
          <w:w w:val="96"/>
          <w:kern w:val="0"/>
          <w:sz w:val="28"/>
          <w:szCs w:val="28"/>
          <w:highlight w:val="none"/>
          <w:fitText w:val="8400" w:id="2050116686"/>
          <w:lang w:bidi="en-US"/>
        </w:rPr>
        <w:t>分</w:t>
      </w:r>
      <w:r>
        <w:rPr>
          <w:rFonts w:hint="eastAsia" w:ascii="仿宋" w:hAnsi="仿宋" w:eastAsia="仿宋" w:cs="仿宋"/>
          <w:color w:val="auto"/>
          <w:spacing w:val="32"/>
          <w:w w:val="96"/>
          <w:kern w:val="0"/>
          <w:sz w:val="28"/>
          <w:szCs w:val="28"/>
          <w:highlight w:val="none"/>
          <w:fitText w:val="8400" w:id="2050116686"/>
          <w:lang w:bidi="en-US"/>
        </w:rPr>
        <w:t>局</w:t>
      </w:r>
    </w:p>
    <w:p w14:paraId="77A4E4E8">
      <w:pPr>
        <w:keepNext w:val="0"/>
        <w:keepLines w:val="0"/>
        <w:pageBreakBefore w:val="0"/>
        <w:pBdr>
          <w:top w:val="single" w:color="auto" w:sz="4" w:space="1"/>
          <w:left w:val="none" w:color="auto" w:sz="0" w:space="4"/>
          <w:bottom w:val="single" w:color="auto" w:sz="4" w:space="1"/>
          <w:right w:val="none" w:color="auto" w:sz="0" w:space="4"/>
        </w:pBdr>
        <w:kinsoku/>
        <w:wordWrap/>
        <w:overflowPunct/>
        <w:topLinePunct w:val="0"/>
        <w:bidi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锡林郭勒盟生态环境局办公室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C863269-EAD9-4F72-8400-5BECDCDD9DC1}"/>
  </w:font>
  <w:font w:name="黑体">
    <w:panose1 w:val="02010609060101010101"/>
    <w:charset w:val="86"/>
    <w:family w:val="auto"/>
    <w:pitch w:val="default"/>
    <w:sig w:usb0="800002BF" w:usb1="38CF7CFA" w:usb2="00000016" w:usb3="00000000" w:csb0="00040001" w:csb1="00000000"/>
    <w:embedRegular r:id="rId2" w:fontKey="{52B5AA12-1D21-40A3-A961-4BF8397134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2C20BEC0-FEE2-4682-B42F-063EEE4E202A}"/>
  </w:font>
  <w:font w:name="方正小标宋简体">
    <w:panose1 w:val="03000509000000000000"/>
    <w:charset w:val="86"/>
    <w:family w:val="auto"/>
    <w:pitch w:val="default"/>
    <w:sig w:usb0="00000001" w:usb1="080E0000" w:usb2="00000000" w:usb3="00000000" w:csb0="00040000" w:csb1="00000000"/>
    <w:embedRegular r:id="rId4" w:fontKey="{60BD8B09-FB62-4CCB-A237-EB58E0192966}"/>
  </w:font>
  <w:font w:name="楷体">
    <w:panose1 w:val="02010609060101010101"/>
    <w:charset w:val="86"/>
    <w:family w:val="auto"/>
    <w:pitch w:val="default"/>
    <w:sig w:usb0="800002BF" w:usb1="38CF7CFA" w:usb2="00000016" w:usb3="00000000" w:csb0="00040001" w:csb1="00000000"/>
    <w:embedRegular r:id="rId5" w:fontKey="{64F47A86-D970-4DAA-A798-10B14C543FBF}"/>
  </w:font>
  <w:font w:name="仿宋">
    <w:panose1 w:val="02010609060101010101"/>
    <w:charset w:val="86"/>
    <w:family w:val="modern"/>
    <w:pitch w:val="default"/>
    <w:sig w:usb0="800002BF" w:usb1="38CF7CFA" w:usb2="00000016" w:usb3="00000000" w:csb0="00040001" w:csb1="00000000"/>
    <w:embedRegular r:id="rId6" w:fontKey="{B770C085-FEA8-4275-8EED-5E0006FC9737}"/>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B3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4C41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34C41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 w:name="KSO_WPS_MARK_KEY" w:val="09d15ec7-0bf2-44f8-8c61-ef6b5d062c09"/>
  </w:docVars>
  <w:rsids>
    <w:rsidRoot w:val="00BE15C5"/>
    <w:rsid w:val="0023504A"/>
    <w:rsid w:val="0024349F"/>
    <w:rsid w:val="0029260D"/>
    <w:rsid w:val="00314696"/>
    <w:rsid w:val="00351DD5"/>
    <w:rsid w:val="00565FD0"/>
    <w:rsid w:val="005E036A"/>
    <w:rsid w:val="0078439C"/>
    <w:rsid w:val="008A103C"/>
    <w:rsid w:val="00BE15C5"/>
    <w:rsid w:val="00CA00EE"/>
    <w:rsid w:val="00F61EA1"/>
    <w:rsid w:val="010966B9"/>
    <w:rsid w:val="021332F5"/>
    <w:rsid w:val="035110CA"/>
    <w:rsid w:val="0C0A7D34"/>
    <w:rsid w:val="0FD07339"/>
    <w:rsid w:val="12413D84"/>
    <w:rsid w:val="20530B64"/>
    <w:rsid w:val="22346735"/>
    <w:rsid w:val="2BCD76F4"/>
    <w:rsid w:val="30E740DE"/>
    <w:rsid w:val="345474EF"/>
    <w:rsid w:val="39930C47"/>
    <w:rsid w:val="3A953833"/>
    <w:rsid w:val="3B6415BF"/>
    <w:rsid w:val="3C0C16CC"/>
    <w:rsid w:val="3C3E2C88"/>
    <w:rsid w:val="3F214472"/>
    <w:rsid w:val="400841FD"/>
    <w:rsid w:val="413B5CBF"/>
    <w:rsid w:val="4287527F"/>
    <w:rsid w:val="4533740B"/>
    <w:rsid w:val="454B6EE5"/>
    <w:rsid w:val="47D65885"/>
    <w:rsid w:val="48A15F89"/>
    <w:rsid w:val="49B27247"/>
    <w:rsid w:val="4ED63954"/>
    <w:rsid w:val="53082155"/>
    <w:rsid w:val="53715570"/>
    <w:rsid w:val="540E7578"/>
    <w:rsid w:val="541B62E3"/>
    <w:rsid w:val="565E0EBF"/>
    <w:rsid w:val="59761363"/>
    <w:rsid w:val="5C304204"/>
    <w:rsid w:val="5DB93D9B"/>
    <w:rsid w:val="5FBB101A"/>
    <w:rsid w:val="603C62C1"/>
    <w:rsid w:val="642A60FF"/>
    <w:rsid w:val="660D2688"/>
    <w:rsid w:val="66E16111"/>
    <w:rsid w:val="6BF4175A"/>
    <w:rsid w:val="6D01193E"/>
    <w:rsid w:val="6D5745A9"/>
    <w:rsid w:val="6D5FC9E4"/>
    <w:rsid w:val="6E1A4AAF"/>
    <w:rsid w:val="6FC203E7"/>
    <w:rsid w:val="70C71F9F"/>
    <w:rsid w:val="70D72A5F"/>
    <w:rsid w:val="728A58AF"/>
    <w:rsid w:val="72C07522"/>
    <w:rsid w:val="744D770B"/>
    <w:rsid w:val="74F74031"/>
    <w:rsid w:val="772E3597"/>
    <w:rsid w:val="776A0FBB"/>
    <w:rsid w:val="7B9B24FF"/>
    <w:rsid w:val="7EDF2D4D"/>
    <w:rsid w:val="7FF52506"/>
    <w:rsid w:val="99FF24E1"/>
    <w:rsid w:val="ADEE6A43"/>
    <w:rsid w:val="EBBE8A94"/>
    <w:rsid w:val="EBFBA2B3"/>
    <w:rsid w:val="F6F7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3">
    <w:name w:val="Normal Indent"/>
    <w:basedOn w:val="1"/>
    <w:next w:val="4"/>
    <w:qFormat/>
    <w:uiPriority w:val="0"/>
    <w:pPr>
      <w:ind w:firstLine="420" w:firstLineChars="200"/>
    </w:pPr>
    <w:rPr>
      <w:rFonts w:eastAsia="宋体"/>
      <w:sz w:val="21"/>
    </w:rPr>
  </w:style>
  <w:style w:type="paragraph" w:styleId="4">
    <w:name w:val="Body Text First Indent 2"/>
    <w:basedOn w:val="5"/>
    <w:next w:val="1"/>
    <w:qFormat/>
    <w:uiPriority w:val="0"/>
    <w:pPr>
      <w:adjustRightInd w:val="0"/>
      <w:ind w:firstLine="420"/>
      <w:textAlignment w:val="baseline"/>
    </w:pPr>
    <w:rPr>
      <w:rFonts w:ascii="宋体" w:hAnsi="宋体"/>
      <w:sz w:val="18"/>
      <w:szCs w:val="18"/>
    </w:r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annotation text"/>
    <w:basedOn w:val="1"/>
    <w:semiHidden/>
    <w:unhideWhenUsed/>
    <w:qFormat/>
    <w:uiPriority w:val="99"/>
    <w:pPr>
      <w:jc w:val="left"/>
    </w:pPr>
  </w:style>
  <w:style w:type="paragraph" w:styleId="7">
    <w:name w:val="Body Text"/>
    <w:basedOn w:val="1"/>
    <w:next w:val="8"/>
    <w:qFormat/>
    <w:uiPriority w:val="0"/>
    <w:pPr>
      <w:spacing w:after="120" w:afterLines="0" w:afterAutospacing="0"/>
    </w:pPr>
  </w:style>
  <w:style w:type="paragraph" w:customStyle="1" w:styleId="8">
    <w:name w:val="Date1"/>
    <w:basedOn w:val="1"/>
    <w:next w:val="1"/>
    <w:semiHidden/>
    <w:qFormat/>
    <w:locked/>
    <w:uiPriority w:val="0"/>
    <w:pPr>
      <w:adjustRightInd w:val="0"/>
      <w:spacing w:line="312" w:lineRule="atLeast"/>
      <w:ind w:firstLine="0" w:firstLineChars="0"/>
      <w:jc w:val="right"/>
      <w:textAlignment w:val="baseline"/>
    </w:pPr>
    <w:rPr>
      <w:rFonts w:ascii="隶书" w:eastAsia="隶书"/>
      <w:kern w:val="0"/>
      <w:sz w:val="32"/>
      <w:szCs w:val="20"/>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284"/>
        <w:tab w:val="right" w:leader="dot" w:pos="8296"/>
      </w:tabs>
    </w:pPr>
  </w:style>
  <w:style w:type="paragraph" w:styleId="11">
    <w:name w:val="Body Text Indent 3"/>
    <w:basedOn w:val="1"/>
    <w:unhideWhenUsed/>
    <w:qFormat/>
    <w:uiPriority w:val="0"/>
    <w:pPr>
      <w:ind w:firstLine="570"/>
    </w:pPr>
    <w:rPr>
      <w:szCs w:val="20"/>
    </w:rPr>
  </w:style>
  <w:style w:type="paragraph" w:styleId="12">
    <w:name w:val="Body Text First Indent"/>
    <w:basedOn w:val="7"/>
    <w:next w:val="1"/>
    <w:qFormat/>
    <w:uiPriority w:val="0"/>
    <w:pPr>
      <w:spacing w:before="120" w:after="240"/>
      <w:ind w:firstLine="420" w:firstLineChars="100"/>
    </w:pPr>
    <w:rPr>
      <w:rFonts w:ascii="宋体" w:hAnsi="宋体" w:cstheme="minorBidi"/>
      <w:szCs w:val="28"/>
      <w:lang w:val="en-US" w:eastAsia="en-US" w:bidi="ar-SA"/>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未处理的提及1"/>
    <w:basedOn w:val="14"/>
    <w:semiHidden/>
    <w:unhideWhenUsed/>
    <w:qFormat/>
    <w:uiPriority w:val="99"/>
    <w:rPr>
      <w:color w:val="605E5C"/>
      <w:shd w:val="clear" w:color="auto" w:fill="E1DFDD"/>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页眉 字符"/>
    <w:basedOn w:val="14"/>
    <w:link w:val="9"/>
    <w:qFormat/>
    <w:uiPriority w:val="99"/>
    <w:rPr>
      <w:kern w:val="2"/>
      <w:sz w:val="18"/>
      <w:szCs w:val="18"/>
    </w:rPr>
  </w:style>
  <w:style w:type="paragraph" w:customStyle="1" w:styleId="19">
    <w:name w:val="表文"/>
    <w:basedOn w:val="1"/>
    <w:qFormat/>
    <w:uiPriority w:val="0"/>
    <w:pPr>
      <w:overflowPunct w:val="0"/>
      <w:spacing w:line="440" w:lineRule="exact"/>
      <w:jc w:val="center"/>
      <w:textAlignment w:val="baseline"/>
    </w:pPr>
    <w:rPr>
      <w:rFonts w:ascii="Arial" w:hAnsi="Arial" w:eastAsia="宋体" w:cs="Times New Roman"/>
      <w:sz w:val="21"/>
      <w:szCs w:val="20"/>
    </w:rPr>
  </w:style>
  <w:style w:type="paragraph" w:customStyle="1" w:styleId="20">
    <w:name w:val="样式 (符号) 宋体 小四 行距: 1.5 倍行距"/>
    <w:basedOn w:val="1"/>
    <w:qFormat/>
    <w:uiPriority w:val="0"/>
    <w:pPr>
      <w:spacing w:line="360" w:lineRule="auto"/>
      <w:ind w:firstLine="200" w:firstLineChars="200"/>
    </w:pPr>
    <w:rPr>
      <w:rFonts w:ascii="Times New Roman" w:hAnsi="Times New Roman" w:eastAsia="宋体" w:cs="宋体"/>
      <w:sz w:val="24"/>
    </w:rPr>
  </w:style>
  <w:style w:type="paragraph" w:customStyle="1" w:styleId="21">
    <w:name w:val="样式5"/>
    <w:basedOn w:val="22"/>
    <w:qFormat/>
    <w:uiPriority w:val="0"/>
    <w:pPr>
      <w:widowControl/>
      <w:snapToGrid w:val="0"/>
      <w:spacing w:line="360" w:lineRule="auto"/>
      <w:ind w:firstLine="510"/>
      <w:jc w:val="left"/>
    </w:pPr>
    <w:rPr>
      <w:sz w:val="24"/>
      <w:szCs w:val="24"/>
    </w:rPr>
  </w:style>
  <w:style w:type="paragraph" w:customStyle="1" w:styleId="22">
    <w:name w:val="正文1"/>
    <w:basedOn w:val="1"/>
    <w:qFormat/>
    <w:uiPriority w:val="0"/>
    <w:pPr>
      <w:spacing w:line="360" w:lineRule="auto"/>
      <w:ind w:firstLine="200" w:firstLineChars="200"/>
    </w:pPr>
    <w:rPr>
      <w:snapToGrid w:val="0"/>
      <w:sz w:val="24"/>
      <w:szCs w:val="24"/>
      <w:lang w:eastAsia="en-US"/>
    </w:rPr>
  </w:style>
  <w:style w:type="paragraph" w:customStyle="1" w:styleId="23">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2306</Words>
  <Characters>2423</Characters>
  <Lines>12</Lines>
  <Paragraphs>3</Paragraphs>
  <TotalTime>8</TotalTime>
  <ScaleCrop>false</ScaleCrop>
  <LinksUpToDate>false</LinksUpToDate>
  <CharactersWithSpaces>2533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2023-01-30T20:14:00Z</dcterms:created>
  <dc:creator>hui hui</dc:creator>
  <cp:lastModifiedBy>ོʚ 中ོ然ོ ɞ</cp:lastModifiedBy>
  <dcterms:modified xsi:type="dcterms:W3CDTF">2024-12-30T11:51:29Z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DDE6FC7FC8304804BD3B868FEBB769BB_13</vt:lpwstr>
  </property>
  <property fmtid="{D5CDD505-2E9C-101B-9397-08002B2CF9AE}" pid="4" name="KSOTemplateDocerSaveRecord">
    <vt:lpwstr>eyJoZGlkIjoiNTk0MDc0MWE2MzMxMjkwZmE5ODU4OGMzYzc5YjkzMTAiLCJ1c2VySWQiOiI1NDkxMDYxNjAifQ==</vt:lpwstr>
  </property>
</Properties>
</file>