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8089F">
      <w:pPr>
        <w:keepNext w:val="0"/>
        <w:keepLines w:val="0"/>
        <w:pageBreakBefore w:val="0"/>
        <w:widowControl w:val="0"/>
        <w:kinsoku/>
        <w:wordWrap/>
        <w:overflowPunct/>
        <w:topLinePunct w:val="0"/>
        <w:bidi w:val="0"/>
        <w:snapToGrid w:val="0"/>
        <w:spacing w:line="560" w:lineRule="exact"/>
        <w:jc w:val="center"/>
        <w:rPr>
          <w:rFonts w:ascii="Calibri" w:hAnsi="Calibri" w:eastAsia="宋体" w:cs="Arial"/>
          <w:color w:val="auto"/>
          <w:sz w:val="28"/>
          <w:szCs w:val="28"/>
        </w:rPr>
      </w:pPr>
    </w:p>
    <w:p w14:paraId="66682AB0">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25A170FB">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6003381F">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229ED7D1">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1C8CFC09">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6A1CAF44">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7842A742">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57608D94">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55BC3A44">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B961357">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29251D1C">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东环审表</w:t>
      </w:r>
      <w:r>
        <w:rPr>
          <w:rFonts w:hint="eastAsia" w:ascii="仿宋_GB2312" w:hAnsi="黑体" w:eastAsia="仿宋_GB2312" w:cs="Arial"/>
          <w:color w:val="auto"/>
          <w:sz w:val="32"/>
          <w:szCs w:val="32"/>
          <w:highlight w:val="none"/>
        </w:rPr>
        <w:t>〔202</w:t>
      </w:r>
      <w:r>
        <w:rPr>
          <w:rFonts w:hint="eastAsia" w:ascii="仿宋_GB2312" w:hAnsi="黑体" w:eastAsia="仿宋_GB2312" w:cs="Arial"/>
          <w:color w:val="auto"/>
          <w:sz w:val="32"/>
          <w:szCs w:val="32"/>
          <w:highlight w:val="none"/>
          <w:lang w:val="en-US" w:eastAsia="zh-CN"/>
        </w:rPr>
        <w:t>4</w:t>
      </w:r>
      <w:r>
        <w:rPr>
          <w:rFonts w:hint="eastAsia" w:ascii="仿宋_GB2312" w:hAnsi="黑体"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11</w:t>
      </w:r>
      <w:r>
        <w:rPr>
          <w:rFonts w:hint="eastAsia" w:ascii="仿宋_GB2312" w:hAnsi="Calibri" w:eastAsia="仿宋_GB2312" w:cs="Arial"/>
          <w:color w:val="auto"/>
          <w:sz w:val="32"/>
          <w:szCs w:val="32"/>
          <w:highlight w:val="none"/>
        </w:rPr>
        <w:t xml:space="preserve">号   </w:t>
      </w:r>
    </w:p>
    <w:p w14:paraId="48EDA33E">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highlight w:val="none"/>
        </w:rPr>
      </w:pPr>
      <w:r>
        <w:rPr>
          <w:rFonts w:ascii="Calibri" w:hAnsi="Calibri" w:eastAsia="宋体" w:cs="Arial"/>
          <w:color w:val="auto"/>
          <w:sz w:val="28"/>
          <w:szCs w:val="28"/>
          <w:highlight w:val="none"/>
        </w:rPr>
        <w:t xml:space="preserve"> </w:t>
      </w:r>
    </w:p>
    <w:p w14:paraId="30939483">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锡林郭勒盟生态环境局</w:t>
      </w:r>
    </w:p>
    <w:p w14:paraId="745B315E">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关于</w:t>
      </w:r>
      <w:r>
        <w:rPr>
          <w:rFonts w:hint="eastAsia" w:ascii="方正小标宋简体" w:hAnsi="Calibri" w:eastAsia="方正小标宋简体" w:cs="Arial"/>
          <w:color w:val="auto"/>
          <w:sz w:val="44"/>
          <w:szCs w:val="44"/>
          <w:highlight w:val="none"/>
          <w:lang w:val="en-US" w:eastAsia="zh-CN"/>
        </w:rPr>
        <w:t>东乌珠穆沁旗沁牧食品有限公司危险废物暂存间项目</w:t>
      </w:r>
      <w:r>
        <w:rPr>
          <w:rFonts w:hint="eastAsia" w:ascii="方正小标宋简体" w:hAnsi="Calibri" w:eastAsia="方正小标宋简体" w:cs="Arial"/>
          <w:color w:val="auto"/>
          <w:sz w:val="44"/>
          <w:szCs w:val="44"/>
          <w:highlight w:val="none"/>
        </w:rPr>
        <w:t xml:space="preserve">环境影响报告表的批复 </w:t>
      </w:r>
    </w:p>
    <w:p w14:paraId="5C50DEFA">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highlight w:val="none"/>
        </w:rPr>
      </w:pPr>
      <w:r>
        <w:rPr>
          <w:rFonts w:hint="eastAsia" w:ascii="方正小标宋简体" w:hAnsi="Calibri" w:eastAsia="方正小标宋简体" w:cs="Arial"/>
          <w:color w:val="auto"/>
          <w:sz w:val="44"/>
          <w:szCs w:val="44"/>
          <w:highlight w:val="none"/>
          <w:lang w:val="en-US" w:eastAsia="zh-CN"/>
        </w:rPr>
        <w:t xml:space="preserve"> </w:t>
      </w:r>
      <w:r>
        <w:rPr>
          <w:rFonts w:hint="eastAsia" w:ascii="仿宋_GB2312" w:hAnsi="Calibri" w:eastAsia="仿宋_GB2312" w:cs="Arial"/>
          <w:color w:val="auto"/>
          <w:sz w:val="36"/>
          <w:szCs w:val="36"/>
          <w:highlight w:val="none"/>
        </w:rPr>
        <w:t xml:space="preserve"> </w:t>
      </w:r>
    </w:p>
    <w:p w14:paraId="0B963E6F">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东乌珠穆沁旗沁牧食品有限公司：</w:t>
      </w:r>
    </w:p>
    <w:p w14:paraId="5597E2B4">
      <w:pPr>
        <w:keepNext w:val="0"/>
        <w:keepLines w:val="0"/>
        <w:pageBreakBefore w:val="0"/>
        <w:widowControl w:val="0"/>
        <w:kinsoku/>
        <w:wordWrap/>
        <w:overflowPunct/>
        <w:topLinePunct w:val="0"/>
        <w:autoSpaceDE w:val="0"/>
        <w:bidi w:val="0"/>
        <w:adjustRightInd w:val="0"/>
        <w:snapToGrid w:val="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你公司委托</w:t>
      </w:r>
      <w:r>
        <w:rPr>
          <w:rFonts w:hint="eastAsia" w:ascii="仿宋_GB2312" w:hAnsi="仿宋_GB2312" w:eastAsia="仿宋_GB2312" w:cs="仿宋_GB2312"/>
          <w:bCs/>
          <w:color w:val="auto"/>
          <w:sz w:val="32"/>
          <w:szCs w:val="32"/>
          <w:highlight w:val="none"/>
          <w:lang w:eastAsia="zh-CN"/>
        </w:rPr>
        <w:t>锡林郭勒盟中安环境技术咨询有限责任公司</w:t>
      </w:r>
      <w:r>
        <w:rPr>
          <w:rFonts w:hint="eastAsia" w:ascii="仿宋_GB2312" w:hAnsi="仿宋_GB2312" w:eastAsia="仿宋_GB2312" w:cs="仿宋_GB2312"/>
          <w:bCs/>
          <w:color w:val="auto"/>
          <w:sz w:val="32"/>
          <w:szCs w:val="32"/>
          <w:highlight w:val="none"/>
        </w:rPr>
        <w:t>编制的《</w:t>
      </w:r>
      <w:r>
        <w:rPr>
          <w:rFonts w:hint="eastAsia" w:ascii="仿宋_GB2312" w:hAnsi="仿宋_GB2312" w:eastAsia="仿宋_GB2312" w:cs="仿宋_GB2312"/>
          <w:bCs/>
          <w:color w:val="auto"/>
          <w:sz w:val="32"/>
          <w:szCs w:val="32"/>
          <w:highlight w:val="none"/>
          <w:lang w:val="en-US" w:eastAsia="zh-CN"/>
        </w:rPr>
        <w:t>东乌珠穆沁旗沁牧食品有限公司危险废物暂存间项目</w:t>
      </w:r>
      <w:r>
        <w:rPr>
          <w:rFonts w:hint="eastAsia" w:ascii="仿宋_GB2312" w:hAnsi="仿宋_GB2312" w:eastAsia="仿宋_GB2312" w:cs="仿宋_GB2312"/>
          <w:color w:val="auto"/>
          <w:sz w:val="32"/>
          <w:szCs w:val="32"/>
          <w:highlight w:val="none"/>
        </w:rPr>
        <w:t>》环境影响报告表</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14:paraId="676C3D2C">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一、建设项目基本情况</w:t>
      </w:r>
    </w:p>
    <w:p w14:paraId="57BA4564">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本项目位于内蒙古自治区锡林郭勒盟东乌珠穆沁旗</w:t>
      </w:r>
      <w:r>
        <w:rPr>
          <w:rFonts w:hint="eastAsia" w:ascii="仿宋_GB2312" w:hAnsi="仿宋_GB2312" w:eastAsia="仿宋_GB2312" w:cs="仿宋_GB2312"/>
          <w:color w:val="auto"/>
          <w:sz w:val="32"/>
          <w:szCs w:val="32"/>
          <w:highlight w:val="none"/>
          <w:lang w:eastAsia="zh-CN"/>
        </w:rPr>
        <w:t>乌里雅斯太镇</w:t>
      </w:r>
      <w:r>
        <w:rPr>
          <w:rFonts w:hint="eastAsia" w:ascii="仿宋_GB2312" w:hAnsi="仿宋_GB2312" w:eastAsia="仿宋_GB2312" w:cs="仿宋_GB2312"/>
          <w:color w:val="auto"/>
          <w:sz w:val="32"/>
          <w:szCs w:val="32"/>
          <w:highlight w:val="none"/>
          <w:lang w:val="en-US" w:eastAsia="zh-CN"/>
        </w:rPr>
        <w:t xml:space="preserve">东乌珠穆沁旗沁牧食品有限公司院内 </w:t>
      </w:r>
      <w:r>
        <w:rPr>
          <w:rFonts w:hint="eastAsia" w:ascii="仿宋_GB2312" w:hAnsi="仿宋_GB2312" w:eastAsia="仿宋_GB2312" w:cs="仿宋_GB2312"/>
          <w:color w:val="auto"/>
          <w:sz w:val="32"/>
          <w:szCs w:val="32"/>
          <w:highlight w:val="none"/>
        </w:rPr>
        <w:t>，地理坐标</w:t>
      </w:r>
      <w:r>
        <w:rPr>
          <w:rFonts w:hint="eastAsia" w:ascii="仿宋_GB2312" w:hAnsi="仿宋_GB2312" w:eastAsia="仿宋_GB2312" w:cs="仿宋_GB2312"/>
          <w:color w:val="auto"/>
          <w:sz w:val="32"/>
          <w:szCs w:val="32"/>
          <w:highlight w:val="none"/>
          <w:lang w:val="en-US" w:eastAsia="zh-CN"/>
        </w:rPr>
        <w:t>为东经：116°59′52.149″北纬：45°31′4.205″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属于</w:t>
      </w:r>
      <w:r>
        <w:rPr>
          <w:rFonts w:hint="eastAsia" w:ascii="仿宋_GB2312" w:hAnsi="仿宋_GB2312" w:eastAsia="仿宋_GB2312" w:cs="仿宋_GB2312"/>
          <w:color w:val="auto"/>
          <w:sz w:val="32"/>
          <w:szCs w:val="32"/>
          <w:highlight w:val="none"/>
          <w:lang w:val="en-US" w:eastAsia="zh-CN"/>
        </w:rPr>
        <w:t>新建</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总占地</w:t>
      </w:r>
      <w:r>
        <w:rPr>
          <w:rFonts w:hint="eastAsia" w:ascii="仿宋_GB2312" w:hAnsi="仿宋_GB2312" w:eastAsia="仿宋_GB2312" w:cs="仿宋_GB2312"/>
          <w:color w:val="auto"/>
          <w:sz w:val="32"/>
          <w:szCs w:val="32"/>
          <w:highlight w:val="none"/>
          <w:lang w:val="en-US" w:eastAsia="zh-CN"/>
        </w:rPr>
        <w:t>面积为21</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。主体工程为危废暂存间（砖混结构，用于储存在线监测设备产生的废液），总占地面积21</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，四周设80cm高防渗裙角、地面设置导流槽，危废暂存间西南角设置废液收集池1个，容积为0.5m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color w:val="auto"/>
          <w:sz w:val="32"/>
          <w:szCs w:val="32"/>
          <w:highlight w:val="none"/>
          <w:lang w:val="en-US" w:eastAsia="zh-CN"/>
        </w:rPr>
        <w:t>，门口设置围堰，地面防渗处理采用混凝土+2毫米HDPE膜+混凝土保护层＋2毫米厚环氧树脂，渗透系数不大于10</w:t>
      </w:r>
      <w:r>
        <w:rPr>
          <w:rFonts w:hint="eastAsia" w:ascii="仿宋_GB2312" w:hAnsi="仿宋_GB2312" w:eastAsia="仿宋_GB2312" w:cs="仿宋_GB2312"/>
          <w:color w:val="auto"/>
          <w:sz w:val="32"/>
          <w:szCs w:val="32"/>
          <w:highlight w:val="none"/>
          <w:vertAlign w:val="superscript"/>
          <w:lang w:val="en-US" w:eastAsia="zh-CN"/>
        </w:rPr>
        <w:t>-10</w:t>
      </w:r>
      <w:r>
        <w:rPr>
          <w:rFonts w:hint="eastAsia" w:ascii="仿宋_GB2312" w:hAnsi="仿宋_GB2312" w:eastAsia="仿宋_GB2312" w:cs="仿宋_GB2312"/>
          <w:color w:val="auto"/>
          <w:sz w:val="32"/>
          <w:szCs w:val="32"/>
          <w:highlight w:val="none"/>
          <w:lang w:val="en-US" w:eastAsia="zh-CN"/>
        </w:rPr>
        <w:t>cm/s，贮存能力为0.5t/a；辅助工程为办公生活区、消防设施；公用工程为供电系统、消防系统。</w:t>
      </w:r>
    </w:p>
    <w:p w14:paraId="0F8E80A7">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总投资5</w:t>
      </w:r>
      <w:r>
        <w:rPr>
          <w:rFonts w:hint="eastAsia" w:ascii="仿宋_GB2312" w:hAnsi="仿宋_GB2312" w:eastAsia="仿宋_GB2312" w:cs="仿宋_GB2312"/>
          <w:bCs/>
          <w:color w:val="auto"/>
          <w:sz w:val="32"/>
          <w:szCs w:val="32"/>
          <w:highlight w:val="none"/>
        </w:rPr>
        <w:t>万元，环保投资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占总投资的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w:t>
      </w:r>
      <w:bookmarkStart w:id="0" w:name="_GoBack"/>
      <w:bookmarkEnd w:id="0"/>
    </w:p>
    <w:p w14:paraId="1E22F1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GB" w:eastAsia="zh-CN"/>
        </w:rPr>
        <w:t>依</w:t>
      </w:r>
      <w:r>
        <w:rPr>
          <w:rFonts w:hint="eastAsia" w:ascii="仿宋_GB2312" w:hAnsi="仿宋_GB2312" w:eastAsia="仿宋_GB2312" w:cs="仿宋_GB2312"/>
          <w:color w:val="auto"/>
          <w:sz w:val="32"/>
          <w:szCs w:val="32"/>
          <w:highlight w:val="none"/>
          <w:lang w:val="en-GB"/>
        </w:rPr>
        <w:t>据《产业结构调整指导目录》(20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GB"/>
        </w:rPr>
        <w:t>年本</w:t>
      </w:r>
      <w:r>
        <w:rPr>
          <w:rFonts w:hint="eastAsia" w:ascii="仿宋_GB2312" w:hAnsi="仿宋_GB2312" w:eastAsia="仿宋_GB2312" w:cs="仿宋_GB2312"/>
          <w:color w:val="auto"/>
          <w:sz w:val="32"/>
          <w:szCs w:val="32"/>
          <w:highlight w:val="none"/>
          <w:lang w:val="en-GB" w:eastAsia="zh-CN"/>
        </w:rPr>
        <w:t>）</w:t>
      </w:r>
      <w:r>
        <w:rPr>
          <w:rFonts w:hint="eastAsia" w:ascii="仿宋_GB2312" w:hAnsi="仿宋_GB2312" w:eastAsia="仿宋_GB2312" w:cs="仿宋_GB2312"/>
          <w:color w:val="auto"/>
          <w:sz w:val="32"/>
          <w:szCs w:val="32"/>
          <w:highlight w:val="none"/>
          <w:lang w:val="en-GB"/>
        </w:rPr>
        <w:t>，本项目属于</w:t>
      </w:r>
      <w:r>
        <w:rPr>
          <w:rFonts w:hint="eastAsia" w:ascii="仿宋_GB2312" w:hAnsi="仿宋_GB2312" w:eastAsia="仿宋_GB2312" w:cs="仿宋_GB2312"/>
          <w:color w:val="auto"/>
          <w:sz w:val="32"/>
          <w:szCs w:val="32"/>
          <w:highlight w:val="none"/>
          <w:lang w:val="en-US" w:eastAsia="zh-CN"/>
        </w:rPr>
        <w:t>允许类建设项目。</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国家产业政策要求</w:t>
      </w:r>
      <w:r>
        <w:rPr>
          <w:rFonts w:hint="eastAsia" w:ascii="仿宋_GB2312" w:hAnsi="仿宋_GB2312" w:eastAsia="仿宋_GB2312" w:cs="仿宋_GB2312"/>
          <w:color w:val="auto"/>
          <w:sz w:val="32"/>
          <w:szCs w:val="32"/>
          <w:highlight w:val="none"/>
          <w:lang w:val="en-US" w:eastAsia="zh-CN"/>
        </w:rPr>
        <w:t>及我盟“三线一单”管控要求。</w:t>
      </w:r>
    </w:p>
    <w:p w14:paraId="290BDC48">
      <w:pPr>
        <w:pStyle w:val="13"/>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在全面落实《</w:t>
      </w:r>
      <w:r>
        <w:rPr>
          <w:rFonts w:hint="eastAsia" w:ascii="仿宋_GB2312" w:hAnsi="仿宋_GB2312" w:eastAsia="仿宋_GB2312" w:cs="仿宋_GB2312"/>
          <w:b w:val="0"/>
          <w:bCs/>
          <w:color w:val="auto"/>
          <w:sz w:val="32"/>
          <w:szCs w:val="32"/>
          <w:highlight w:val="none"/>
          <w:u w:val="none"/>
          <w:lang w:val="en-US" w:eastAsia="zh-CN"/>
        </w:rPr>
        <w:t>报告表</w:t>
      </w:r>
      <w:r>
        <w:rPr>
          <w:rFonts w:hint="eastAsia" w:ascii="仿宋_GB2312" w:hAnsi="仿宋_GB2312" w:eastAsia="仿宋_GB2312" w:cs="仿宋_GB2312"/>
          <w:color w:val="auto"/>
          <w:sz w:val="32"/>
          <w:szCs w:val="32"/>
          <w:highlight w:val="none"/>
          <w:lang w:val="en-US" w:eastAsia="zh-CN"/>
        </w:rPr>
        <w:t>》中提出的各项污染防治措施后，可使环境污染和生态破坏控制在允许范围内，从生态环境保护的角度分析，该项目建设可行。</w:t>
      </w:r>
    </w:p>
    <w:p w14:paraId="2D249FA8">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Arial"/>
          <w:color w:val="auto"/>
          <w:sz w:val="32"/>
          <w:szCs w:val="32"/>
          <w:highlight w:val="none"/>
          <w:lang w:eastAsia="zh-CN"/>
        </w:rPr>
      </w:pPr>
      <w:r>
        <w:rPr>
          <w:rFonts w:hint="eastAsia" w:ascii="黑体" w:hAnsi="黑体" w:eastAsia="黑体" w:cs="Arial"/>
          <w:color w:val="auto"/>
          <w:sz w:val="32"/>
          <w:szCs w:val="32"/>
          <w:highlight w:val="none"/>
        </w:rPr>
        <w:t>二、项目建设及运营</w:t>
      </w:r>
      <w:r>
        <w:rPr>
          <w:rFonts w:hint="eastAsia" w:ascii="黑体" w:hAnsi="黑体" w:eastAsia="黑体" w:cs="Arial"/>
          <w:color w:val="auto"/>
          <w:sz w:val="32"/>
          <w:szCs w:val="32"/>
          <w:highlight w:val="none"/>
          <w:lang w:val="en-US" w:eastAsia="zh-CN"/>
        </w:rPr>
        <w:t>过程中的相关责任</w:t>
      </w:r>
    </w:p>
    <w:p w14:paraId="2F1F59E6">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（一）废气方面。</w:t>
      </w:r>
    </w:p>
    <w:p w14:paraId="58D22904">
      <w:pPr>
        <w:pStyle w:val="25"/>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color w:val="auto"/>
          <w:sz w:val="32"/>
          <w:szCs w:val="32"/>
          <w:highlight w:val="none"/>
          <w:shd w:val="clear" w:color="auto" w:fill="FFFFFF"/>
          <w:lang w:val="en-US" w:eastAsia="zh-CN"/>
        </w:rPr>
      </w:pPr>
      <w:r>
        <w:rPr>
          <w:rFonts w:hint="eastAsia" w:ascii="仿宋_GB2312" w:eastAsia="仿宋_GB2312"/>
          <w:color w:val="auto"/>
          <w:sz w:val="32"/>
          <w:szCs w:val="32"/>
          <w:highlight w:val="none"/>
          <w:shd w:val="clear" w:color="auto" w:fill="FFFFFF"/>
          <w:lang w:val="en-US" w:eastAsia="zh-CN"/>
        </w:rPr>
        <w:t>施工期现场采取封闭式管理，对运输车辆采取限制车速及加盖苫布、遇到恶劣天气禁止施工作业等措施，抑制扬尘对环境的污染。营运期通过密封桶装（废液），车间安装排风扇等措施加强通风</w:t>
      </w:r>
      <w:r>
        <w:rPr>
          <w:rFonts w:hint="eastAsia" w:ascii="仿宋_GB2312" w:hAnsi="宋体" w:eastAsia="仿宋_GB2312" w:cs="宋体"/>
          <w:color w:val="auto"/>
          <w:sz w:val="32"/>
          <w:szCs w:val="32"/>
          <w:highlight w:val="none"/>
          <w:shd w:val="clear" w:color="auto" w:fill="FFFFFF"/>
          <w:lang w:val="en-US" w:eastAsia="zh-CN"/>
        </w:rPr>
        <w:t>，</w:t>
      </w:r>
      <w:r>
        <w:rPr>
          <w:rFonts w:hint="eastAsia" w:ascii="仿宋_GB2312" w:eastAsia="仿宋_GB2312"/>
          <w:color w:val="auto"/>
          <w:sz w:val="32"/>
          <w:szCs w:val="32"/>
          <w:highlight w:val="none"/>
          <w:shd w:val="clear" w:color="auto" w:fill="FFFFFF"/>
          <w:lang w:val="en-US" w:eastAsia="zh-CN"/>
        </w:rPr>
        <w:t>严格按照《大气污染物综合排放标准》（GB16297-1996）表2要求执行。</w:t>
      </w:r>
    </w:p>
    <w:p w14:paraId="6A196A56">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（二）废水方面。</w:t>
      </w:r>
    </w:p>
    <w:p w14:paraId="7B4C27F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yellow"/>
          <w:lang w:eastAsia="zh-CN"/>
        </w:rPr>
      </w:pPr>
      <w:r>
        <w:rPr>
          <w:rFonts w:hint="eastAsia" w:ascii="仿宋_GB2312" w:hAnsi="Calibri" w:eastAsia="仿宋_GB2312" w:cs="Arial"/>
          <w:bCs/>
          <w:color w:val="auto"/>
          <w:sz w:val="32"/>
          <w:szCs w:val="32"/>
          <w:highlight w:val="none"/>
        </w:rPr>
        <w:t>生活污水集中收集后进行处理，严禁向外环境排放</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lang w:val="en-US" w:eastAsia="zh-CN"/>
        </w:rPr>
        <w:t>本项目为危险废物暂存项目，只对本厂区危险废物进行收集、贮存，不进行运输、处置、利用，不会产生生产性废水，危废暂存库地面、墙面及集水池要严格按照《危险废物贮存污染控制标准》（GB 18597—2023）中要求采取防渗措施。</w:t>
      </w:r>
    </w:p>
    <w:p w14:paraId="00F1E2E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14:paraId="1631BD4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Calibri" w:eastAsia="仿宋_GB2312" w:cs="Arial"/>
          <w:color w:val="auto"/>
          <w:sz w:val="32"/>
          <w:szCs w:val="32"/>
          <w:highlight w:val="none"/>
          <w:lang w:val="en-US" w:eastAsia="zh-CN"/>
        </w:rPr>
      </w:pPr>
      <w:r>
        <w:rPr>
          <w:rFonts w:hint="eastAsia" w:ascii="仿宋_GB2312" w:hAnsi="Calibri" w:eastAsia="仿宋_GB2312" w:cs="Arial"/>
          <w:color w:val="auto"/>
          <w:sz w:val="32"/>
          <w:szCs w:val="32"/>
          <w:highlight w:val="none"/>
          <w:lang w:val="en-US" w:eastAsia="zh-CN"/>
        </w:rPr>
        <w:t>加强建设期及营运期</w:t>
      </w:r>
      <w:r>
        <w:rPr>
          <w:rFonts w:hint="eastAsia" w:ascii="仿宋_GB2312" w:hAnsi="Calibri" w:eastAsia="仿宋_GB2312" w:cs="Arial"/>
          <w:color w:val="auto"/>
          <w:sz w:val="32"/>
          <w:szCs w:val="32"/>
          <w:highlight w:val="none"/>
        </w:rPr>
        <w:t>运输车辆</w:t>
      </w:r>
      <w:r>
        <w:rPr>
          <w:rFonts w:hint="eastAsia" w:ascii="仿宋_GB2312" w:hAnsi="Calibri" w:eastAsia="仿宋_GB2312" w:cs="Arial"/>
          <w:color w:val="auto"/>
          <w:sz w:val="32"/>
          <w:szCs w:val="32"/>
          <w:highlight w:val="none"/>
          <w:lang w:val="en-US" w:eastAsia="zh-CN"/>
        </w:rPr>
        <w:t>管理，采取减速慢行</w:t>
      </w:r>
      <w:r>
        <w:rPr>
          <w:rFonts w:hint="eastAsia" w:ascii="仿宋_GB2312" w:hAnsi="Calibri" w:eastAsia="仿宋_GB2312" w:cs="Arial"/>
          <w:color w:val="auto"/>
          <w:sz w:val="32"/>
          <w:szCs w:val="32"/>
          <w:highlight w:val="none"/>
        </w:rPr>
        <w:t>、禁止鸣笛等措施</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生产设备合理布局，</w:t>
      </w:r>
      <w:r>
        <w:rPr>
          <w:rFonts w:hint="eastAsia" w:ascii="仿宋_GB2312" w:hAnsi="Calibri" w:eastAsia="仿宋_GB2312" w:cs="Arial"/>
          <w:color w:val="auto"/>
          <w:sz w:val="32"/>
          <w:szCs w:val="32"/>
          <w:highlight w:val="none"/>
        </w:rPr>
        <w:t>采取减振、降噪</w:t>
      </w:r>
      <w:r>
        <w:rPr>
          <w:rFonts w:hint="eastAsia" w:ascii="仿宋_GB2312" w:hAnsi="Calibri" w:eastAsia="仿宋_GB2312" w:cs="Arial"/>
          <w:color w:val="auto"/>
          <w:sz w:val="32"/>
          <w:szCs w:val="32"/>
          <w:highlight w:val="none"/>
          <w:lang w:val="en-US" w:eastAsia="zh-CN"/>
        </w:rPr>
        <w:t>等先进技术</w:t>
      </w:r>
      <w:r>
        <w:rPr>
          <w:rFonts w:hint="eastAsia" w:ascii="仿宋_GB2312" w:hAnsi="Calibri" w:eastAsia="仿宋_GB2312" w:cs="Arial"/>
          <w:color w:val="auto"/>
          <w:sz w:val="32"/>
          <w:szCs w:val="32"/>
          <w:highlight w:val="none"/>
        </w:rPr>
        <w:t>措施，</w:t>
      </w:r>
      <w:r>
        <w:rPr>
          <w:rFonts w:hint="eastAsia" w:ascii="仿宋_GB2312" w:hAnsi="Calibri" w:eastAsia="仿宋_GB2312" w:cs="Arial"/>
          <w:color w:val="auto"/>
          <w:sz w:val="32"/>
          <w:szCs w:val="32"/>
          <w:highlight w:val="none"/>
          <w:lang w:val="en-US" w:eastAsia="zh-CN"/>
        </w:rPr>
        <w:t>降低噪声污染。施工期、营运期噪声执行《建筑施工场界环境噪声排放标准》（GB12523-2011），《工业企业厂界环境噪声排放标准》（GB12348-2008）2类标准。</w:t>
      </w:r>
    </w:p>
    <w:p w14:paraId="496FE45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（四）固废方面。</w:t>
      </w:r>
    </w:p>
    <w:p w14:paraId="5FB09D6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仿宋_GB2312" w:hAnsi="Calibri" w:eastAsia="仿宋_GB2312" w:cs="Arial"/>
          <w:color w:val="auto"/>
          <w:sz w:val="32"/>
          <w:szCs w:val="32"/>
          <w:highlight w:val="none"/>
          <w:lang w:val="en-US" w:eastAsia="zh-CN"/>
        </w:rPr>
        <w:t>建设期</w:t>
      </w:r>
      <w:r>
        <w:rPr>
          <w:rFonts w:hint="eastAsia" w:ascii="仿宋_GB2312" w:hAnsi="Calibri" w:eastAsia="仿宋_GB2312" w:cs="Arial"/>
          <w:color w:val="auto"/>
          <w:sz w:val="32"/>
          <w:szCs w:val="32"/>
          <w:highlight w:val="none"/>
        </w:rPr>
        <w:t>产生的弃土、弃料</w:t>
      </w:r>
      <w:r>
        <w:rPr>
          <w:rFonts w:hint="eastAsia" w:ascii="仿宋_GB2312" w:hAnsi="Calibri" w:eastAsia="仿宋_GB2312" w:cs="Arial"/>
          <w:color w:val="auto"/>
          <w:sz w:val="32"/>
          <w:szCs w:val="32"/>
          <w:highlight w:val="none"/>
          <w:lang w:val="en-US" w:eastAsia="zh-CN"/>
        </w:rPr>
        <w:t>等随产随清</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eastAsia="zh-CN"/>
        </w:rPr>
        <w:t>及时回收综合利用</w:t>
      </w:r>
      <w:r>
        <w:rPr>
          <w:rFonts w:hint="eastAsia" w:ascii="仿宋_GB2312" w:hAnsi="Calibri" w:eastAsia="仿宋_GB2312" w:cs="Arial"/>
          <w:color w:val="auto"/>
          <w:sz w:val="32"/>
          <w:szCs w:val="32"/>
          <w:highlight w:val="none"/>
          <w:lang w:val="en-US" w:eastAsia="zh-CN"/>
        </w:rPr>
        <w:t>或</w:t>
      </w:r>
      <w:r>
        <w:rPr>
          <w:rFonts w:hint="eastAsia" w:ascii="仿宋_GB2312" w:hAnsi="Calibri" w:eastAsia="仿宋_GB2312" w:cs="Arial"/>
          <w:color w:val="auto"/>
          <w:sz w:val="32"/>
          <w:szCs w:val="32"/>
          <w:highlight w:val="none"/>
        </w:rPr>
        <w:t>清运至</w:t>
      </w:r>
      <w:r>
        <w:rPr>
          <w:rFonts w:hint="eastAsia" w:ascii="仿宋_GB2312" w:eastAsia="仿宋_GB2312" w:cs="Arial"/>
          <w:color w:val="auto"/>
          <w:sz w:val="32"/>
          <w:szCs w:val="32"/>
          <w:highlight w:val="none"/>
          <w:lang w:val="en-US" w:eastAsia="zh-CN"/>
        </w:rPr>
        <w:t>我旗正规处置场所；营运期产生的在线监测设备废液，委托有资质的单位进行处置，</w:t>
      </w:r>
      <w:r>
        <w:rPr>
          <w:rFonts w:hint="eastAsia" w:ascii="仿宋_GB2312" w:hAnsi="Calibri" w:eastAsia="仿宋_GB2312" w:cs="Arial"/>
          <w:color w:val="auto"/>
          <w:sz w:val="32"/>
          <w:szCs w:val="32"/>
          <w:highlight w:val="none"/>
          <w:lang w:val="en-US" w:eastAsia="zh-CN"/>
        </w:rPr>
        <w:t>严格执行</w:t>
      </w:r>
      <w:r>
        <w:rPr>
          <w:rFonts w:hint="eastAsia" w:ascii="仿宋_GB2312" w:hAnsi="仿宋_GB2312" w:eastAsia="仿宋_GB2312" w:cs="仿宋_GB2312"/>
          <w:color w:val="auto"/>
          <w:sz w:val="32"/>
          <w:szCs w:val="32"/>
          <w:highlight w:val="none"/>
          <w:lang w:val="en-US" w:eastAsia="zh-CN"/>
        </w:rPr>
        <w:t>《危险废物贮存污染控制标准》（GB18597-2023）、</w:t>
      </w:r>
      <w:r>
        <w:rPr>
          <w:rFonts w:hint="eastAsia" w:ascii="仿宋_GB2312" w:hAnsi="Calibri" w:eastAsia="仿宋_GB2312" w:cs="Arial"/>
          <w:color w:val="auto"/>
          <w:sz w:val="32"/>
          <w:szCs w:val="32"/>
          <w:highlight w:val="none"/>
          <w:lang w:val="en-US" w:eastAsia="zh-CN"/>
        </w:rPr>
        <w:t>危险废物转移联单制度等相关法律法规及管理要求，张贴危险废物标识，建立危险废物台账，如实记载危险废物种类、数量、性质、产生环节、流向、贮存、利用处置等信息；建设期和营运期产生的</w:t>
      </w:r>
      <w:r>
        <w:rPr>
          <w:rFonts w:hint="eastAsia" w:ascii="仿宋_GB2312" w:hAnsi="Calibri" w:eastAsia="仿宋_GB2312" w:cs="Arial"/>
          <w:color w:val="auto"/>
          <w:sz w:val="32"/>
          <w:szCs w:val="32"/>
          <w:highlight w:val="none"/>
        </w:rPr>
        <w:t>生活垃圾集中收集后</w:t>
      </w:r>
      <w:r>
        <w:rPr>
          <w:rFonts w:hint="default" w:ascii="仿宋_GB2312" w:hAnsi="Calibri" w:eastAsia="仿宋_GB2312" w:cs="Arial"/>
          <w:color w:val="auto"/>
          <w:sz w:val="32"/>
          <w:szCs w:val="32"/>
          <w:highlight w:val="none"/>
          <w:lang w:eastAsia="zh-CN"/>
        </w:rPr>
        <w:t>规范处置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严格按照</w:t>
      </w:r>
      <w:r>
        <w:rPr>
          <w:rFonts w:hint="eastAsia" w:ascii="仿宋_GB2312" w:hAnsi="仿宋_GB2312" w:eastAsia="仿宋_GB2312" w:cs="仿宋_GB2312"/>
          <w:color w:val="auto"/>
          <w:sz w:val="32"/>
          <w:szCs w:val="32"/>
          <w:highlight w:val="none"/>
        </w:rPr>
        <w:t>《一般工业固体废物贮存和填埋污染控制标准》（GB18599-20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）执行。</w:t>
      </w:r>
      <w:r>
        <w:rPr>
          <w:rFonts w:hint="eastAsia" w:ascii="仿宋_GB2312" w:hAnsi="仿宋_GB2312" w:eastAsia="仿宋_GB2312" w:cs="仿宋_GB2312"/>
          <w:color w:val="auto"/>
          <w:sz w:val="32"/>
          <w:szCs w:val="32"/>
          <w:highlight w:val="none"/>
          <w:lang w:val="en-US" w:eastAsia="zh-CN"/>
        </w:rPr>
        <w:t xml:space="preserve">   </w:t>
      </w:r>
    </w:p>
    <w:p w14:paraId="4AA74BA2">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执行“三同时”制度</w:t>
      </w:r>
    </w:p>
    <w:p w14:paraId="1A3F4A4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本项目建设必须严格执行生态环境保护设施与主体工程同时设计、同时施工、同时投产使用的生态环境保护“三同时”制度。</w:t>
      </w:r>
    </w:p>
    <w:p w14:paraId="5D0C924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（一）要将生态环境保护措施纳入初步设计报告并落实环保设施投资概算。</w:t>
      </w:r>
    </w:p>
    <w:p w14:paraId="59EB69C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（二）要将生态环境保护设施建设纳入施工合同，保证生态环境保护设施建设进度和资金。</w:t>
      </w:r>
    </w:p>
    <w:p w14:paraId="4E167FA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（三）项目竣工后须按规定程序实施竣工环境保护验收，验收合格后方可正式投运。</w:t>
      </w:r>
    </w:p>
    <w:p w14:paraId="52680C2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四、其他要求</w:t>
      </w:r>
    </w:p>
    <w:p w14:paraId="0CDE25A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东乌珠穆沁旗生态环境综合行政执法大队对该项目建设期间及运行期间各项生态环境保护措施落实情况进行监督检查和管理。</w:t>
      </w:r>
    </w:p>
    <w:p w14:paraId="3907EF24">
      <w:pPr>
        <w:keepNext w:val="0"/>
        <w:keepLines w:val="0"/>
        <w:pageBreakBefore w:val="0"/>
        <w:widowControl w:val="0"/>
        <w:kinsoku/>
        <w:wordWrap/>
        <w:overflowPunct/>
        <w:topLinePunct w:val="0"/>
        <w:bidi w:val="0"/>
        <w:snapToGrid/>
        <w:spacing w:line="560" w:lineRule="exact"/>
        <w:textAlignment w:val="auto"/>
        <w:rPr>
          <w:rFonts w:hint="eastAsia"/>
          <w:color w:val="auto"/>
          <w:highlight w:val="none"/>
        </w:rPr>
      </w:pPr>
    </w:p>
    <w:p w14:paraId="51BADBE5">
      <w:pPr>
        <w:keepNext w:val="0"/>
        <w:keepLines w:val="0"/>
        <w:pageBreakBefore w:val="0"/>
        <w:widowControl w:val="0"/>
        <w:kinsoku/>
        <w:wordWrap/>
        <w:overflowPunct/>
        <w:topLinePunct w:val="0"/>
        <w:bidi w:val="0"/>
        <w:snapToGrid/>
        <w:spacing w:line="560" w:lineRule="exact"/>
        <w:textAlignment w:val="auto"/>
        <w:rPr>
          <w:rFonts w:hint="eastAsia"/>
          <w:color w:val="auto"/>
          <w:highlight w:val="none"/>
        </w:rPr>
      </w:pPr>
    </w:p>
    <w:p w14:paraId="707A8E8E">
      <w:pPr>
        <w:keepNext w:val="0"/>
        <w:keepLines w:val="0"/>
        <w:pageBreakBefore w:val="0"/>
        <w:widowControl w:val="0"/>
        <w:kinsoku/>
        <w:wordWrap/>
        <w:overflowPunct/>
        <w:topLinePunct w:val="0"/>
        <w:bidi w:val="0"/>
        <w:snapToGrid/>
        <w:spacing w:line="560" w:lineRule="exact"/>
        <w:textAlignment w:val="auto"/>
        <w:rPr>
          <w:rFonts w:hint="eastAsia"/>
          <w:color w:val="auto"/>
          <w:highlight w:val="none"/>
        </w:rPr>
      </w:pPr>
    </w:p>
    <w:p w14:paraId="27896F5A">
      <w:pPr>
        <w:keepNext w:val="0"/>
        <w:keepLines w:val="0"/>
        <w:pageBreakBefore w:val="0"/>
        <w:widowControl w:val="0"/>
        <w:kinsoku/>
        <w:wordWrap/>
        <w:overflowPunct/>
        <w:topLinePunct w:val="0"/>
        <w:autoSpaceDE w:val="0"/>
        <w:autoSpaceDN w:val="0"/>
        <w:bidi w:val="0"/>
        <w:adjustRightInd w:val="0"/>
        <w:snapToGrid/>
        <w:spacing w:line="560" w:lineRule="exact"/>
        <w:ind w:firstLine="4160" w:firstLineChars="13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锡林郭勒盟生态环境局</w:t>
      </w:r>
    </w:p>
    <w:p w14:paraId="6F622C5E">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r>
        <w:rPr>
          <w:rFonts w:hint="eastAsia" w:ascii="仿宋_GB2312" w:hAnsi="Calibri" w:eastAsia="仿宋_GB2312" w:cs="Arial"/>
          <w:color w:val="auto"/>
          <w:sz w:val="32"/>
          <w:szCs w:val="32"/>
          <w:highlight w:val="none"/>
        </w:rPr>
        <w:t xml:space="preserve">                  </w:t>
      </w:r>
      <w:r>
        <w:rPr>
          <w:rFonts w:hint="eastAsia" w:ascii="仿宋_GB2312" w:hAnsi="Calibri" w:eastAsia="仿宋_GB2312" w:cs="Arial"/>
          <w:color w:val="auto"/>
          <w:sz w:val="32"/>
          <w:szCs w:val="32"/>
          <w:highlight w:val="none"/>
          <w:lang w:eastAsia="zh-CN"/>
        </w:rPr>
        <w:t>202</w:t>
      </w:r>
      <w:r>
        <w:rPr>
          <w:rFonts w:hint="eastAsia" w:ascii="仿宋_GB2312" w:hAnsi="Calibri" w:eastAsia="仿宋_GB2312" w:cs="Arial"/>
          <w:color w:val="auto"/>
          <w:sz w:val="32"/>
          <w:szCs w:val="32"/>
          <w:highlight w:val="none"/>
          <w:lang w:val="en-US" w:eastAsia="zh-CN"/>
        </w:rPr>
        <w:t>4</w:t>
      </w:r>
      <w:r>
        <w:rPr>
          <w:rFonts w:hint="eastAsia" w:ascii="仿宋_GB2312" w:hAnsi="Calibri" w:eastAsia="仿宋_GB2312" w:cs="Arial"/>
          <w:color w:val="auto"/>
          <w:sz w:val="32"/>
          <w:szCs w:val="32"/>
          <w:highlight w:val="none"/>
          <w:lang w:eastAsia="zh-CN"/>
        </w:rPr>
        <w:t>年</w:t>
      </w:r>
      <w:r>
        <w:rPr>
          <w:rFonts w:hint="eastAsia" w:ascii="仿宋_GB2312" w:hAnsi="Calibri" w:eastAsia="仿宋_GB2312" w:cs="Arial"/>
          <w:color w:val="auto"/>
          <w:sz w:val="32"/>
          <w:szCs w:val="32"/>
          <w:highlight w:val="none"/>
          <w:lang w:val="en-US" w:eastAsia="zh-CN"/>
        </w:rPr>
        <w:t>11</w:t>
      </w:r>
      <w:r>
        <w:rPr>
          <w:rFonts w:hint="eastAsia" w:ascii="仿宋_GB2312" w:hAnsi="Calibri" w:eastAsia="仿宋_GB2312" w:cs="Arial"/>
          <w:color w:val="auto"/>
          <w:sz w:val="32"/>
          <w:szCs w:val="32"/>
          <w:highlight w:val="none"/>
          <w:lang w:eastAsia="zh-CN"/>
        </w:rPr>
        <w:t>月</w:t>
      </w:r>
      <w:r>
        <w:rPr>
          <w:rFonts w:hint="eastAsia" w:ascii="仿宋_GB2312" w:hAnsi="Calibri" w:eastAsia="仿宋_GB2312" w:cs="Arial"/>
          <w:color w:val="auto"/>
          <w:sz w:val="32"/>
          <w:szCs w:val="32"/>
          <w:highlight w:val="none"/>
          <w:lang w:val="en-US" w:eastAsia="zh-CN"/>
        </w:rPr>
        <w:t>15</w:t>
      </w:r>
      <w:r>
        <w:rPr>
          <w:rFonts w:hint="eastAsia" w:ascii="仿宋_GB2312" w:hAnsi="Calibri" w:eastAsia="仿宋_GB2312" w:cs="Arial"/>
          <w:color w:val="auto"/>
          <w:sz w:val="32"/>
          <w:szCs w:val="32"/>
          <w:highlight w:val="none"/>
          <w:lang w:eastAsia="zh-CN"/>
        </w:rPr>
        <w:t>日</w:t>
      </w:r>
    </w:p>
    <w:p w14:paraId="0818B727">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460B4BBB">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668C2594">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1E7F75BD">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val="en-US" w:eastAsia="zh-CN"/>
        </w:rPr>
      </w:pPr>
    </w:p>
    <w:p w14:paraId="0CA625FD">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lang w:val="en-US" w:eastAsia="zh-CN" w:bidi="ar-SA"/>
        </w:rPr>
        <w:t>抄送：盟生态环境综合行政执法支队       盟生态环境局东乌珠穆沁旗分局</w:t>
      </w:r>
    </w:p>
    <w:p w14:paraId="68A44406">
      <w:pPr>
        <w:pStyle w:val="1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560" w:lineRule="exact"/>
        <w:jc w:val="both"/>
        <w:textAlignment w:val="auto"/>
        <w:rPr>
          <w:rFonts w:ascii="Calibri" w:hAnsi="Calibri" w:eastAsia="宋体" w:cs="Arial"/>
          <w:color w:val="auto"/>
          <w:szCs w:val="21"/>
        </w:rPr>
      </w:pPr>
      <w:r>
        <w:rPr>
          <w:rFonts w:hint="eastAsia" w:ascii="仿宋_GB2312" w:hAnsi="仿宋_GB2312" w:eastAsia="仿宋_GB2312" w:cs="仿宋_GB2312"/>
          <w:color w:val="auto"/>
          <w:kern w:val="2"/>
          <w:sz w:val="28"/>
          <w:szCs w:val="28"/>
          <w:lang w:val="en-US" w:eastAsia="zh-CN" w:bidi="ar-SA"/>
        </w:rPr>
        <w:t>锡林郭勒盟生态环境局办公室             2024年11月15日印发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B88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8990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58990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7A5C"/>
    <w:multiLevelType w:val="singleLevel"/>
    <w:tmpl w:val="D61B7A5C"/>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3B018EB6"/>
    <w:multiLevelType w:val="singleLevel"/>
    <w:tmpl w:val="3B018EB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TU5YzRkNGEyYWRmN2VjMGJkMmM2NmNmN2ZjZDIifQ=="/>
  </w:docVars>
  <w:rsids>
    <w:rsidRoot w:val="008C043C"/>
    <w:rsid w:val="0038300B"/>
    <w:rsid w:val="005F7B71"/>
    <w:rsid w:val="007658FF"/>
    <w:rsid w:val="00820D53"/>
    <w:rsid w:val="008C043C"/>
    <w:rsid w:val="009844B6"/>
    <w:rsid w:val="009F66BD"/>
    <w:rsid w:val="00FE4844"/>
    <w:rsid w:val="02313F99"/>
    <w:rsid w:val="02AE1145"/>
    <w:rsid w:val="036D0E8E"/>
    <w:rsid w:val="04F76DD4"/>
    <w:rsid w:val="058A5E9A"/>
    <w:rsid w:val="061D0ABC"/>
    <w:rsid w:val="070F49A2"/>
    <w:rsid w:val="07D4164E"/>
    <w:rsid w:val="07E20276"/>
    <w:rsid w:val="08163A15"/>
    <w:rsid w:val="08EE4992"/>
    <w:rsid w:val="099F7A3A"/>
    <w:rsid w:val="09DE0562"/>
    <w:rsid w:val="0A0F696E"/>
    <w:rsid w:val="0A430D0D"/>
    <w:rsid w:val="0AA93DF5"/>
    <w:rsid w:val="0B627C36"/>
    <w:rsid w:val="0B85160C"/>
    <w:rsid w:val="0B941820"/>
    <w:rsid w:val="0BD22349"/>
    <w:rsid w:val="0D006C17"/>
    <w:rsid w:val="0D84493F"/>
    <w:rsid w:val="0E3B20E1"/>
    <w:rsid w:val="0E4A266A"/>
    <w:rsid w:val="0E686F94"/>
    <w:rsid w:val="10150A56"/>
    <w:rsid w:val="10A81CF0"/>
    <w:rsid w:val="11692E07"/>
    <w:rsid w:val="152817C5"/>
    <w:rsid w:val="155B515D"/>
    <w:rsid w:val="15A72150"/>
    <w:rsid w:val="16B56AEF"/>
    <w:rsid w:val="17677AB2"/>
    <w:rsid w:val="17B10865"/>
    <w:rsid w:val="17DB5C48"/>
    <w:rsid w:val="19120228"/>
    <w:rsid w:val="1ADA4D76"/>
    <w:rsid w:val="1B0818E3"/>
    <w:rsid w:val="1B64761F"/>
    <w:rsid w:val="1BB9498B"/>
    <w:rsid w:val="1CB824AC"/>
    <w:rsid w:val="1E1836BE"/>
    <w:rsid w:val="1E732FC1"/>
    <w:rsid w:val="1F07774F"/>
    <w:rsid w:val="1F422EEA"/>
    <w:rsid w:val="1FE033A1"/>
    <w:rsid w:val="20315438"/>
    <w:rsid w:val="208A0FEC"/>
    <w:rsid w:val="20F35C7B"/>
    <w:rsid w:val="214A0C4E"/>
    <w:rsid w:val="216A09F5"/>
    <w:rsid w:val="21A34113"/>
    <w:rsid w:val="22E20377"/>
    <w:rsid w:val="22FF6810"/>
    <w:rsid w:val="235A4CA6"/>
    <w:rsid w:val="23A52533"/>
    <w:rsid w:val="240B5FA0"/>
    <w:rsid w:val="25E116AE"/>
    <w:rsid w:val="27B32BD6"/>
    <w:rsid w:val="27DA63B5"/>
    <w:rsid w:val="27E438A4"/>
    <w:rsid w:val="280E2503"/>
    <w:rsid w:val="28137B19"/>
    <w:rsid w:val="292875F4"/>
    <w:rsid w:val="29AC18CA"/>
    <w:rsid w:val="29FB0865"/>
    <w:rsid w:val="29FD638B"/>
    <w:rsid w:val="2A59718E"/>
    <w:rsid w:val="2AC46EA9"/>
    <w:rsid w:val="2D3A5D8D"/>
    <w:rsid w:val="2D542766"/>
    <w:rsid w:val="2D8868B3"/>
    <w:rsid w:val="2E5461D3"/>
    <w:rsid w:val="2E7674A3"/>
    <w:rsid w:val="2EFA0694"/>
    <w:rsid w:val="31495728"/>
    <w:rsid w:val="31540F86"/>
    <w:rsid w:val="31A145D7"/>
    <w:rsid w:val="324F5BF1"/>
    <w:rsid w:val="342033A2"/>
    <w:rsid w:val="34474DD2"/>
    <w:rsid w:val="35562C74"/>
    <w:rsid w:val="37360638"/>
    <w:rsid w:val="37B704C1"/>
    <w:rsid w:val="37C36E66"/>
    <w:rsid w:val="383C2774"/>
    <w:rsid w:val="39047736"/>
    <w:rsid w:val="394713D0"/>
    <w:rsid w:val="398D772B"/>
    <w:rsid w:val="399A59A4"/>
    <w:rsid w:val="39C66799"/>
    <w:rsid w:val="3B4219A0"/>
    <w:rsid w:val="3B914B85"/>
    <w:rsid w:val="3BC82C9D"/>
    <w:rsid w:val="3BDD327F"/>
    <w:rsid w:val="3D6407A3"/>
    <w:rsid w:val="40E816EB"/>
    <w:rsid w:val="416C40CA"/>
    <w:rsid w:val="41CF4659"/>
    <w:rsid w:val="4255690C"/>
    <w:rsid w:val="42EC2E6D"/>
    <w:rsid w:val="42F36125"/>
    <w:rsid w:val="444A6219"/>
    <w:rsid w:val="45763769"/>
    <w:rsid w:val="469E0729"/>
    <w:rsid w:val="47857C94"/>
    <w:rsid w:val="48710218"/>
    <w:rsid w:val="48C94277"/>
    <w:rsid w:val="49E05655"/>
    <w:rsid w:val="4A832DD5"/>
    <w:rsid w:val="4B49547C"/>
    <w:rsid w:val="4CBB4158"/>
    <w:rsid w:val="4D447CA9"/>
    <w:rsid w:val="4D56216C"/>
    <w:rsid w:val="4E1F24C4"/>
    <w:rsid w:val="4E651FE8"/>
    <w:rsid w:val="4E762ABE"/>
    <w:rsid w:val="4FD74E04"/>
    <w:rsid w:val="507F724A"/>
    <w:rsid w:val="50DB0924"/>
    <w:rsid w:val="50FF50A2"/>
    <w:rsid w:val="523D0641"/>
    <w:rsid w:val="523D34F4"/>
    <w:rsid w:val="55652AC4"/>
    <w:rsid w:val="565E627F"/>
    <w:rsid w:val="56612F25"/>
    <w:rsid w:val="57C9597B"/>
    <w:rsid w:val="580735BC"/>
    <w:rsid w:val="580746F5"/>
    <w:rsid w:val="591B0458"/>
    <w:rsid w:val="595C281E"/>
    <w:rsid w:val="59A71CEC"/>
    <w:rsid w:val="59C748A7"/>
    <w:rsid w:val="59E720E8"/>
    <w:rsid w:val="5A706581"/>
    <w:rsid w:val="5ABD109B"/>
    <w:rsid w:val="5AEC372E"/>
    <w:rsid w:val="5B1C2265"/>
    <w:rsid w:val="5BBD0173"/>
    <w:rsid w:val="5BE121A7"/>
    <w:rsid w:val="5DFE5C52"/>
    <w:rsid w:val="5E0771FD"/>
    <w:rsid w:val="5E2C6C63"/>
    <w:rsid w:val="5EE73DC1"/>
    <w:rsid w:val="5EF579C8"/>
    <w:rsid w:val="5F1B49ED"/>
    <w:rsid w:val="5F54797E"/>
    <w:rsid w:val="5FAE5456"/>
    <w:rsid w:val="5FCF6572"/>
    <w:rsid w:val="600A6B30"/>
    <w:rsid w:val="60FB2842"/>
    <w:rsid w:val="61D70C94"/>
    <w:rsid w:val="624A3B5C"/>
    <w:rsid w:val="63716EC6"/>
    <w:rsid w:val="64382ACA"/>
    <w:rsid w:val="64405216"/>
    <w:rsid w:val="645C52D0"/>
    <w:rsid w:val="646A4041"/>
    <w:rsid w:val="652930D1"/>
    <w:rsid w:val="660F30F2"/>
    <w:rsid w:val="66D24120"/>
    <w:rsid w:val="66D9725C"/>
    <w:rsid w:val="67BF46A4"/>
    <w:rsid w:val="68321757"/>
    <w:rsid w:val="68C1444C"/>
    <w:rsid w:val="699456BD"/>
    <w:rsid w:val="699658D9"/>
    <w:rsid w:val="69E45977"/>
    <w:rsid w:val="6B626157"/>
    <w:rsid w:val="6B8D008F"/>
    <w:rsid w:val="6BAC3463"/>
    <w:rsid w:val="6BE97F42"/>
    <w:rsid w:val="6CCF3DD4"/>
    <w:rsid w:val="6D6B5FE4"/>
    <w:rsid w:val="6E453429"/>
    <w:rsid w:val="6F401568"/>
    <w:rsid w:val="6F7F210C"/>
    <w:rsid w:val="6F9C52CB"/>
    <w:rsid w:val="70856F2A"/>
    <w:rsid w:val="71026966"/>
    <w:rsid w:val="729727E7"/>
    <w:rsid w:val="73092C77"/>
    <w:rsid w:val="74C97F59"/>
    <w:rsid w:val="75151DA7"/>
    <w:rsid w:val="75E1200D"/>
    <w:rsid w:val="77A967D7"/>
    <w:rsid w:val="785F7466"/>
    <w:rsid w:val="78656BA2"/>
    <w:rsid w:val="79E306C6"/>
    <w:rsid w:val="79F503F9"/>
    <w:rsid w:val="7AFD2CD7"/>
    <w:rsid w:val="7BCC6F38"/>
    <w:rsid w:val="7C06069C"/>
    <w:rsid w:val="7C3A20F4"/>
    <w:rsid w:val="7C3C2310"/>
    <w:rsid w:val="7C4C339B"/>
    <w:rsid w:val="7CAC1243"/>
    <w:rsid w:val="7D060CE3"/>
    <w:rsid w:val="7D2D3A06"/>
    <w:rsid w:val="7E3239CA"/>
    <w:rsid w:val="7E3E593D"/>
    <w:rsid w:val="7E4A44F7"/>
    <w:rsid w:val="7EEB3B79"/>
    <w:rsid w:val="FB78F167"/>
    <w:rsid w:val="FDEC646B"/>
    <w:rsid w:val="FFBBC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E-mail Signature"/>
    <w:basedOn w:val="1"/>
    <w:next w:val="3"/>
    <w:qFormat/>
    <w:uiPriority w:val="0"/>
    <w:pPr>
      <w:spacing w:line="460" w:lineRule="exact"/>
      <w:ind w:firstLine="200"/>
    </w:pPr>
    <w:rPr>
      <w:sz w:val="24"/>
    </w:rPr>
  </w:style>
  <w:style w:type="paragraph" w:customStyle="1" w:styleId="3">
    <w:name w:val="文章"/>
    <w:basedOn w:val="4"/>
    <w:next w:val="5"/>
    <w:qFormat/>
    <w:uiPriority w:val="0"/>
    <w:pPr>
      <w:widowControl/>
      <w:ind w:firstLine="480"/>
      <w:jc w:val="center"/>
    </w:pPr>
    <w:rPr>
      <w:sz w:val="26"/>
    </w:rPr>
  </w:style>
  <w:style w:type="paragraph" w:styleId="4">
    <w:name w:val="Body Text Indent"/>
    <w:basedOn w:val="1"/>
    <w:next w:val="1"/>
    <w:qFormat/>
    <w:uiPriority w:val="0"/>
    <w:pPr>
      <w:spacing w:after="120"/>
      <w:ind w:left="420" w:leftChars="200"/>
    </w:pPr>
    <w:rPr>
      <w:kern w:val="0"/>
      <w:sz w:val="24"/>
      <w:szCs w:val="20"/>
    </w:rPr>
  </w:style>
  <w:style w:type="paragraph" w:styleId="5">
    <w:name w:val="List"/>
    <w:basedOn w:val="1"/>
    <w:next w:val="6"/>
    <w:qFormat/>
    <w:uiPriority w:val="0"/>
    <w:pPr>
      <w:ind w:left="200" w:hanging="200" w:hangingChars="200"/>
      <w:contextualSpacing/>
    </w:pPr>
  </w:style>
  <w:style w:type="paragraph" w:styleId="6">
    <w:name w:val="List Bullet 2"/>
    <w:basedOn w:val="1"/>
    <w:next w:val="7"/>
    <w:semiHidden/>
    <w:unhideWhenUsed/>
    <w:qFormat/>
    <w:uiPriority w:val="99"/>
    <w:pPr>
      <w:numPr>
        <w:ilvl w:val="0"/>
        <w:numId w:val="1"/>
      </w:numPr>
    </w:pPr>
  </w:style>
  <w:style w:type="paragraph" w:customStyle="1" w:styleId="7">
    <w:name w:val="xl70"/>
    <w:basedOn w:val="1"/>
    <w:next w:val="8"/>
    <w:qFormat/>
    <w:uiPriority w:val="0"/>
    <w:pPr>
      <w:widowControl/>
      <w:spacing w:before="280" w:after="280"/>
    </w:pPr>
    <w:rPr>
      <w:rFonts w:ascii="宋体"/>
    </w:rPr>
  </w:style>
  <w:style w:type="paragraph" w:customStyle="1" w:styleId="8">
    <w:name w:val="正文缩进1"/>
    <w:basedOn w:val="1"/>
    <w:next w:val="9"/>
    <w:qFormat/>
    <w:uiPriority w:val="0"/>
    <w:pPr>
      <w:ind w:firstLine="420"/>
    </w:pPr>
    <w:rPr>
      <w:szCs w:val="20"/>
    </w:rPr>
  </w:style>
  <w:style w:type="paragraph" w:customStyle="1" w:styleId="9">
    <w:name w:val="td1"/>
    <w:basedOn w:val="1"/>
    <w:next w:val="1"/>
    <w:qFormat/>
    <w:uiPriority w:val="0"/>
    <w:pPr>
      <w:widowControl/>
      <w:spacing w:before="280" w:after="280" w:line="300" w:lineRule="atLeast"/>
      <w:ind w:firstLine="200"/>
    </w:pPr>
    <w:rPr>
      <w:color w:val="000000"/>
      <w:sz w:val="18"/>
    </w:rPr>
  </w:style>
  <w:style w:type="paragraph" w:styleId="10">
    <w:name w:val="Body Text"/>
    <w:basedOn w:val="1"/>
    <w:next w:val="1"/>
    <w:qFormat/>
    <w:uiPriority w:val="0"/>
    <w:pPr>
      <w:widowControl/>
      <w:snapToGrid w:val="0"/>
      <w:spacing w:before="60" w:after="160" w:line="259" w:lineRule="auto"/>
      <w:ind w:right="113"/>
    </w:pPr>
    <w:rPr>
      <w:kern w:val="0"/>
      <w:sz w:val="18"/>
      <w:szCs w:val="20"/>
    </w:rPr>
  </w:style>
  <w:style w:type="paragraph" w:styleId="11">
    <w:name w:val="Plain Text"/>
    <w:basedOn w:val="1"/>
    <w:next w:val="1"/>
    <w:qFormat/>
    <w:uiPriority w:val="0"/>
    <w:rPr>
      <w:rFonts w:ascii="宋体" w:hAnsi="Courier New"/>
    </w:rPr>
  </w:style>
  <w:style w:type="paragraph" w:styleId="12">
    <w:name w:val="endnote text"/>
    <w:basedOn w:val="1"/>
    <w:next w:val="11"/>
    <w:qFormat/>
    <w:uiPriority w:val="0"/>
    <w:pPr>
      <w:snapToGrid w:val="0"/>
      <w:jc w:val="left"/>
    </w:pPr>
  </w:style>
  <w:style w:type="paragraph" w:styleId="13">
    <w:name w:val="footer"/>
    <w:basedOn w:val="1"/>
    <w:next w:val="1"/>
    <w:semiHidden/>
    <w:unhideWhenUsed/>
    <w:qFormat/>
    <w:uiPriority w:val="99"/>
    <w:pPr>
      <w:tabs>
        <w:tab w:val="center" w:pos="4153"/>
        <w:tab w:val="right" w:pos="8306"/>
      </w:tabs>
      <w:snapToGrid w:val="0"/>
      <w:jc w:val="left"/>
    </w:pPr>
    <w:rPr>
      <w:sz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2"/>
    <w:semiHidden/>
    <w:qFormat/>
    <w:uiPriority w:val="0"/>
    <w:pPr>
      <w:spacing w:line="240" w:lineRule="exact"/>
      <w:jc w:val="center"/>
    </w:pPr>
    <w:rPr>
      <w:szCs w:val="24"/>
    </w:rPr>
  </w:style>
  <w:style w:type="paragraph" w:styleId="16">
    <w:name w:val="Body Text First Indent 2"/>
    <w:basedOn w:val="4"/>
    <w:next w:val="1"/>
    <w:qFormat/>
    <w:uiPriority w:val="0"/>
    <w:pPr>
      <w:ind w:firstLine="420" w:firstLineChars="200"/>
    </w:pPr>
    <w:rPr>
      <w:kern w:val="2"/>
      <w:sz w:val="21"/>
      <w:szCs w:val="24"/>
    </w:rPr>
  </w:style>
  <w:style w:type="paragraph" w:customStyle="1" w:styleId="19">
    <w:name w:val="高-正文"/>
    <w:basedOn w:val="1"/>
    <w:qFormat/>
    <w:uiPriority w:val="0"/>
    <w:pPr>
      <w:topLinePunct/>
      <w:adjustRightInd w:val="0"/>
      <w:snapToGrid w:val="0"/>
      <w:spacing w:line="480" w:lineRule="exact"/>
      <w:ind w:firstLine="600" w:firstLineChars="200"/>
    </w:pPr>
    <w:rPr>
      <w:kern w:val="0"/>
      <w:sz w:val="24"/>
    </w:rPr>
  </w:style>
  <w:style w:type="paragraph" w:customStyle="1" w:styleId="20">
    <w:name w:val="Default"/>
    <w:basedOn w:val="21"/>
    <w:next w:val="22"/>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
    <w:name w:val="纯文本1"/>
    <w:basedOn w:val="1"/>
    <w:qFormat/>
    <w:uiPriority w:val="0"/>
    <w:pPr>
      <w:adjustRightInd w:val="0"/>
      <w:textAlignment w:val="baseline"/>
    </w:pPr>
    <w:rPr>
      <w:rFonts w:ascii="宋体" w:hAnsi="Courier New"/>
      <w:snapToGrid w:val="0"/>
      <w:sz w:val="28"/>
    </w:rPr>
  </w:style>
  <w:style w:type="paragraph" w:customStyle="1" w:styleId="22">
    <w:name w:val="样式35"/>
    <w:basedOn w:val="23"/>
    <w:next w:val="24"/>
    <w:qFormat/>
    <w:uiPriority w:val="0"/>
    <w:pPr>
      <w:spacing w:line="312" w:lineRule="auto"/>
      <w:ind w:firstLine="567"/>
    </w:pPr>
    <w:rPr>
      <w:rFonts w:ascii="宋体"/>
    </w:rPr>
  </w:style>
  <w:style w:type="paragraph" w:customStyle="1" w:styleId="23">
    <w:name w:val="表 内容"/>
    <w:basedOn w:val="1"/>
    <w:qFormat/>
    <w:uiPriority w:val="0"/>
    <w:pPr>
      <w:spacing w:line="240" w:lineRule="atLeast"/>
      <w:jc w:val="center"/>
    </w:pPr>
  </w:style>
  <w:style w:type="paragraph" w:customStyle="1" w:styleId="24">
    <w:name w:val="font6"/>
    <w:basedOn w:val="1"/>
    <w:next w:val="15"/>
    <w:qFormat/>
    <w:uiPriority w:val="0"/>
    <w:pPr>
      <w:widowControl/>
      <w:spacing w:before="100" w:beforeAutospacing="1" w:after="100" w:afterAutospacing="1"/>
      <w:jc w:val="left"/>
    </w:pPr>
    <w:rPr>
      <w:rFonts w:eastAsia="Arial Unicode MS"/>
      <w:kern w:val="0"/>
      <w:sz w:val="24"/>
      <w:szCs w:val="20"/>
    </w:rPr>
  </w:style>
  <w:style w:type="paragraph" w:customStyle="1" w:styleId="25">
    <w:name w:val="Body text|1"/>
    <w:basedOn w:val="1"/>
    <w:qFormat/>
    <w:uiPriority w:val="0"/>
    <w:pPr>
      <w:spacing w:line="449"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1522</Words>
  <Characters>1654</Characters>
  <Lines>14</Lines>
  <Paragraphs>4</Paragraphs>
  <TotalTime>27</TotalTime>
  <ScaleCrop>false</ScaleCrop>
  <LinksUpToDate>false</LinksUpToDate>
  <CharactersWithSpaces>1711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2022-11-11T18:34:00Z</dcterms:created>
  <dc:creator>dn</dc:creator>
  <cp:lastModifiedBy>sargai</cp:lastModifiedBy>
  <cp:lastPrinted>2024-11-13T02:23:00Z</cp:lastPrinted>
  <dcterms:modified xsi:type="dcterms:W3CDTF">2024-11-15T01:23:06Z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58CA69F143144A988AEDCED7E41418C8_13</vt:lpwstr>
  </property>
</Properties>
</file>