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76A660">
      <w:pPr>
        <w:ind w:firstLine="0" w:firstLineChars="0"/>
        <w:rPr>
          <w:rFonts w:eastAsia="黑体"/>
          <w:bCs/>
          <w:color w:val="auto"/>
          <w:spacing w:val="-20"/>
          <w:sz w:val="44"/>
          <w:szCs w:val="44"/>
          <w:highlight w:val="none"/>
        </w:rPr>
      </w:pPr>
    </w:p>
    <w:p w14:paraId="42FF07F5">
      <w:pPr>
        <w:ind w:firstLine="0" w:firstLineChars="0"/>
        <w:rPr>
          <w:rFonts w:eastAsia="黑体"/>
          <w:bCs/>
          <w:color w:val="auto"/>
          <w:spacing w:val="-20"/>
          <w:sz w:val="44"/>
          <w:szCs w:val="44"/>
          <w:highlight w:val="none"/>
        </w:rPr>
      </w:pPr>
    </w:p>
    <w:p w14:paraId="6620BFDD">
      <w:pPr>
        <w:ind w:firstLine="0" w:firstLineChars="0"/>
        <w:rPr>
          <w:rFonts w:eastAsia="黑体"/>
          <w:bCs/>
          <w:color w:val="auto"/>
          <w:spacing w:val="-20"/>
          <w:sz w:val="44"/>
          <w:szCs w:val="44"/>
          <w:highlight w:val="none"/>
        </w:rPr>
      </w:pPr>
    </w:p>
    <w:p w14:paraId="6926969C">
      <w:pPr>
        <w:ind w:firstLine="0" w:firstLineChars="0"/>
        <w:rPr>
          <w:rFonts w:eastAsia="黑体"/>
          <w:bCs/>
          <w:color w:val="auto"/>
          <w:spacing w:val="-20"/>
          <w:sz w:val="44"/>
          <w:szCs w:val="44"/>
          <w:highlight w:val="none"/>
        </w:rPr>
      </w:pPr>
    </w:p>
    <w:p w14:paraId="60DBB489">
      <w:pPr>
        <w:ind w:firstLine="0" w:firstLineChars="0"/>
        <w:jc w:val="center"/>
        <w:rPr>
          <w:rFonts w:hint="eastAsia" w:ascii="楷体" w:hAnsi="楷体" w:eastAsia="楷体"/>
          <w:b/>
          <w:color w:val="auto"/>
          <w:spacing w:val="23"/>
          <w:w w:val="95"/>
          <w:sz w:val="52"/>
          <w:szCs w:val="52"/>
          <w:highlight w:val="none"/>
          <w:lang w:val="en-US" w:eastAsia="zh-CN"/>
        </w:rPr>
      </w:pPr>
      <w:r>
        <w:rPr>
          <w:rFonts w:hint="eastAsia" w:ascii="楷体" w:hAnsi="楷体" w:eastAsia="楷体"/>
          <w:b/>
          <w:color w:val="auto"/>
          <w:spacing w:val="23"/>
          <w:w w:val="95"/>
          <w:sz w:val="52"/>
          <w:szCs w:val="52"/>
          <w:highlight w:val="none"/>
          <w:lang w:val="en-US" w:eastAsia="zh-CN"/>
        </w:rPr>
        <w:t>多伦县捷百顺新材料有限责任公司</w:t>
      </w:r>
    </w:p>
    <w:p w14:paraId="23EAC230">
      <w:pPr>
        <w:ind w:firstLine="0" w:firstLineChars="0"/>
        <w:jc w:val="center"/>
        <w:rPr>
          <w:rFonts w:ascii="楷体" w:hAnsi="楷体" w:eastAsia="楷体"/>
          <w:b/>
          <w:color w:val="auto"/>
          <w:spacing w:val="20"/>
          <w:sz w:val="52"/>
          <w:szCs w:val="52"/>
          <w:highlight w:val="none"/>
        </w:rPr>
      </w:pPr>
      <w:r>
        <w:rPr>
          <w:rFonts w:hint="eastAsia" w:ascii="楷体" w:hAnsi="楷体" w:eastAsia="楷体"/>
          <w:b/>
          <w:color w:val="auto"/>
          <w:spacing w:val="20"/>
          <w:sz w:val="52"/>
          <w:szCs w:val="52"/>
          <w:highlight w:val="none"/>
          <w:lang w:val="en-US" w:eastAsia="zh-CN"/>
        </w:rPr>
        <w:t>年处理30万吨萤石选矿项目</w:t>
      </w:r>
    </w:p>
    <w:p w14:paraId="6F57223F">
      <w:pPr>
        <w:ind w:firstLine="0" w:firstLineChars="0"/>
        <w:jc w:val="center"/>
        <w:rPr>
          <w:rFonts w:ascii="宋体" w:hAnsi="宋体" w:eastAsia="宋体"/>
          <w:b/>
          <w:color w:val="auto"/>
          <w:spacing w:val="20"/>
          <w:sz w:val="44"/>
          <w:szCs w:val="44"/>
          <w:highlight w:val="none"/>
        </w:rPr>
      </w:pPr>
    </w:p>
    <w:p w14:paraId="0F620E2E">
      <w:pPr>
        <w:ind w:firstLine="0" w:firstLineChars="0"/>
        <w:jc w:val="center"/>
        <w:rPr>
          <w:rFonts w:ascii="宋体" w:hAnsi="宋体" w:eastAsia="宋体"/>
          <w:b/>
          <w:color w:val="auto"/>
          <w:spacing w:val="20"/>
          <w:sz w:val="44"/>
          <w:szCs w:val="44"/>
          <w:highlight w:val="none"/>
        </w:rPr>
      </w:pPr>
    </w:p>
    <w:p w14:paraId="06612F16">
      <w:pPr>
        <w:ind w:firstLine="0" w:firstLineChars="0"/>
        <w:jc w:val="center"/>
        <w:rPr>
          <w:rFonts w:hint="eastAsia" w:ascii="楷体" w:hAnsi="楷体" w:eastAsia="楷体"/>
          <w:b/>
          <w:bCs/>
          <w:color w:val="auto"/>
          <w:spacing w:val="52"/>
          <w:sz w:val="84"/>
          <w:szCs w:val="84"/>
          <w:highlight w:val="none"/>
        </w:rPr>
      </w:pPr>
      <w:r>
        <w:rPr>
          <w:rFonts w:hint="eastAsia" w:ascii="楷体" w:hAnsi="楷体" w:eastAsia="楷体"/>
          <w:b/>
          <w:bCs/>
          <w:color w:val="auto"/>
          <w:spacing w:val="52"/>
          <w:sz w:val="84"/>
          <w:szCs w:val="84"/>
          <w:highlight w:val="none"/>
        </w:rPr>
        <w:t>环境影响报告书</w:t>
      </w:r>
    </w:p>
    <w:p w14:paraId="4504F49E">
      <w:pPr>
        <w:pStyle w:val="2"/>
        <w:jc w:val="center"/>
        <w:rPr>
          <w:rFonts w:hint="eastAsia" w:eastAsia="楷体"/>
          <w:color w:val="auto"/>
          <w:sz w:val="36"/>
          <w:szCs w:val="36"/>
          <w:highlight w:val="none"/>
          <w:lang w:eastAsia="zh-CN"/>
        </w:rPr>
      </w:pPr>
      <w:r>
        <w:rPr>
          <w:rFonts w:hint="eastAsia" w:ascii="楷体" w:hAnsi="楷体" w:eastAsia="楷体"/>
          <w:b/>
          <w:bCs/>
          <w:color w:val="auto"/>
          <w:spacing w:val="52"/>
          <w:sz w:val="36"/>
          <w:szCs w:val="36"/>
          <w:highlight w:val="none"/>
          <w:lang w:eastAsia="zh-CN"/>
        </w:rPr>
        <w:t>（</w:t>
      </w:r>
      <w:r>
        <w:rPr>
          <w:rFonts w:hint="eastAsia" w:ascii="楷体" w:hAnsi="楷体" w:eastAsia="楷体"/>
          <w:b/>
          <w:bCs/>
          <w:color w:val="auto"/>
          <w:spacing w:val="52"/>
          <w:sz w:val="36"/>
          <w:szCs w:val="36"/>
          <w:highlight w:val="none"/>
          <w:lang w:val="en-US" w:eastAsia="zh-CN"/>
        </w:rPr>
        <w:t>报批版</w:t>
      </w:r>
      <w:r>
        <w:rPr>
          <w:rFonts w:hint="eastAsia" w:ascii="楷体" w:hAnsi="楷体" w:eastAsia="楷体"/>
          <w:b/>
          <w:bCs/>
          <w:color w:val="auto"/>
          <w:spacing w:val="52"/>
          <w:sz w:val="36"/>
          <w:szCs w:val="36"/>
          <w:highlight w:val="none"/>
          <w:lang w:eastAsia="zh-CN"/>
        </w:rPr>
        <w:t>）</w:t>
      </w:r>
    </w:p>
    <w:p w14:paraId="67633043">
      <w:pPr>
        <w:ind w:firstLine="0" w:firstLineChars="0"/>
        <w:jc w:val="center"/>
        <w:rPr>
          <w:rFonts w:eastAsia="楷体_GB2312"/>
          <w:b/>
          <w:color w:val="auto"/>
          <w:sz w:val="32"/>
          <w:szCs w:val="32"/>
          <w:highlight w:val="none"/>
        </w:rPr>
      </w:pPr>
    </w:p>
    <w:p w14:paraId="5088D883">
      <w:pPr>
        <w:ind w:firstLine="0" w:firstLineChars="0"/>
        <w:rPr>
          <w:rFonts w:eastAsia="楷体_GB2312"/>
          <w:b/>
          <w:color w:val="auto"/>
          <w:sz w:val="32"/>
          <w:szCs w:val="32"/>
          <w:highlight w:val="none"/>
        </w:rPr>
      </w:pPr>
    </w:p>
    <w:p w14:paraId="05AA68E9">
      <w:pPr>
        <w:ind w:firstLine="0" w:firstLineChars="0"/>
        <w:jc w:val="center"/>
        <w:rPr>
          <w:rFonts w:eastAsia="楷体_GB2312"/>
          <w:b/>
          <w:color w:val="auto"/>
          <w:sz w:val="32"/>
          <w:szCs w:val="32"/>
          <w:highlight w:val="none"/>
        </w:rPr>
      </w:pPr>
    </w:p>
    <w:p w14:paraId="31162199">
      <w:pPr>
        <w:ind w:firstLine="0" w:firstLineChars="0"/>
        <w:jc w:val="center"/>
        <w:rPr>
          <w:rFonts w:eastAsia="楷体_GB2312"/>
          <w:b/>
          <w:color w:val="auto"/>
          <w:sz w:val="32"/>
          <w:szCs w:val="32"/>
          <w:highlight w:val="none"/>
        </w:rPr>
      </w:pPr>
    </w:p>
    <w:p w14:paraId="016BF62C">
      <w:pPr>
        <w:ind w:firstLine="0" w:firstLineChars="0"/>
        <w:jc w:val="center"/>
        <w:rPr>
          <w:rFonts w:eastAsia="楷体_GB2312"/>
          <w:b/>
          <w:color w:val="auto"/>
          <w:sz w:val="32"/>
          <w:szCs w:val="32"/>
          <w:highlight w:val="none"/>
        </w:rPr>
      </w:pPr>
    </w:p>
    <w:p w14:paraId="37C4897C">
      <w:pPr>
        <w:snapToGrid w:val="0"/>
        <w:ind w:left="720" w:leftChars="300" w:firstLine="0" w:firstLineChars="0"/>
        <w:jc w:val="left"/>
        <w:rPr>
          <w:rFonts w:eastAsia="楷体_GB2312"/>
          <w:b/>
          <w:color w:val="auto"/>
          <w:spacing w:val="6"/>
          <w:sz w:val="28"/>
          <w:szCs w:val="28"/>
          <w:highlight w:val="none"/>
        </w:rPr>
      </w:pPr>
      <w:r>
        <w:rPr>
          <w:rFonts w:eastAsia="楷体_GB2312"/>
          <w:b/>
          <w:color w:val="auto"/>
          <w:spacing w:val="6"/>
          <w:sz w:val="28"/>
          <w:szCs w:val="28"/>
          <w:highlight w:val="none"/>
        </w:rPr>
        <w:t>建设单位：</w:t>
      </w:r>
      <w:r>
        <w:rPr>
          <w:rFonts w:hint="eastAsia" w:eastAsia="楷体_GB2312"/>
          <w:b/>
          <w:color w:val="auto"/>
          <w:spacing w:val="6"/>
          <w:sz w:val="28"/>
          <w:szCs w:val="28"/>
          <w:highlight w:val="none"/>
          <w:lang w:val="en-US" w:eastAsia="zh-CN"/>
        </w:rPr>
        <w:t>内蒙古捷百顺新材料有限责任公司</w:t>
      </w:r>
    </w:p>
    <w:p w14:paraId="177D64E5">
      <w:pPr>
        <w:snapToGrid w:val="0"/>
        <w:ind w:left="720" w:leftChars="300" w:firstLine="0" w:firstLineChars="0"/>
        <w:jc w:val="left"/>
        <w:rPr>
          <w:rFonts w:eastAsia="楷体_GB2312"/>
          <w:b/>
          <w:color w:val="auto"/>
          <w:sz w:val="28"/>
          <w:szCs w:val="28"/>
          <w:highlight w:val="none"/>
        </w:rPr>
      </w:pPr>
      <w:r>
        <w:rPr>
          <w:rFonts w:hint="default" w:eastAsia="楷体_GB2312"/>
          <w:b/>
          <w:color w:val="auto"/>
          <w:spacing w:val="6"/>
          <w:sz w:val="28"/>
          <w:szCs w:val="28"/>
          <w:highlight w:val="none"/>
          <w:lang w:val="en-US"/>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300355</wp:posOffset>
                </wp:positionV>
                <wp:extent cx="4816475" cy="10795"/>
                <wp:effectExtent l="0" t="7620" r="3175" b="10160"/>
                <wp:wrapNone/>
                <wp:docPr id="18" name="直接连接符 18"/>
                <wp:cNvGraphicFramePr/>
                <a:graphic xmlns:a="http://schemas.openxmlformats.org/drawingml/2006/main">
                  <a:graphicData uri="http://schemas.microsoft.com/office/word/2010/wordprocessingShape">
                    <wps:wsp>
                      <wps:cNvCnPr/>
                      <wps:spPr>
                        <a:xfrm flipV="1">
                          <a:off x="0" y="0"/>
                          <a:ext cx="4816475" cy="10795"/>
                        </a:xfrm>
                        <a:prstGeom prst="line">
                          <a:avLst/>
                        </a:prstGeom>
                        <a:noFill/>
                        <a:ln w="15875" cap="flat" cmpd="sng" algn="ctr">
                          <a:solidFill>
                            <a:srgbClr val="000000"/>
                          </a:solidFill>
                          <a:prstDash val="solid"/>
                        </a:ln>
                        <a:effectLst/>
                      </wps:spPr>
                      <wps:bodyPr/>
                    </wps:wsp>
                  </a:graphicData>
                </a:graphic>
              </wp:anchor>
            </w:drawing>
          </mc:Choice>
          <mc:Fallback>
            <w:pict>
              <v:line id="_x0000_s1026" o:spid="_x0000_s1026" o:spt="20" style="position:absolute;left:0pt;flip:y;margin-left:17.7pt;margin-top:23.65pt;height:0.85pt;width:379.25pt;z-index:251664384;mso-width-relative:page;mso-height-relative:page;" filled="f" stroked="t" coordsize="21600,21600" o:gfxdata="UEsDBAoAAAAAAIdO4kAAAAAAAAAAAAAAAAAEAAAAZHJzL1BLAwQUAAAACACHTuJAIfjXMdcAAAAI&#10;AQAADwAAAGRycy9kb3ducmV2LnhtbE2PzU7DMBCE70i8g7VI3KjdptAmxKnEn4RULm14gG1skgh7&#10;HWKnLW/PcoLj7Ixmvi03Z+/E0Y6xD6RhPlMgLDXB9NRqeK9fbtYgYkIy6AJZDd82wqa6vCixMOFE&#10;O3vcp1ZwCcUCNXQpDYWUsemsxzgLgyX2PsLoMbEcW2lGPHG5d3Kh1J302BMvdDjYx842n/vJa1jU&#10;k9o+vK6lG77qXf38hk99RK2vr+bqHkSy5/QXhl98RoeKmQ5hIhOF05DdLjmpYbnKQLC/yrMcxIEP&#10;uQJZlfL/A9UPUEsDBBQAAAAIAIdO4kBoTEf46AEAALkDAAAOAAAAZHJzL2Uyb0RvYy54bWytU71u&#10;2zAQ3gv0HQjuteQgTlzBcoYY6VK0BvqznylKIsA/8BjLfom+QIFu7dSxe98m6WP0SKlGmi4ZqoG4&#10;P35338fT6upgNNvLgMrZms9nJWfSCtco29X8w/ubF0vOMIJtQDsra36UyK/Wz5+tBl/JM9c73cjA&#10;CMRiNfia9zH6qihQ9NIAzpyXlpKtCwYiuaErmgADoRtdnJXlRTG40PjghESk6GZM8gkxPAXQta0S&#10;cuPErZE2jqhBaohECXvlka/ztG0rRXzbtigj0zUnpjGf1ITsXTqL9QqqLoDvlZhGgKeM8IiTAWWp&#10;6QlqAxHYbVD/QBklgkPXxplwphiJZEWIxbx8pM27HrzMXEhq9CfR8f/Bijf7bWCqoU2gd7dg6MXv&#10;P/+4+/T1188vdN5//8YoQzINHiuqvrbbMHnotyFxPrTBsFYr/5FQsgrEix2yyMeTyPIQmaDg+XJ+&#10;cX654ExQbl5evlwk9GKESXA+YHwlnWHJqLlWNmkAFexfYxxL/5SksHU3SmuKQ6UtGwhzsczwQMvZ&#10;0lJQJ+OJINqOM9Adbb2IIUOi06pJ19NtDN3uWge2h7Qr+Zsm+6ss9d4A9mNdTk1l2iYYmbduGjWJ&#10;NsqUrJ1rjlm9Inn0opn3tH1pZR76ZD/849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H41zHX&#10;AAAACAEAAA8AAAAAAAAAAQAgAAAAIgAAAGRycy9kb3ducmV2LnhtbFBLAQIUABQAAAAIAIdO4kBo&#10;TEf46AEAALkDAAAOAAAAAAAAAAEAIAAAACYBAABkcnMvZTJvRG9jLnhtbFBLBQYAAAAABgAGAFkB&#10;AACABQAAAAA=&#10;">
                <v:fill on="f" focussize="0,0"/>
                <v:stroke weight="1.25pt" color="#000000" joinstyle="round"/>
                <v:imagedata o:title=""/>
                <o:lock v:ext="edit" aspectratio="f"/>
              </v:line>
            </w:pict>
          </mc:Fallback>
        </mc:AlternateContent>
      </w:r>
      <w:r>
        <w:rPr>
          <w:rFonts w:hint="eastAsia" w:eastAsia="楷体_GB2312"/>
          <w:b/>
          <w:color w:val="auto"/>
          <w:spacing w:val="6"/>
          <w:sz w:val="28"/>
          <w:szCs w:val="28"/>
          <w:highlight w:val="none"/>
          <w:lang w:val="en-US" w:eastAsia="zh-CN"/>
        </w:rPr>
        <w:t>编制</w:t>
      </w:r>
      <w:r>
        <w:rPr>
          <w:rFonts w:eastAsia="楷体_GB2312"/>
          <w:b/>
          <w:color w:val="auto"/>
          <w:spacing w:val="6"/>
          <w:sz w:val="28"/>
          <w:szCs w:val="28"/>
          <w:highlight w:val="none"/>
        </w:rPr>
        <w:t>单位：</w:t>
      </w:r>
      <w:r>
        <w:rPr>
          <w:rFonts w:eastAsia="楷体_GB2312"/>
          <w:b/>
          <w:color w:val="auto"/>
          <w:sz w:val="28"/>
          <w:szCs w:val="28"/>
          <w:highlight w:val="none"/>
        </w:rPr>
        <w:t>内蒙古</w:t>
      </w:r>
      <w:r>
        <w:rPr>
          <w:rFonts w:hint="eastAsia" w:eastAsia="楷体_GB2312"/>
          <w:b/>
          <w:color w:val="auto"/>
          <w:sz w:val="28"/>
          <w:szCs w:val="28"/>
          <w:highlight w:val="none"/>
          <w:lang w:val="en-US" w:eastAsia="zh-CN"/>
        </w:rPr>
        <w:t>纳恒环境科技有限</w:t>
      </w:r>
      <w:r>
        <w:rPr>
          <w:rFonts w:eastAsia="楷体_GB2312"/>
          <w:b/>
          <w:color w:val="auto"/>
          <w:sz w:val="28"/>
          <w:szCs w:val="28"/>
          <w:highlight w:val="none"/>
        </w:rPr>
        <w:t>公司</w:t>
      </w:r>
    </w:p>
    <w:p w14:paraId="66A3DC2E">
      <w:pPr>
        <w:spacing w:line="240" w:lineRule="auto"/>
        <w:ind w:firstLine="0" w:firstLineChars="0"/>
        <w:jc w:val="center"/>
        <w:rPr>
          <w:rFonts w:hAnsi="楷体_GB2312" w:eastAsia="楷体_GB2312"/>
          <w:b/>
          <w:color w:val="auto"/>
          <w:spacing w:val="6"/>
          <w:sz w:val="28"/>
          <w:szCs w:val="28"/>
          <w:highlight w:val="none"/>
        </w:rPr>
      </w:pPr>
    </w:p>
    <w:p w14:paraId="2D1FC6B9">
      <w:pPr>
        <w:ind w:firstLine="0" w:firstLineChars="0"/>
        <w:jc w:val="center"/>
        <w:rPr>
          <w:rFonts w:eastAsia="楷体_GB2312"/>
          <w:b/>
          <w:color w:val="auto"/>
          <w:sz w:val="32"/>
          <w:szCs w:val="32"/>
          <w:highlight w:val="yellow"/>
        </w:rPr>
      </w:pPr>
      <w:r>
        <w:rPr>
          <w:rFonts w:hint="eastAsia" w:hAnsi="楷体_GB2312" w:eastAsia="楷体_GB2312"/>
          <w:b/>
          <w:color w:val="auto"/>
          <w:spacing w:val="6"/>
          <w:sz w:val="28"/>
          <w:szCs w:val="28"/>
          <w:highlight w:val="yellow"/>
        </w:rPr>
        <w:t>二</w:t>
      </w:r>
      <w:r>
        <w:rPr>
          <w:rFonts w:hint="eastAsia" w:ascii="宋体" w:hAnsi="宋体" w:cs="宋体"/>
          <w:b/>
          <w:color w:val="auto"/>
          <w:spacing w:val="6"/>
          <w:sz w:val="28"/>
          <w:szCs w:val="28"/>
          <w:highlight w:val="yellow"/>
        </w:rPr>
        <w:t>〇</w:t>
      </w:r>
      <w:r>
        <w:rPr>
          <w:rFonts w:hint="eastAsia" w:hAnsi="楷体_GB2312" w:eastAsia="楷体_GB2312"/>
          <w:b/>
          <w:color w:val="auto"/>
          <w:spacing w:val="6"/>
          <w:sz w:val="28"/>
          <w:szCs w:val="28"/>
          <w:highlight w:val="yellow"/>
        </w:rPr>
        <w:t>二</w:t>
      </w:r>
      <w:r>
        <w:rPr>
          <w:rFonts w:hint="eastAsia" w:ascii="宋体" w:hAnsi="宋体" w:eastAsia="楷体_GB2312" w:cs="宋体"/>
          <w:b/>
          <w:color w:val="auto"/>
          <w:spacing w:val="6"/>
          <w:sz w:val="28"/>
          <w:szCs w:val="28"/>
          <w:highlight w:val="yellow"/>
          <w:lang w:val="en-US" w:eastAsia="zh-CN"/>
        </w:rPr>
        <w:t>五</w:t>
      </w:r>
      <w:r>
        <w:rPr>
          <w:rFonts w:hint="eastAsia" w:hAnsi="楷体_GB2312" w:eastAsia="楷体_GB2312"/>
          <w:b/>
          <w:color w:val="auto"/>
          <w:spacing w:val="6"/>
          <w:sz w:val="28"/>
          <w:szCs w:val="28"/>
          <w:highlight w:val="yellow"/>
        </w:rPr>
        <w:t>年</w:t>
      </w:r>
      <w:r>
        <w:rPr>
          <w:rFonts w:hint="eastAsia" w:hAnsi="楷体_GB2312" w:eastAsia="楷体_GB2312"/>
          <w:b/>
          <w:color w:val="auto"/>
          <w:spacing w:val="6"/>
          <w:sz w:val="28"/>
          <w:szCs w:val="28"/>
          <w:highlight w:val="yellow"/>
          <w:lang w:val="en-US" w:eastAsia="zh-CN"/>
        </w:rPr>
        <w:t>一</w:t>
      </w:r>
      <w:r>
        <w:rPr>
          <w:rFonts w:hint="eastAsia" w:hAnsi="楷体_GB2312" w:eastAsia="楷体_GB2312"/>
          <w:b/>
          <w:color w:val="auto"/>
          <w:spacing w:val="6"/>
          <w:sz w:val="28"/>
          <w:szCs w:val="28"/>
          <w:highlight w:val="yellow"/>
        </w:rPr>
        <w:t>月</w:t>
      </w:r>
    </w:p>
    <w:p w14:paraId="1E07E545">
      <w:pPr>
        <w:ind w:firstLine="420"/>
        <w:rPr>
          <w:bCs/>
          <w:caps/>
          <w:color w:val="auto"/>
          <w:w w:val="0"/>
          <w:kern w:val="0"/>
          <w:sz w:val="21"/>
          <w:highlight w:val="none"/>
          <w:lang w:val="zh-CN"/>
        </w:rPr>
      </w:pPr>
    </w:p>
    <w:p w14:paraId="4BDF64F3">
      <w:pPr>
        <w:ind w:firstLine="480"/>
        <w:rPr>
          <w:color w:val="auto"/>
          <w:highlight w:val="none"/>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titlePg/>
          <w:docGrid w:linePitch="326" w:charSpace="0"/>
        </w:sectPr>
      </w:pPr>
    </w:p>
    <w:p w14:paraId="42EC2A8A">
      <w:pPr>
        <w:ind w:firstLine="482"/>
        <w:jc w:val="center"/>
        <w:rPr>
          <w:b/>
          <w:color w:val="auto"/>
          <w:highlight w:val="none"/>
          <w:lang w:val="zh-CN"/>
        </w:rPr>
      </w:pPr>
      <w:r>
        <w:rPr>
          <w:rFonts w:hint="eastAsia"/>
          <w:b/>
          <w:color w:val="auto"/>
          <w:highlight w:val="none"/>
          <w:lang w:val="zh-CN"/>
        </w:rPr>
        <w:t>目录</w:t>
      </w:r>
    </w:p>
    <w:p w14:paraId="2F5C48F1">
      <w:pPr>
        <w:pStyle w:val="27"/>
        <w:tabs>
          <w:tab w:val="right" w:leader="dot" w:pos="8306"/>
        </w:tabs>
        <w:rPr>
          <w:color w:val="auto"/>
          <w:sz w:val="24"/>
          <w:szCs w:val="24"/>
          <w:highlight w:val="none"/>
        </w:rPr>
      </w:pPr>
      <w:r>
        <w:rPr>
          <w:iCs/>
          <w:caps w:val="0"/>
          <w:color w:val="auto"/>
          <w:sz w:val="24"/>
          <w:szCs w:val="24"/>
          <w:highlight w:val="none"/>
          <w:lang w:val="zh-CN"/>
        </w:rPr>
        <w:fldChar w:fldCharType="begin"/>
      </w:r>
      <w:r>
        <w:rPr>
          <w:iCs/>
          <w:caps w:val="0"/>
          <w:color w:val="auto"/>
          <w:sz w:val="24"/>
          <w:szCs w:val="24"/>
          <w:highlight w:val="none"/>
          <w:lang w:val="zh-CN"/>
        </w:rPr>
        <w:instrText xml:space="preserve"> TOC \o "1-2" \h \z \u </w:instrText>
      </w:r>
      <w:r>
        <w:rPr>
          <w:iCs/>
          <w:caps w:val="0"/>
          <w:color w:val="auto"/>
          <w:sz w:val="24"/>
          <w:szCs w:val="24"/>
          <w:highlight w:val="none"/>
          <w:lang w:val="zh-CN"/>
        </w:rPr>
        <w:fldChar w:fldCharType="separate"/>
      </w:r>
      <w:r>
        <w:rPr>
          <w:iCs/>
          <w:caps w:val="0"/>
          <w:color w:val="auto"/>
          <w:sz w:val="24"/>
          <w:szCs w:val="24"/>
          <w:highlight w:val="none"/>
          <w:lang w:val="zh-CN"/>
        </w:rPr>
        <w:fldChar w:fldCharType="begin"/>
      </w:r>
      <w:r>
        <w:rPr>
          <w:iCs/>
          <w:caps w:val="0"/>
          <w:color w:val="auto"/>
          <w:sz w:val="24"/>
          <w:szCs w:val="24"/>
          <w:highlight w:val="none"/>
          <w:lang w:val="zh-CN"/>
        </w:rPr>
        <w:instrText xml:space="preserve"> HYPERLINK \l _Toc11841 </w:instrText>
      </w:r>
      <w:r>
        <w:rPr>
          <w:iCs/>
          <w:caps w:val="0"/>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1. </w:t>
      </w:r>
      <w:r>
        <w:rPr>
          <w:rFonts w:hint="eastAsia"/>
          <w:color w:val="auto"/>
          <w:sz w:val="24"/>
          <w:szCs w:val="24"/>
          <w:highlight w:val="none"/>
        </w:rPr>
        <w:t>概述</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_Toc11841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iCs/>
          <w:caps w:val="0"/>
          <w:color w:val="auto"/>
          <w:sz w:val="24"/>
          <w:szCs w:val="24"/>
          <w:highlight w:val="none"/>
          <w:lang w:val="zh-CN"/>
        </w:rPr>
        <w:fldChar w:fldCharType="end"/>
      </w:r>
    </w:p>
    <w:p w14:paraId="1F1F8430">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_Toc15626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1.1 </w:t>
      </w:r>
      <w:r>
        <w:rPr>
          <w:rFonts w:hint="eastAsia"/>
          <w:color w:val="auto"/>
          <w:sz w:val="24"/>
          <w:szCs w:val="24"/>
          <w:highlight w:val="none"/>
        </w:rPr>
        <w:t>项目由来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_Toc15626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5AE6DCA7">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_Toc1716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1.2 </w:t>
      </w:r>
      <w:r>
        <w:rPr>
          <w:rFonts w:hint="eastAsia"/>
          <w:color w:val="auto"/>
          <w:sz w:val="24"/>
          <w:szCs w:val="24"/>
          <w:highlight w:val="none"/>
        </w:rPr>
        <w:t>环境影响评价工作过程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_Toc1716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3966FBE7">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_Toc6421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1.3 </w:t>
      </w:r>
      <w:r>
        <w:rPr>
          <w:rFonts w:hint="eastAsia"/>
          <w:color w:val="auto"/>
          <w:sz w:val="24"/>
          <w:szCs w:val="24"/>
          <w:highlight w:val="none"/>
        </w:rPr>
        <w:t>相关情况的分析判定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_Toc6421 \h </w:instrText>
      </w:r>
      <w:r>
        <w:rPr>
          <w:color w:val="auto"/>
          <w:sz w:val="24"/>
          <w:szCs w:val="24"/>
          <w:highlight w:val="none"/>
        </w:rPr>
        <w:fldChar w:fldCharType="separate"/>
      </w:r>
      <w:r>
        <w:rPr>
          <w:color w:val="auto"/>
          <w:sz w:val="24"/>
          <w:szCs w:val="24"/>
          <w:highlight w:val="none"/>
        </w:rPr>
        <w:t>4</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CF2148E">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_Toc24453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1.4 </w:t>
      </w:r>
      <w:r>
        <w:rPr>
          <w:rFonts w:hint="eastAsia"/>
          <w:color w:val="auto"/>
          <w:sz w:val="24"/>
          <w:szCs w:val="24"/>
          <w:highlight w:val="none"/>
        </w:rPr>
        <w:t>关注的主要环境问题</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_Toc24453 \h </w:instrText>
      </w:r>
      <w:r>
        <w:rPr>
          <w:color w:val="auto"/>
          <w:sz w:val="24"/>
          <w:szCs w:val="24"/>
          <w:highlight w:val="none"/>
        </w:rPr>
        <w:fldChar w:fldCharType="separate"/>
      </w:r>
      <w:r>
        <w:rPr>
          <w:color w:val="auto"/>
          <w:sz w:val="24"/>
          <w:szCs w:val="24"/>
          <w:highlight w:val="none"/>
        </w:rPr>
        <w:t>15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8139E72">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_Toc28782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1.5 </w:t>
      </w:r>
      <w:r>
        <w:rPr>
          <w:rFonts w:hint="eastAsia"/>
          <w:color w:val="auto"/>
          <w:sz w:val="24"/>
          <w:szCs w:val="24"/>
          <w:highlight w:val="none"/>
        </w:rPr>
        <w:t>环境影响评价的主要结论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_Toc28782 \h </w:instrText>
      </w:r>
      <w:r>
        <w:rPr>
          <w:color w:val="auto"/>
          <w:sz w:val="24"/>
          <w:szCs w:val="24"/>
          <w:highlight w:val="none"/>
        </w:rPr>
        <w:fldChar w:fldCharType="separate"/>
      </w:r>
      <w:r>
        <w:rPr>
          <w:color w:val="auto"/>
          <w:sz w:val="24"/>
          <w:szCs w:val="24"/>
          <w:highlight w:val="none"/>
        </w:rPr>
        <w:t>15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3A4421AC">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_Toc14904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2. </w:t>
      </w:r>
      <w:r>
        <w:rPr>
          <w:rFonts w:hint="eastAsia"/>
          <w:color w:val="auto"/>
          <w:sz w:val="24"/>
          <w:szCs w:val="24"/>
          <w:highlight w:val="none"/>
        </w:rPr>
        <w:t>总则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_Toc14904 \h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435F411B">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_Toc11190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2.1 </w:t>
      </w:r>
      <w:r>
        <w:rPr>
          <w:rFonts w:hint="eastAsia"/>
          <w:color w:val="auto"/>
          <w:sz w:val="24"/>
          <w:szCs w:val="24"/>
          <w:highlight w:val="none"/>
        </w:rPr>
        <w:t>评价依据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_Toc11190 \h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515E705">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_Toc23894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2.2 </w:t>
      </w:r>
      <w:r>
        <w:rPr>
          <w:rFonts w:hint="eastAsia"/>
          <w:color w:val="auto"/>
          <w:sz w:val="24"/>
          <w:szCs w:val="24"/>
          <w:highlight w:val="none"/>
        </w:rPr>
        <w:t>评价目的及指导思想</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_Toc23894 \h </w:instrText>
      </w:r>
      <w:r>
        <w:rPr>
          <w:color w:val="auto"/>
          <w:sz w:val="24"/>
          <w:szCs w:val="24"/>
          <w:highlight w:val="none"/>
        </w:rPr>
        <w:fldChar w:fldCharType="separate"/>
      </w:r>
      <w:r>
        <w:rPr>
          <w:color w:val="auto"/>
          <w:sz w:val="24"/>
          <w:szCs w:val="24"/>
          <w:highlight w:val="none"/>
        </w:rPr>
        <w:t>18</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7D4F077">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_Toc7707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2.3 </w:t>
      </w:r>
      <w:r>
        <w:rPr>
          <w:rFonts w:hint="eastAsia"/>
          <w:color w:val="auto"/>
          <w:sz w:val="24"/>
          <w:szCs w:val="24"/>
          <w:highlight w:val="none"/>
        </w:rPr>
        <w:t>评价因子与评价标准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_Toc7707 \h </w:instrText>
      </w:r>
      <w:r>
        <w:rPr>
          <w:color w:val="auto"/>
          <w:sz w:val="24"/>
          <w:szCs w:val="24"/>
          <w:highlight w:val="none"/>
        </w:rPr>
        <w:fldChar w:fldCharType="separate"/>
      </w:r>
      <w:r>
        <w:rPr>
          <w:color w:val="auto"/>
          <w:sz w:val="24"/>
          <w:szCs w:val="24"/>
          <w:highlight w:val="none"/>
        </w:rPr>
        <w:t>19</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19D1051">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_Toc25358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2.4 </w:t>
      </w:r>
      <w:r>
        <w:rPr>
          <w:rFonts w:hint="eastAsia"/>
          <w:color w:val="auto"/>
          <w:sz w:val="24"/>
          <w:szCs w:val="24"/>
          <w:highlight w:val="none"/>
        </w:rPr>
        <w:t>评价工作等级及评价范围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_Toc25358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5C9AF1F">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_Toc9692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2.5 </w:t>
      </w:r>
      <w:r>
        <w:rPr>
          <w:rFonts w:hint="eastAsia"/>
          <w:color w:val="auto"/>
          <w:sz w:val="24"/>
          <w:szCs w:val="24"/>
          <w:highlight w:val="none"/>
        </w:rPr>
        <w:t>主要环境保护目标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_Toc9692 \h </w:instrText>
      </w:r>
      <w:r>
        <w:rPr>
          <w:color w:val="auto"/>
          <w:sz w:val="24"/>
          <w:szCs w:val="24"/>
          <w:highlight w:val="none"/>
        </w:rPr>
        <w:fldChar w:fldCharType="separate"/>
      </w:r>
      <w:r>
        <w:rPr>
          <w:color w:val="auto"/>
          <w:sz w:val="24"/>
          <w:szCs w:val="24"/>
          <w:highlight w:val="none"/>
        </w:rPr>
        <w:t>35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4D29828">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_Toc29231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3. </w:t>
      </w:r>
      <w:r>
        <w:rPr>
          <w:rFonts w:hint="eastAsia"/>
          <w:color w:val="auto"/>
          <w:sz w:val="24"/>
          <w:szCs w:val="24"/>
          <w:highlight w:val="none"/>
          <w:lang w:val="en-US" w:eastAsia="zh-CN"/>
        </w:rPr>
        <w:t>项目概况及工程分析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_Toc29231 \h </w:instrText>
      </w:r>
      <w:r>
        <w:rPr>
          <w:color w:val="auto"/>
          <w:sz w:val="24"/>
          <w:szCs w:val="24"/>
          <w:highlight w:val="none"/>
        </w:rPr>
        <w:fldChar w:fldCharType="separate"/>
      </w:r>
      <w:r>
        <w:rPr>
          <w:color w:val="auto"/>
          <w:sz w:val="24"/>
          <w:szCs w:val="24"/>
          <w:highlight w:val="none"/>
        </w:rPr>
        <w:t>38</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41C7FB89">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_Toc12786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3.1 </w:t>
      </w:r>
      <w:r>
        <w:rPr>
          <w:rFonts w:hint="eastAsia"/>
          <w:color w:val="auto"/>
          <w:sz w:val="24"/>
          <w:szCs w:val="24"/>
          <w:highlight w:val="none"/>
          <w:lang w:val="en-US" w:eastAsia="zh-CN"/>
        </w:rPr>
        <w:t>项目基本概况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_Toc12786 \h </w:instrText>
      </w:r>
      <w:r>
        <w:rPr>
          <w:color w:val="auto"/>
          <w:sz w:val="24"/>
          <w:szCs w:val="24"/>
          <w:highlight w:val="none"/>
        </w:rPr>
        <w:fldChar w:fldCharType="separate"/>
      </w:r>
      <w:r>
        <w:rPr>
          <w:color w:val="auto"/>
          <w:sz w:val="24"/>
          <w:szCs w:val="24"/>
          <w:highlight w:val="none"/>
        </w:rPr>
        <w:t>38</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39EFBA09">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_Toc7077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3.2 </w:t>
      </w:r>
      <w:r>
        <w:rPr>
          <w:rFonts w:hint="eastAsia"/>
          <w:color w:val="auto"/>
          <w:sz w:val="24"/>
          <w:szCs w:val="24"/>
          <w:highlight w:val="none"/>
          <w:lang w:val="en-US" w:eastAsia="zh-CN"/>
        </w:rPr>
        <w:t>项目建设内容及项目组成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_Toc7077 \h </w:instrText>
      </w:r>
      <w:r>
        <w:rPr>
          <w:color w:val="auto"/>
          <w:sz w:val="24"/>
          <w:szCs w:val="24"/>
          <w:highlight w:val="none"/>
        </w:rPr>
        <w:fldChar w:fldCharType="separate"/>
      </w:r>
      <w:r>
        <w:rPr>
          <w:color w:val="auto"/>
          <w:sz w:val="24"/>
          <w:szCs w:val="24"/>
          <w:highlight w:val="none"/>
        </w:rPr>
        <w:t>42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329A795">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_Toc24072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3.3 </w:t>
      </w:r>
      <w:r>
        <w:rPr>
          <w:rFonts w:hint="eastAsia"/>
          <w:color w:val="auto"/>
          <w:sz w:val="24"/>
          <w:szCs w:val="24"/>
          <w:highlight w:val="none"/>
          <w:lang w:val="en-US" w:eastAsia="zh-CN"/>
        </w:rPr>
        <w:t>生产规模及产品方案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_Toc24072 \h </w:instrText>
      </w:r>
      <w:r>
        <w:rPr>
          <w:color w:val="auto"/>
          <w:sz w:val="24"/>
          <w:szCs w:val="24"/>
          <w:highlight w:val="none"/>
        </w:rPr>
        <w:fldChar w:fldCharType="separate"/>
      </w:r>
      <w:r>
        <w:rPr>
          <w:color w:val="auto"/>
          <w:sz w:val="24"/>
          <w:szCs w:val="24"/>
          <w:highlight w:val="none"/>
        </w:rPr>
        <w:t>43</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55E0E55">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_Toc26905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3.4 </w:t>
      </w:r>
      <w:r>
        <w:rPr>
          <w:rFonts w:hint="eastAsia"/>
          <w:color w:val="auto"/>
          <w:sz w:val="24"/>
          <w:szCs w:val="24"/>
          <w:highlight w:val="none"/>
          <w:lang w:val="en-US" w:eastAsia="zh-CN"/>
        </w:rPr>
        <w:t>主要原辅材料及能源消耗</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_Toc26905 \h </w:instrText>
      </w:r>
      <w:r>
        <w:rPr>
          <w:color w:val="auto"/>
          <w:sz w:val="24"/>
          <w:szCs w:val="24"/>
          <w:highlight w:val="none"/>
        </w:rPr>
        <w:fldChar w:fldCharType="separate"/>
      </w:r>
      <w:r>
        <w:rPr>
          <w:color w:val="auto"/>
          <w:sz w:val="24"/>
          <w:szCs w:val="24"/>
          <w:highlight w:val="none"/>
        </w:rPr>
        <w:t>44</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305C9802">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_Toc7976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3.5 </w:t>
      </w:r>
      <w:r>
        <w:rPr>
          <w:rFonts w:hint="eastAsia"/>
          <w:color w:val="auto"/>
          <w:sz w:val="24"/>
          <w:szCs w:val="24"/>
          <w:highlight w:val="none"/>
        </w:rPr>
        <w:t>主要生产设备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_Toc7976 \h </w:instrText>
      </w:r>
      <w:r>
        <w:rPr>
          <w:color w:val="auto"/>
          <w:sz w:val="24"/>
          <w:szCs w:val="24"/>
          <w:highlight w:val="none"/>
        </w:rPr>
        <w:fldChar w:fldCharType="separate"/>
      </w:r>
      <w:r>
        <w:rPr>
          <w:color w:val="auto"/>
          <w:sz w:val="24"/>
          <w:szCs w:val="24"/>
          <w:highlight w:val="none"/>
        </w:rPr>
        <w:t>46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4B501F8">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_Toc19820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3.6 </w:t>
      </w:r>
      <w:r>
        <w:rPr>
          <w:rFonts w:hint="eastAsia"/>
          <w:color w:val="auto"/>
          <w:sz w:val="24"/>
          <w:szCs w:val="24"/>
          <w:highlight w:val="none"/>
        </w:rPr>
        <w:t>公用工程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_Toc19820 \h </w:instrText>
      </w:r>
      <w:r>
        <w:rPr>
          <w:color w:val="auto"/>
          <w:sz w:val="24"/>
          <w:szCs w:val="24"/>
          <w:highlight w:val="none"/>
        </w:rPr>
        <w:fldChar w:fldCharType="separate"/>
      </w:r>
      <w:r>
        <w:rPr>
          <w:color w:val="auto"/>
          <w:sz w:val="24"/>
          <w:szCs w:val="24"/>
          <w:highlight w:val="none"/>
        </w:rPr>
        <w:t>47</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5C74E228">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_Toc3773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3.7 </w:t>
      </w:r>
      <w:r>
        <w:rPr>
          <w:rFonts w:hint="eastAsia"/>
          <w:color w:val="auto"/>
          <w:sz w:val="24"/>
          <w:szCs w:val="24"/>
          <w:highlight w:val="none"/>
          <w:lang w:val="en-US" w:eastAsia="zh-CN"/>
        </w:rPr>
        <w:t>储运工程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_Toc3773 \h </w:instrText>
      </w:r>
      <w:r>
        <w:rPr>
          <w:color w:val="auto"/>
          <w:sz w:val="24"/>
          <w:szCs w:val="24"/>
          <w:highlight w:val="none"/>
        </w:rPr>
        <w:fldChar w:fldCharType="separate"/>
      </w:r>
      <w:r>
        <w:rPr>
          <w:color w:val="auto"/>
          <w:sz w:val="24"/>
          <w:szCs w:val="24"/>
          <w:highlight w:val="none"/>
        </w:rPr>
        <w:t>50</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CE00CCC">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_Toc28190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3.8 </w:t>
      </w:r>
      <w:r>
        <w:rPr>
          <w:rFonts w:hint="eastAsia"/>
          <w:color w:val="auto"/>
          <w:sz w:val="24"/>
          <w:szCs w:val="24"/>
          <w:highlight w:val="none"/>
        </w:rPr>
        <w:t>总平面布置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_Toc28190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E55BE24">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_Toc3819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3.9 </w:t>
      </w:r>
      <w:r>
        <w:rPr>
          <w:rFonts w:hint="eastAsia"/>
          <w:color w:val="auto"/>
          <w:sz w:val="24"/>
          <w:szCs w:val="24"/>
          <w:highlight w:val="none"/>
        </w:rPr>
        <w:t>主要技术经济指标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_Toc3819 \h </w:instrText>
      </w:r>
      <w:r>
        <w:rPr>
          <w:color w:val="auto"/>
          <w:sz w:val="24"/>
          <w:szCs w:val="24"/>
          <w:highlight w:val="none"/>
        </w:rPr>
        <w:fldChar w:fldCharType="separate"/>
      </w:r>
      <w:r>
        <w:rPr>
          <w:color w:val="auto"/>
          <w:sz w:val="24"/>
          <w:szCs w:val="24"/>
          <w:highlight w:val="none"/>
        </w:rPr>
        <w:t>51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43190CF0">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_Toc13542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3.10 </w:t>
      </w:r>
      <w:r>
        <w:rPr>
          <w:rFonts w:hint="eastAsia"/>
          <w:color w:val="auto"/>
          <w:sz w:val="24"/>
          <w:szCs w:val="24"/>
          <w:highlight w:val="none"/>
          <w:lang w:val="en-US" w:eastAsia="zh-CN"/>
        </w:rPr>
        <w:t>租用场地现存在环境问题及整改要求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_Toc13542 \h </w:instrText>
      </w:r>
      <w:r>
        <w:rPr>
          <w:color w:val="auto"/>
          <w:sz w:val="24"/>
          <w:szCs w:val="24"/>
          <w:highlight w:val="none"/>
        </w:rPr>
        <w:fldChar w:fldCharType="separate"/>
      </w:r>
      <w:r>
        <w:rPr>
          <w:color w:val="auto"/>
          <w:sz w:val="24"/>
          <w:szCs w:val="24"/>
          <w:highlight w:val="none"/>
        </w:rPr>
        <w:t>52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4CD5137">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_Toc6719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3.11 </w:t>
      </w:r>
      <w:r>
        <w:rPr>
          <w:rFonts w:hint="eastAsia"/>
          <w:color w:val="auto"/>
          <w:sz w:val="24"/>
          <w:szCs w:val="24"/>
          <w:highlight w:val="none"/>
        </w:rPr>
        <w:t>工艺流程及产排污分析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_Toc6719 \h </w:instrText>
      </w:r>
      <w:r>
        <w:rPr>
          <w:color w:val="auto"/>
          <w:sz w:val="24"/>
          <w:szCs w:val="24"/>
          <w:highlight w:val="none"/>
        </w:rPr>
        <w:fldChar w:fldCharType="separate"/>
      </w:r>
      <w:r>
        <w:rPr>
          <w:color w:val="auto"/>
          <w:sz w:val="24"/>
          <w:szCs w:val="24"/>
          <w:highlight w:val="none"/>
        </w:rPr>
        <w:t>54</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E0A56F3">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_Toc21249 </w:instrText>
      </w:r>
      <w:r>
        <w:rPr>
          <w:rFonts w:ascii="Calibri" w:hAnsi="Calibri"/>
          <w:iCs/>
          <w:caps/>
          <w:color w:val="auto"/>
          <w:sz w:val="24"/>
          <w:szCs w:val="24"/>
          <w:highlight w:val="none"/>
          <w:lang w:val="zh-CN"/>
        </w:rPr>
        <w:fldChar w:fldCharType="separate"/>
      </w:r>
      <w:r>
        <w:rPr>
          <w:rFonts w:hint="eastAsia" w:cs="Times New Roman"/>
          <w:bCs w:val="0"/>
          <w:i w:val="0"/>
          <w:iCs w:val="0"/>
          <w:caps w:val="0"/>
          <w:smallCaps w:val="0"/>
          <w:strike w:val="0"/>
          <w:dstrike w:val="0"/>
          <w:vanish w:val="0"/>
          <w:color w:val="auto"/>
          <w:spacing w:val="0"/>
          <w:position w:val="0"/>
          <w:sz w:val="24"/>
          <w:szCs w:val="24"/>
          <w:highlight w:val="none"/>
          <w:vertAlign w:val="baseline"/>
        </w:rPr>
        <w:t xml:space="preserve">3.12 </w:t>
      </w:r>
      <w:r>
        <w:rPr>
          <w:rFonts w:hint="eastAsia" w:cs="Times New Roman"/>
          <w:color w:val="auto"/>
          <w:sz w:val="24"/>
          <w:szCs w:val="24"/>
          <w:highlight w:val="none"/>
        </w:rPr>
        <w:t>本项目污染物产生及排放情况汇总</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_Toc21249 \h </w:instrText>
      </w:r>
      <w:r>
        <w:rPr>
          <w:color w:val="auto"/>
          <w:sz w:val="24"/>
          <w:szCs w:val="24"/>
          <w:highlight w:val="none"/>
        </w:rPr>
        <w:fldChar w:fldCharType="separate"/>
      </w:r>
      <w:r>
        <w:rPr>
          <w:color w:val="auto"/>
          <w:sz w:val="24"/>
          <w:szCs w:val="24"/>
          <w:highlight w:val="none"/>
        </w:rPr>
        <w:t>78</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063A97A">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_Toc25160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4. </w:t>
      </w:r>
      <w:r>
        <w:rPr>
          <w:rFonts w:hint="eastAsia"/>
          <w:color w:val="auto"/>
          <w:sz w:val="24"/>
          <w:szCs w:val="24"/>
          <w:highlight w:val="none"/>
        </w:rPr>
        <w:t>环境现状调查与评价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_Toc25160 \h </w:instrText>
      </w:r>
      <w:r>
        <w:rPr>
          <w:color w:val="auto"/>
          <w:sz w:val="24"/>
          <w:szCs w:val="24"/>
          <w:highlight w:val="none"/>
        </w:rPr>
        <w:fldChar w:fldCharType="separate"/>
      </w:r>
      <w:r>
        <w:rPr>
          <w:color w:val="auto"/>
          <w:sz w:val="24"/>
          <w:szCs w:val="24"/>
          <w:highlight w:val="none"/>
        </w:rPr>
        <w:t>81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2221349D">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_Toc27649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4.1 </w:t>
      </w:r>
      <w:r>
        <w:rPr>
          <w:rFonts w:hint="eastAsia"/>
          <w:color w:val="auto"/>
          <w:sz w:val="24"/>
          <w:szCs w:val="24"/>
          <w:highlight w:val="none"/>
        </w:rPr>
        <w:t>区域自然环境现状调查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_Toc27649 \h </w:instrText>
      </w:r>
      <w:r>
        <w:rPr>
          <w:color w:val="auto"/>
          <w:sz w:val="24"/>
          <w:szCs w:val="24"/>
          <w:highlight w:val="none"/>
        </w:rPr>
        <w:fldChar w:fldCharType="separate"/>
      </w:r>
      <w:r>
        <w:rPr>
          <w:color w:val="auto"/>
          <w:sz w:val="24"/>
          <w:szCs w:val="24"/>
          <w:highlight w:val="none"/>
        </w:rPr>
        <w:t>81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3E40F5BE">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_Toc15259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4.2 </w:t>
      </w:r>
      <w:r>
        <w:rPr>
          <w:rFonts w:hint="eastAsia"/>
          <w:color w:val="auto"/>
          <w:sz w:val="24"/>
          <w:szCs w:val="24"/>
          <w:highlight w:val="none"/>
        </w:rPr>
        <w:t>内蒙古锡林郭勒多伦经济开发区概况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_Toc15259 \h </w:instrText>
      </w:r>
      <w:r>
        <w:rPr>
          <w:color w:val="auto"/>
          <w:sz w:val="24"/>
          <w:szCs w:val="24"/>
          <w:highlight w:val="none"/>
        </w:rPr>
        <w:fldChar w:fldCharType="separate"/>
      </w:r>
      <w:r>
        <w:rPr>
          <w:color w:val="auto"/>
          <w:sz w:val="24"/>
          <w:szCs w:val="24"/>
          <w:highlight w:val="none"/>
        </w:rPr>
        <w:t>86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501A63C5">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_Toc3116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4.3 </w:t>
      </w:r>
      <w:r>
        <w:rPr>
          <w:rFonts w:hint="eastAsia"/>
          <w:color w:val="auto"/>
          <w:sz w:val="24"/>
          <w:szCs w:val="24"/>
          <w:highlight w:val="none"/>
        </w:rPr>
        <w:t>环境质量现状调查与评价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_Toc3116 \h </w:instrText>
      </w:r>
      <w:r>
        <w:rPr>
          <w:color w:val="auto"/>
          <w:sz w:val="24"/>
          <w:szCs w:val="24"/>
          <w:highlight w:val="none"/>
        </w:rPr>
        <w:fldChar w:fldCharType="separate"/>
      </w:r>
      <w:r>
        <w:rPr>
          <w:color w:val="auto"/>
          <w:sz w:val="24"/>
          <w:szCs w:val="24"/>
          <w:highlight w:val="none"/>
        </w:rPr>
        <w:t>97</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433A1AF">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_Toc2892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5. </w:t>
      </w:r>
      <w:r>
        <w:rPr>
          <w:rFonts w:hint="eastAsia"/>
          <w:color w:val="auto"/>
          <w:sz w:val="24"/>
          <w:szCs w:val="24"/>
          <w:highlight w:val="none"/>
        </w:rPr>
        <w:t>环境影响预测与评价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_Toc2892 \h </w:instrText>
      </w:r>
      <w:r>
        <w:rPr>
          <w:color w:val="auto"/>
          <w:sz w:val="24"/>
          <w:szCs w:val="24"/>
          <w:highlight w:val="none"/>
        </w:rPr>
        <w:fldChar w:fldCharType="separate"/>
      </w:r>
      <w:r>
        <w:rPr>
          <w:color w:val="auto"/>
          <w:sz w:val="24"/>
          <w:szCs w:val="24"/>
          <w:highlight w:val="none"/>
        </w:rPr>
        <w:t>113</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00071C0">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_Toc28324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kern w:val="0"/>
          <w:position w:val="0"/>
          <w:sz w:val="24"/>
          <w:szCs w:val="24"/>
          <w:highlight w:val="none"/>
          <w:vertAlign w:val="baseline"/>
        </w:rPr>
        <w:t xml:space="preserve">5.1 </w:t>
      </w:r>
      <w:r>
        <w:rPr>
          <w:rFonts w:hint="eastAsia"/>
          <w:bCs w:val="0"/>
          <w:color w:val="auto"/>
          <w:kern w:val="0"/>
          <w:sz w:val="24"/>
          <w:szCs w:val="24"/>
          <w:highlight w:val="none"/>
        </w:rPr>
        <w:t>施工期环境影响评价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_Toc28324 \h </w:instrText>
      </w:r>
      <w:r>
        <w:rPr>
          <w:color w:val="auto"/>
          <w:sz w:val="24"/>
          <w:szCs w:val="24"/>
          <w:highlight w:val="none"/>
        </w:rPr>
        <w:fldChar w:fldCharType="separate"/>
      </w:r>
      <w:r>
        <w:rPr>
          <w:color w:val="auto"/>
          <w:sz w:val="24"/>
          <w:szCs w:val="24"/>
          <w:highlight w:val="none"/>
        </w:rPr>
        <w:t>113</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EDA42FA">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_Toc18663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5.2 </w:t>
      </w:r>
      <w:r>
        <w:rPr>
          <w:rFonts w:hint="eastAsia"/>
          <w:color w:val="auto"/>
          <w:sz w:val="24"/>
          <w:szCs w:val="24"/>
          <w:highlight w:val="none"/>
        </w:rPr>
        <w:t>运营期大气环境影响分析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_Toc18663 \h </w:instrText>
      </w:r>
      <w:r>
        <w:rPr>
          <w:color w:val="auto"/>
          <w:sz w:val="24"/>
          <w:szCs w:val="24"/>
          <w:highlight w:val="none"/>
        </w:rPr>
        <w:fldChar w:fldCharType="separate"/>
      </w:r>
      <w:r>
        <w:rPr>
          <w:color w:val="auto"/>
          <w:sz w:val="24"/>
          <w:szCs w:val="24"/>
          <w:highlight w:val="none"/>
        </w:rPr>
        <w:t>115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E21A040">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_Toc31210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5.3 </w:t>
      </w:r>
      <w:r>
        <w:rPr>
          <w:rFonts w:hint="eastAsia"/>
          <w:color w:val="auto"/>
          <w:sz w:val="24"/>
          <w:szCs w:val="24"/>
          <w:highlight w:val="none"/>
        </w:rPr>
        <w:t>地下水环境影响</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_Toc31210 \h </w:instrText>
      </w:r>
      <w:r>
        <w:rPr>
          <w:color w:val="auto"/>
          <w:sz w:val="24"/>
          <w:szCs w:val="24"/>
          <w:highlight w:val="none"/>
        </w:rPr>
        <w:fldChar w:fldCharType="separate"/>
      </w:r>
      <w:r>
        <w:rPr>
          <w:color w:val="auto"/>
          <w:sz w:val="24"/>
          <w:szCs w:val="24"/>
          <w:highlight w:val="none"/>
        </w:rPr>
        <w:t>129</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7504F01">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_Toc361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5.4 </w:t>
      </w:r>
      <w:r>
        <w:rPr>
          <w:rFonts w:hint="eastAsia"/>
          <w:color w:val="auto"/>
          <w:sz w:val="24"/>
          <w:szCs w:val="24"/>
          <w:highlight w:val="none"/>
        </w:rPr>
        <w:t>地表水环境影响分析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_Toc361 \h </w:instrText>
      </w:r>
      <w:r>
        <w:rPr>
          <w:color w:val="auto"/>
          <w:sz w:val="24"/>
          <w:szCs w:val="24"/>
          <w:highlight w:val="none"/>
        </w:rPr>
        <w:fldChar w:fldCharType="separate"/>
      </w:r>
      <w:r>
        <w:rPr>
          <w:color w:val="auto"/>
          <w:sz w:val="24"/>
          <w:szCs w:val="24"/>
          <w:highlight w:val="none"/>
        </w:rPr>
        <w:t>150</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3C82153">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_Toc19847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5.5 </w:t>
      </w:r>
      <w:r>
        <w:rPr>
          <w:rFonts w:hint="eastAsia"/>
          <w:color w:val="auto"/>
          <w:sz w:val="24"/>
          <w:szCs w:val="24"/>
          <w:highlight w:val="none"/>
        </w:rPr>
        <w:t>声环境影响预测分析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_Toc19847 \h </w:instrText>
      </w:r>
      <w:r>
        <w:rPr>
          <w:color w:val="auto"/>
          <w:sz w:val="24"/>
          <w:szCs w:val="24"/>
          <w:highlight w:val="none"/>
        </w:rPr>
        <w:fldChar w:fldCharType="separate"/>
      </w:r>
      <w:r>
        <w:rPr>
          <w:color w:val="auto"/>
          <w:sz w:val="24"/>
          <w:szCs w:val="24"/>
          <w:highlight w:val="none"/>
        </w:rPr>
        <w:t>151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3E95DD0">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_Toc27339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5.6 </w:t>
      </w:r>
      <w:r>
        <w:rPr>
          <w:rFonts w:hint="eastAsia"/>
          <w:color w:val="auto"/>
          <w:sz w:val="24"/>
          <w:szCs w:val="24"/>
          <w:highlight w:val="none"/>
        </w:rPr>
        <w:t>固体废物</w:t>
      </w:r>
      <w:r>
        <w:rPr>
          <w:rFonts w:hint="eastAsia"/>
          <w:color w:val="auto"/>
          <w:sz w:val="24"/>
          <w:szCs w:val="24"/>
          <w:highlight w:val="none"/>
          <w:lang w:val="en-US" w:eastAsia="zh-CN"/>
        </w:rPr>
        <w:t>环境影响</w:t>
      </w:r>
      <w:r>
        <w:rPr>
          <w:rFonts w:hint="eastAsia"/>
          <w:color w:val="auto"/>
          <w:sz w:val="24"/>
          <w:szCs w:val="24"/>
          <w:highlight w:val="none"/>
        </w:rPr>
        <w:t>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_Toc27339 \h </w:instrText>
      </w:r>
      <w:r>
        <w:rPr>
          <w:color w:val="auto"/>
          <w:sz w:val="24"/>
          <w:szCs w:val="24"/>
          <w:highlight w:val="none"/>
        </w:rPr>
        <w:fldChar w:fldCharType="separate"/>
      </w:r>
      <w:r>
        <w:rPr>
          <w:color w:val="auto"/>
          <w:sz w:val="24"/>
          <w:szCs w:val="24"/>
          <w:highlight w:val="none"/>
        </w:rPr>
        <w:t>156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31188E84">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_Toc20950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5.7 </w:t>
      </w:r>
      <w:r>
        <w:rPr>
          <w:rFonts w:hint="eastAsia"/>
          <w:color w:val="auto"/>
          <w:sz w:val="24"/>
          <w:szCs w:val="24"/>
          <w:highlight w:val="none"/>
        </w:rPr>
        <w:t>土壤环境影响</w:t>
      </w:r>
      <w:r>
        <w:rPr>
          <w:rFonts w:hint="eastAsia"/>
          <w:color w:val="auto"/>
          <w:sz w:val="24"/>
          <w:szCs w:val="24"/>
          <w:highlight w:val="none"/>
          <w:lang w:val="en-US" w:eastAsia="zh-CN"/>
        </w:rPr>
        <w:t>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_Toc20950 \h </w:instrText>
      </w:r>
      <w:r>
        <w:rPr>
          <w:color w:val="auto"/>
          <w:sz w:val="24"/>
          <w:szCs w:val="24"/>
          <w:highlight w:val="none"/>
        </w:rPr>
        <w:fldChar w:fldCharType="separate"/>
      </w:r>
      <w:r>
        <w:rPr>
          <w:color w:val="auto"/>
          <w:sz w:val="24"/>
          <w:szCs w:val="24"/>
          <w:highlight w:val="none"/>
        </w:rPr>
        <w:t>157</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9B92078">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_Toc21788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6. </w:t>
      </w:r>
      <w:r>
        <w:rPr>
          <w:rFonts w:hint="eastAsia"/>
          <w:color w:val="auto"/>
          <w:sz w:val="24"/>
          <w:szCs w:val="24"/>
          <w:highlight w:val="none"/>
        </w:rPr>
        <w:t>环境风险评价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_Toc21788 \h </w:instrText>
      </w:r>
      <w:r>
        <w:rPr>
          <w:color w:val="auto"/>
          <w:sz w:val="24"/>
          <w:szCs w:val="24"/>
          <w:highlight w:val="none"/>
        </w:rPr>
        <w:fldChar w:fldCharType="separate"/>
      </w:r>
      <w:r>
        <w:rPr>
          <w:color w:val="auto"/>
          <w:sz w:val="24"/>
          <w:szCs w:val="24"/>
          <w:highlight w:val="none"/>
        </w:rPr>
        <w:t>162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EFC0224">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_Toc839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6.1 </w:t>
      </w:r>
      <w:r>
        <w:rPr>
          <w:rFonts w:hint="eastAsia"/>
          <w:color w:val="auto"/>
          <w:sz w:val="24"/>
          <w:szCs w:val="24"/>
          <w:highlight w:val="none"/>
        </w:rPr>
        <w:t>风险评价目的</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_Toc839 \h </w:instrText>
      </w:r>
      <w:r>
        <w:rPr>
          <w:color w:val="auto"/>
          <w:sz w:val="24"/>
          <w:szCs w:val="24"/>
          <w:highlight w:val="none"/>
        </w:rPr>
        <w:fldChar w:fldCharType="separate"/>
      </w:r>
      <w:r>
        <w:rPr>
          <w:color w:val="auto"/>
          <w:sz w:val="24"/>
          <w:szCs w:val="24"/>
          <w:highlight w:val="none"/>
        </w:rPr>
        <w:t>162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35FF8EAC">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_Toc27969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6.2 </w:t>
      </w:r>
      <w:r>
        <w:rPr>
          <w:rFonts w:hint="eastAsia"/>
          <w:color w:val="auto"/>
          <w:sz w:val="24"/>
          <w:szCs w:val="24"/>
          <w:highlight w:val="none"/>
          <w:lang w:val="en-US" w:eastAsia="zh-CN"/>
        </w:rPr>
        <w:t>环境风险识别</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_Toc27969 \h </w:instrText>
      </w:r>
      <w:r>
        <w:rPr>
          <w:color w:val="auto"/>
          <w:sz w:val="24"/>
          <w:szCs w:val="24"/>
          <w:highlight w:val="none"/>
        </w:rPr>
        <w:fldChar w:fldCharType="separate"/>
      </w:r>
      <w:r>
        <w:rPr>
          <w:color w:val="auto"/>
          <w:sz w:val="24"/>
          <w:szCs w:val="24"/>
          <w:highlight w:val="none"/>
        </w:rPr>
        <w:t>162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41695A6">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_Toc15508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6.3 </w:t>
      </w:r>
      <w:r>
        <w:rPr>
          <w:rFonts w:hint="eastAsia"/>
          <w:color w:val="auto"/>
          <w:sz w:val="24"/>
          <w:szCs w:val="24"/>
          <w:highlight w:val="none"/>
          <w:lang w:val="en-US" w:eastAsia="zh-CN"/>
        </w:rPr>
        <w:t>环境敏感目标调查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_Toc15508 \h </w:instrText>
      </w:r>
      <w:r>
        <w:rPr>
          <w:color w:val="auto"/>
          <w:sz w:val="24"/>
          <w:szCs w:val="24"/>
          <w:highlight w:val="none"/>
        </w:rPr>
        <w:fldChar w:fldCharType="separate"/>
      </w:r>
      <w:r>
        <w:rPr>
          <w:color w:val="auto"/>
          <w:sz w:val="24"/>
          <w:szCs w:val="24"/>
          <w:highlight w:val="none"/>
        </w:rPr>
        <w:t>163</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4EA7CF7C">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_Toc9933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6.4 </w:t>
      </w:r>
      <w:r>
        <w:rPr>
          <w:rFonts w:hint="eastAsia"/>
          <w:color w:val="auto"/>
          <w:sz w:val="24"/>
          <w:szCs w:val="24"/>
          <w:highlight w:val="none"/>
          <w:lang w:val="en-US" w:eastAsia="zh-CN"/>
        </w:rPr>
        <w:t>环境风险评价等级的确定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_Toc9933 \h </w:instrText>
      </w:r>
      <w:r>
        <w:rPr>
          <w:color w:val="auto"/>
          <w:sz w:val="24"/>
          <w:szCs w:val="24"/>
          <w:highlight w:val="none"/>
        </w:rPr>
        <w:fldChar w:fldCharType="separate"/>
      </w:r>
      <w:r>
        <w:rPr>
          <w:color w:val="auto"/>
          <w:sz w:val="24"/>
          <w:szCs w:val="24"/>
          <w:highlight w:val="none"/>
        </w:rPr>
        <w:t>164</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A41C6EA">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_Toc8122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6.5 </w:t>
      </w:r>
      <w:r>
        <w:rPr>
          <w:rFonts w:hint="eastAsia"/>
          <w:color w:val="auto"/>
          <w:sz w:val="24"/>
          <w:szCs w:val="24"/>
          <w:highlight w:val="none"/>
          <w:lang w:val="en-US" w:eastAsia="zh-CN"/>
        </w:rPr>
        <w:t>环境风险分析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_Toc8122 \h </w:instrText>
      </w:r>
      <w:r>
        <w:rPr>
          <w:color w:val="auto"/>
          <w:sz w:val="24"/>
          <w:szCs w:val="24"/>
          <w:highlight w:val="none"/>
        </w:rPr>
        <w:fldChar w:fldCharType="separate"/>
      </w:r>
      <w:r>
        <w:rPr>
          <w:color w:val="auto"/>
          <w:sz w:val="24"/>
          <w:szCs w:val="24"/>
          <w:highlight w:val="none"/>
        </w:rPr>
        <w:t>164</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26A3E65">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_Toc3480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6.6 </w:t>
      </w:r>
      <w:r>
        <w:rPr>
          <w:rFonts w:hint="eastAsia"/>
          <w:color w:val="auto"/>
          <w:sz w:val="24"/>
          <w:szCs w:val="24"/>
          <w:highlight w:val="none"/>
          <w:lang w:val="en-US" w:eastAsia="zh-CN"/>
        </w:rPr>
        <w:t>环境风险防范措施及应急要求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_Toc3480 \h </w:instrText>
      </w:r>
      <w:r>
        <w:rPr>
          <w:color w:val="auto"/>
          <w:sz w:val="24"/>
          <w:szCs w:val="24"/>
          <w:highlight w:val="none"/>
        </w:rPr>
        <w:fldChar w:fldCharType="separate"/>
      </w:r>
      <w:r>
        <w:rPr>
          <w:color w:val="auto"/>
          <w:sz w:val="24"/>
          <w:szCs w:val="24"/>
          <w:highlight w:val="none"/>
        </w:rPr>
        <w:t>165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21375A6">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_Toc31678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6.7 </w:t>
      </w:r>
      <w:r>
        <w:rPr>
          <w:rFonts w:hint="eastAsia"/>
          <w:color w:val="auto"/>
          <w:sz w:val="24"/>
          <w:szCs w:val="24"/>
          <w:highlight w:val="none"/>
          <w:lang w:val="en-US" w:eastAsia="zh-CN"/>
        </w:rPr>
        <w:t>环境风险分析结论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_Toc31678 \h </w:instrText>
      </w:r>
      <w:r>
        <w:rPr>
          <w:color w:val="auto"/>
          <w:sz w:val="24"/>
          <w:szCs w:val="24"/>
          <w:highlight w:val="none"/>
        </w:rPr>
        <w:fldChar w:fldCharType="separate"/>
      </w:r>
      <w:r>
        <w:rPr>
          <w:color w:val="auto"/>
          <w:sz w:val="24"/>
          <w:szCs w:val="24"/>
          <w:highlight w:val="none"/>
        </w:rPr>
        <w:t>166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25B81781">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_Toc1271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7. </w:t>
      </w:r>
      <w:r>
        <w:rPr>
          <w:rFonts w:hint="eastAsia"/>
          <w:color w:val="auto"/>
          <w:sz w:val="24"/>
          <w:szCs w:val="24"/>
          <w:highlight w:val="none"/>
        </w:rPr>
        <w:t>环境保护措施及其可行性</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_Toc1271 \h </w:instrText>
      </w:r>
      <w:r>
        <w:rPr>
          <w:color w:val="auto"/>
          <w:sz w:val="24"/>
          <w:szCs w:val="24"/>
          <w:highlight w:val="none"/>
        </w:rPr>
        <w:fldChar w:fldCharType="separate"/>
      </w:r>
      <w:r>
        <w:rPr>
          <w:color w:val="auto"/>
          <w:sz w:val="24"/>
          <w:szCs w:val="24"/>
          <w:highlight w:val="none"/>
        </w:rPr>
        <w:t>169</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314CACC">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_Toc15744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7.1 </w:t>
      </w:r>
      <w:r>
        <w:rPr>
          <w:rFonts w:hint="eastAsia"/>
          <w:color w:val="auto"/>
          <w:sz w:val="24"/>
          <w:szCs w:val="24"/>
          <w:highlight w:val="none"/>
        </w:rPr>
        <w:t>施工期污染防治措施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_Toc15744 \h </w:instrText>
      </w:r>
      <w:r>
        <w:rPr>
          <w:color w:val="auto"/>
          <w:sz w:val="24"/>
          <w:szCs w:val="24"/>
          <w:highlight w:val="none"/>
        </w:rPr>
        <w:fldChar w:fldCharType="separate"/>
      </w:r>
      <w:r>
        <w:rPr>
          <w:color w:val="auto"/>
          <w:sz w:val="24"/>
          <w:szCs w:val="24"/>
          <w:highlight w:val="none"/>
        </w:rPr>
        <w:t>169</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5D6330A5">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_Toc27071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7.2 </w:t>
      </w:r>
      <w:r>
        <w:rPr>
          <w:rFonts w:hint="eastAsia"/>
          <w:color w:val="auto"/>
          <w:sz w:val="24"/>
          <w:szCs w:val="24"/>
          <w:highlight w:val="none"/>
        </w:rPr>
        <w:t>运营期大气污染防治措施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_Toc27071 \h </w:instrText>
      </w:r>
      <w:r>
        <w:rPr>
          <w:color w:val="auto"/>
          <w:sz w:val="24"/>
          <w:szCs w:val="24"/>
          <w:highlight w:val="none"/>
        </w:rPr>
        <w:fldChar w:fldCharType="separate"/>
      </w:r>
      <w:r>
        <w:rPr>
          <w:color w:val="auto"/>
          <w:sz w:val="24"/>
          <w:szCs w:val="24"/>
          <w:highlight w:val="none"/>
        </w:rPr>
        <w:t>171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F4A5CE7">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_Toc11297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7.3 </w:t>
      </w:r>
      <w:r>
        <w:rPr>
          <w:rFonts w:hint="eastAsia"/>
          <w:color w:val="auto"/>
          <w:sz w:val="24"/>
          <w:szCs w:val="24"/>
          <w:highlight w:val="none"/>
        </w:rPr>
        <w:t>运营期水污染防治措施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_Toc11297 \h </w:instrText>
      </w:r>
      <w:r>
        <w:rPr>
          <w:color w:val="auto"/>
          <w:sz w:val="24"/>
          <w:szCs w:val="24"/>
          <w:highlight w:val="none"/>
        </w:rPr>
        <w:fldChar w:fldCharType="separate"/>
      </w:r>
      <w:r>
        <w:rPr>
          <w:color w:val="auto"/>
          <w:sz w:val="24"/>
          <w:szCs w:val="24"/>
          <w:highlight w:val="none"/>
        </w:rPr>
        <w:t>173</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751F7E1">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_Toc30088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7.4 </w:t>
      </w:r>
      <w:r>
        <w:rPr>
          <w:rFonts w:hint="eastAsia"/>
          <w:color w:val="auto"/>
          <w:sz w:val="24"/>
          <w:szCs w:val="24"/>
          <w:highlight w:val="none"/>
          <w:lang w:val="en-US" w:eastAsia="zh-CN"/>
        </w:rPr>
        <w:t>噪声</w:t>
      </w:r>
      <w:r>
        <w:rPr>
          <w:rFonts w:hint="eastAsia"/>
          <w:color w:val="auto"/>
          <w:sz w:val="24"/>
          <w:szCs w:val="24"/>
          <w:highlight w:val="none"/>
        </w:rPr>
        <w:t>污染防治措施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_Toc30088 \h </w:instrText>
      </w:r>
      <w:r>
        <w:rPr>
          <w:color w:val="auto"/>
          <w:sz w:val="24"/>
          <w:szCs w:val="24"/>
          <w:highlight w:val="none"/>
        </w:rPr>
        <w:fldChar w:fldCharType="separate"/>
      </w:r>
      <w:r>
        <w:rPr>
          <w:color w:val="auto"/>
          <w:sz w:val="24"/>
          <w:szCs w:val="24"/>
          <w:highlight w:val="none"/>
        </w:rPr>
        <w:t>178</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5E45401F">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_Toc30170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7.5 </w:t>
      </w:r>
      <w:r>
        <w:rPr>
          <w:rFonts w:hint="eastAsia"/>
          <w:color w:val="auto"/>
          <w:sz w:val="24"/>
          <w:szCs w:val="24"/>
          <w:highlight w:val="none"/>
        </w:rPr>
        <w:t>固体废物污染防治措施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_Toc30170 \h </w:instrText>
      </w:r>
      <w:r>
        <w:rPr>
          <w:color w:val="auto"/>
          <w:sz w:val="24"/>
          <w:szCs w:val="24"/>
          <w:highlight w:val="none"/>
        </w:rPr>
        <w:fldChar w:fldCharType="separate"/>
      </w:r>
      <w:r>
        <w:rPr>
          <w:color w:val="auto"/>
          <w:sz w:val="24"/>
          <w:szCs w:val="24"/>
          <w:highlight w:val="none"/>
        </w:rPr>
        <w:t>179</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D9E4F6B">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_Toc29888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8. </w:t>
      </w:r>
      <w:r>
        <w:rPr>
          <w:rFonts w:hint="eastAsia"/>
          <w:color w:val="auto"/>
          <w:sz w:val="24"/>
          <w:szCs w:val="24"/>
          <w:highlight w:val="none"/>
        </w:rPr>
        <w:t>环境影响经济损益分析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_Toc29888 \h </w:instrText>
      </w:r>
      <w:r>
        <w:rPr>
          <w:color w:val="auto"/>
          <w:sz w:val="24"/>
          <w:szCs w:val="24"/>
          <w:highlight w:val="none"/>
        </w:rPr>
        <w:fldChar w:fldCharType="separate"/>
      </w:r>
      <w:r>
        <w:rPr>
          <w:color w:val="auto"/>
          <w:sz w:val="24"/>
          <w:szCs w:val="24"/>
          <w:highlight w:val="none"/>
        </w:rPr>
        <w:t>182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2586090E">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_Toc30762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8.1 </w:t>
      </w:r>
      <w:r>
        <w:rPr>
          <w:rFonts w:hint="eastAsia"/>
          <w:color w:val="auto"/>
          <w:sz w:val="24"/>
          <w:szCs w:val="24"/>
          <w:highlight w:val="none"/>
        </w:rPr>
        <w:t>社会效益分析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_Toc30762 \h </w:instrText>
      </w:r>
      <w:r>
        <w:rPr>
          <w:color w:val="auto"/>
          <w:sz w:val="24"/>
          <w:szCs w:val="24"/>
          <w:highlight w:val="none"/>
        </w:rPr>
        <w:fldChar w:fldCharType="separate"/>
      </w:r>
      <w:r>
        <w:rPr>
          <w:color w:val="auto"/>
          <w:sz w:val="24"/>
          <w:szCs w:val="24"/>
          <w:highlight w:val="none"/>
        </w:rPr>
        <w:t>182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298294C">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_Toc11915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8.2 </w:t>
      </w:r>
      <w:r>
        <w:rPr>
          <w:rFonts w:hint="eastAsia"/>
          <w:color w:val="auto"/>
          <w:sz w:val="24"/>
          <w:szCs w:val="24"/>
          <w:highlight w:val="none"/>
        </w:rPr>
        <w:t>经济效益分析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_Toc11915 \h </w:instrText>
      </w:r>
      <w:r>
        <w:rPr>
          <w:color w:val="auto"/>
          <w:sz w:val="24"/>
          <w:szCs w:val="24"/>
          <w:highlight w:val="none"/>
        </w:rPr>
        <w:fldChar w:fldCharType="separate"/>
      </w:r>
      <w:r>
        <w:rPr>
          <w:color w:val="auto"/>
          <w:sz w:val="24"/>
          <w:szCs w:val="24"/>
          <w:highlight w:val="none"/>
        </w:rPr>
        <w:t>182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29B576F4">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_Toc18111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8.3 </w:t>
      </w:r>
      <w:r>
        <w:rPr>
          <w:rFonts w:hint="eastAsia"/>
          <w:color w:val="auto"/>
          <w:sz w:val="24"/>
          <w:szCs w:val="24"/>
          <w:highlight w:val="none"/>
        </w:rPr>
        <w:t>环境效益分析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_Toc18111 \h </w:instrText>
      </w:r>
      <w:r>
        <w:rPr>
          <w:color w:val="auto"/>
          <w:sz w:val="24"/>
          <w:szCs w:val="24"/>
          <w:highlight w:val="none"/>
        </w:rPr>
        <w:fldChar w:fldCharType="separate"/>
      </w:r>
      <w:r>
        <w:rPr>
          <w:color w:val="auto"/>
          <w:sz w:val="24"/>
          <w:szCs w:val="24"/>
          <w:highlight w:val="none"/>
        </w:rPr>
        <w:t>182</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CCACC02">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_Toc5259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8.4 </w:t>
      </w:r>
      <w:r>
        <w:rPr>
          <w:rFonts w:hint="eastAsia"/>
          <w:color w:val="auto"/>
          <w:sz w:val="24"/>
          <w:szCs w:val="24"/>
          <w:highlight w:val="none"/>
        </w:rPr>
        <w:t>环境经济损益分析结论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_Toc5259 \h </w:instrText>
      </w:r>
      <w:r>
        <w:rPr>
          <w:color w:val="auto"/>
          <w:sz w:val="24"/>
          <w:szCs w:val="24"/>
          <w:highlight w:val="none"/>
        </w:rPr>
        <w:fldChar w:fldCharType="separate"/>
      </w:r>
      <w:r>
        <w:rPr>
          <w:color w:val="auto"/>
          <w:sz w:val="24"/>
          <w:szCs w:val="24"/>
          <w:highlight w:val="none"/>
        </w:rPr>
        <w:t>183</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4543CF52">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_Toc20123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9. </w:t>
      </w:r>
      <w:r>
        <w:rPr>
          <w:rFonts w:hint="eastAsia"/>
          <w:color w:val="auto"/>
          <w:sz w:val="24"/>
          <w:szCs w:val="24"/>
          <w:highlight w:val="none"/>
        </w:rPr>
        <w:t>环境管理与监测计划</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_Toc20123 \h </w:instrText>
      </w:r>
      <w:r>
        <w:rPr>
          <w:color w:val="auto"/>
          <w:sz w:val="24"/>
          <w:szCs w:val="24"/>
          <w:highlight w:val="none"/>
        </w:rPr>
        <w:fldChar w:fldCharType="separate"/>
      </w:r>
      <w:r>
        <w:rPr>
          <w:color w:val="auto"/>
          <w:sz w:val="24"/>
          <w:szCs w:val="24"/>
          <w:highlight w:val="none"/>
        </w:rPr>
        <w:t>184</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84FD4A4">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_Toc16900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9.1 </w:t>
      </w:r>
      <w:r>
        <w:rPr>
          <w:rFonts w:hint="eastAsia"/>
          <w:color w:val="auto"/>
          <w:sz w:val="24"/>
          <w:szCs w:val="24"/>
          <w:highlight w:val="none"/>
        </w:rPr>
        <w:t>环境管理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_Toc16900 \h </w:instrText>
      </w:r>
      <w:r>
        <w:rPr>
          <w:color w:val="auto"/>
          <w:sz w:val="24"/>
          <w:szCs w:val="24"/>
          <w:highlight w:val="none"/>
        </w:rPr>
        <w:fldChar w:fldCharType="separate"/>
      </w:r>
      <w:r>
        <w:rPr>
          <w:color w:val="auto"/>
          <w:sz w:val="24"/>
          <w:szCs w:val="24"/>
          <w:highlight w:val="none"/>
        </w:rPr>
        <w:t>184</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27F137E9">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_Toc7981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9.2 </w:t>
      </w:r>
      <w:r>
        <w:rPr>
          <w:rFonts w:hint="eastAsia"/>
          <w:color w:val="auto"/>
          <w:sz w:val="24"/>
          <w:szCs w:val="24"/>
          <w:highlight w:val="none"/>
        </w:rPr>
        <w:t>环境监测计划</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_Toc7981 \h </w:instrText>
      </w:r>
      <w:r>
        <w:rPr>
          <w:color w:val="auto"/>
          <w:sz w:val="24"/>
          <w:szCs w:val="24"/>
          <w:highlight w:val="none"/>
        </w:rPr>
        <w:fldChar w:fldCharType="separate"/>
      </w:r>
      <w:r>
        <w:rPr>
          <w:color w:val="auto"/>
          <w:sz w:val="24"/>
          <w:szCs w:val="24"/>
          <w:highlight w:val="none"/>
        </w:rPr>
        <w:t>185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E7DB83C">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_Toc19701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9.3 </w:t>
      </w:r>
      <w:r>
        <w:rPr>
          <w:rFonts w:hint="eastAsia"/>
          <w:color w:val="auto"/>
          <w:sz w:val="24"/>
          <w:szCs w:val="24"/>
          <w:highlight w:val="none"/>
        </w:rPr>
        <w:t>排污口规范化设置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_Toc19701 \h </w:instrText>
      </w:r>
      <w:r>
        <w:rPr>
          <w:color w:val="auto"/>
          <w:sz w:val="24"/>
          <w:szCs w:val="24"/>
          <w:highlight w:val="none"/>
        </w:rPr>
        <w:fldChar w:fldCharType="separate"/>
      </w:r>
      <w:r>
        <w:rPr>
          <w:color w:val="auto"/>
          <w:sz w:val="24"/>
          <w:szCs w:val="24"/>
          <w:highlight w:val="none"/>
        </w:rPr>
        <w:t>186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EBE9904">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_Toc29058 </w:instrText>
      </w:r>
      <w:r>
        <w:rPr>
          <w:rFonts w:ascii="Calibri" w:hAnsi="Calibri"/>
          <w:iCs/>
          <w:caps/>
          <w:color w:val="auto"/>
          <w:sz w:val="24"/>
          <w:szCs w:val="24"/>
          <w:highlight w:val="none"/>
          <w:lang w:val="zh-CN"/>
        </w:rPr>
        <w:fldChar w:fldCharType="separate"/>
      </w:r>
      <w:r>
        <w:rPr>
          <w:rFonts w:hint="eastAsia" w:cs="Times New Roman"/>
          <w:bCs w:val="0"/>
          <w:i w:val="0"/>
          <w:iCs w:val="0"/>
          <w:caps w:val="0"/>
          <w:smallCaps w:val="0"/>
          <w:strike w:val="0"/>
          <w:dstrike w:val="0"/>
          <w:vanish w:val="0"/>
          <w:color w:val="auto"/>
          <w:spacing w:val="0"/>
          <w:position w:val="0"/>
          <w:sz w:val="24"/>
          <w:szCs w:val="24"/>
          <w:highlight w:val="none"/>
          <w:vertAlign w:val="baseline"/>
        </w:rPr>
        <w:t xml:space="preserve">9.4 </w:t>
      </w:r>
      <w:r>
        <w:rPr>
          <w:rFonts w:hint="eastAsia" w:cs="Times New Roman"/>
          <w:color w:val="auto"/>
          <w:sz w:val="24"/>
          <w:szCs w:val="24"/>
          <w:highlight w:val="none"/>
        </w:rPr>
        <w:t>总量控制与排污许可衔接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_Toc29058 \h </w:instrText>
      </w:r>
      <w:r>
        <w:rPr>
          <w:color w:val="auto"/>
          <w:sz w:val="24"/>
          <w:szCs w:val="24"/>
          <w:highlight w:val="none"/>
        </w:rPr>
        <w:fldChar w:fldCharType="separate"/>
      </w:r>
      <w:r>
        <w:rPr>
          <w:color w:val="auto"/>
          <w:sz w:val="24"/>
          <w:szCs w:val="24"/>
          <w:highlight w:val="none"/>
        </w:rPr>
        <w:t>187</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0005098">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_Toc16667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9.5 </w:t>
      </w:r>
      <w:r>
        <w:rPr>
          <w:rFonts w:hint="eastAsia"/>
          <w:color w:val="auto"/>
          <w:sz w:val="24"/>
          <w:szCs w:val="24"/>
          <w:highlight w:val="none"/>
        </w:rPr>
        <w:t>项目“三同时”环保竣工验收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_Toc16667 \h </w:instrText>
      </w:r>
      <w:r>
        <w:rPr>
          <w:color w:val="auto"/>
          <w:sz w:val="24"/>
          <w:szCs w:val="24"/>
          <w:highlight w:val="none"/>
        </w:rPr>
        <w:fldChar w:fldCharType="separate"/>
      </w:r>
      <w:r>
        <w:rPr>
          <w:color w:val="auto"/>
          <w:sz w:val="24"/>
          <w:szCs w:val="24"/>
          <w:highlight w:val="none"/>
        </w:rPr>
        <w:t>188</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BAD5F47">
      <w:pPr>
        <w:pStyle w:val="27"/>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_Toc1470 </w:instrText>
      </w:r>
      <w:r>
        <w:rPr>
          <w:rFonts w:ascii="Calibri" w:hAnsi="Calibri"/>
          <w:iCs/>
          <w:caps/>
          <w:color w:val="auto"/>
          <w:sz w:val="24"/>
          <w:szCs w:val="24"/>
          <w:highlight w:val="none"/>
          <w:lang w:val="zh-CN"/>
        </w:rPr>
        <w:fldChar w:fldCharType="separate"/>
      </w:r>
      <w:r>
        <w:rPr>
          <w:rFonts w:hint="eastAsia" w:ascii="黑体" w:hAnsi="Times New Roman" w:eastAsia="黑体" w:cs="Times New Roman"/>
          <w:bCs w:val="0"/>
          <w:i w:val="0"/>
          <w:iCs w:val="0"/>
          <w:caps w:val="0"/>
          <w:smallCaps w:val="0"/>
          <w:strike w:val="0"/>
          <w:dstrike w:val="0"/>
          <w:snapToGrid w:val="0"/>
          <w:vanish w:val="0"/>
          <w:color w:val="auto"/>
          <w:spacing w:val="0"/>
          <w:w w:val="0"/>
          <w:kern w:val="0"/>
          <w:position w:val="0"/>
          <w:sz w:val="24"/>
          <w:szCs w:val="24"/>
          <w:highlight w:val="none"/>
          <w:vertAlign w:val="baseline"/>
        </w:rPr>
        <w:t xml:space="preserve">10. </w:t>
      </w:r>
      <w:r>
        <w:rPr>
          <w:rFonts w:hint="eastAsia"/>
          <w:color w:val="auto"/>
          <w:sz w:val="24"/>
          <w:szCs w:val="24"/>
          <w:highlight w:val="none"/>
        </w:rPr>
        <w:t>结论与建议</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_Toc1470 \h </w:instrText>
      </w:r>
      <w:r>
        <w:rPr>
          <w:color w:val="auto"/>
          <w:sz w:val="24"/>
          <w:szCs w:val="24"/>
          <w:highlight w:val="none"/>
        </w:rPr>
        <w:fldChar w:fldCharType="separate"/>
      </w:r>
      <w:r>
        <w:rPr>
          <w:color w:val="auto"/>
          <w:sz w:val="24"/>
          <w:szCs w:val="24"/>
          <w:highlight w:val="none"/>
        </w:rPr>
        <w:t>191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AE276DD">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_Toc7168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10.1 </w:t>
      </w:r>
      <w:r>
        <w:rPr>
          <w:rFonts w:hint="eastAsia"/>
          <w:color w:val="auto"/>
          <w:sz w:val="24"/>
          <w:szCs w:val="24"/>
          <w:highlight w:val="none"/>
        </w:rPr>
        <w:t>项目建设概况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_Toc7168 \h </w:instrText>
      </w:r>
      <w:r>
        <w:rPr>
          <w:color w:val="auto"/>
          <w:sz w:val="24"/>
          <w:szCs w:val="24"/>
          <w:highlight w:val="none"/>
        </w:rPr>
        <w:fldChar w:fldCharType="separate"/>
      </w:r>
      <w:r>
        <w:rPr>
          <w:color w:val="auto"/>
          <w:sz w:val="24"/>
          <w:szCs w:val="24"/>
          <w:highlight w:val="none"/>
        </w:rPr>
        <w:t>191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7CB555DF">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_Toc29036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10.2 </w:t>
      </w:r>
      <w:r>
        <w:rPr>
          <w:rFonts w:hint="eastAsia"/>
          <w:color w:val="auto"/>
          <w:sz w:val="24"/>
          <w:szCs w:val="24"/>
          <w:highlight w:val="none"/>
        </w:rPr>
        <w:t>环境质量现状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_Toc29036 \h </w:instrText>
      </w:r>
      <w:r>
        <w:rPr>
          <w:color w:val="auto"/>
          <w:sz w:val="24"/>
          <w:szCs w:val="24"/>
          <w:highlight w:val="none"/>
        </w:rPr>
        <w:fldChar w:fldCharType="separate"/>
      </w:r>
      <w:r>
        <w:rPr>
          <w:color w:val="auto"/>
          <w:sz w:val="24"/>
          <w:szCs w:val="24"/>
          <w:highlight w:val="none"/>
        </w:rPr>
        <w:t>191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18A47F7C">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_Toc6781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10.3 </w:t>
      </w:r>
      <w:r>
        <w:rPr>
          <w:rFonts w:hint="eastAsia"/>
          <w:color w:val="auto"/>
          <w:sz w:val="24"/>
          <w:szCs w:val="24"/>
          <w:highlight w:val="none"/>
        </w:rPr>
        <w:t>主要环境影响</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_Toc6781 \h </w:instrText>
      </w:r>
      <w:r>
        <w:rPr>
          <w:color w:val="auto"/>
          <w:sz w:val="24"/>
          <w:szCs w:val="24"/>
          <w:highlight w:val="none"/>
        </w:rPr>
        <w:fldChar w:fldCharType="separate"/>
      </w:r>
      <w:r>
        <w:rPr>
          <w:color w:val="auto"/>
          <w:sz w:val="24"/>
          <w:szCs w:val="24"/>
          <w:highlight w:val="none"/>
        </w:rPr>
        <w:t>191</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0E3F67E7">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_Toc3451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10.4 </w:t>
      </w:r>
      <w:r>
        <w:rPr>
          <w:rFonts w:hint="eastAsia"/>
          <w:color w:val="auto"/>
          <w:sz w:val="24"/>
          <w:szCs w:val="24"/>
          <w:highlight w:val="none"/>
        </w:rPr>
        <w:t>环境保护措施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_Toc3451 \h </w:instrText>
      </w:r>
      <w:r>
        <w:rPr>
          <w:color w:val="auto"/>
          <w:sz w:val="24"/>
          <w:szCs w:val="24"/>
          <w:highlight w:val="none"/>
        </w:rPr>
        <w:fldChar w:fldCharType="separate"/>
      </w:r>
      <w:r>
        <w:rPr>
          <w:color w:val="auto"/>
          <w:sz w:val="24"/>
          <w:szCs w:val="24"/>
          <w:highlight w:val="none"/>
        </w:rPr>
        <w:t>193</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AB3AB5E">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_Toc27485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10.5 </w:t>
      </w:r>
      <w:r>
        <w:rPr>
          <w:rFonts w:hint="eastAsia"/>
          <w:color w:val="auto"/>
          <w:sz w:val="24"/>
          <w:szCs w:val="24"/>
          <w:highlight w:val="none"/>
          <w:lang w:val="en-US" w:eastAsia="zh-CN"/>
        </w:rPr>
        <w:t>环境风险</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_Toc27485 \h </w:instrText>
      </w:r>
      <w:r>
        <w:rPr>
          <w:color w:val="auto"/>
          <w:sz w:val="24"/>
          <w:szCs w:val="24"/>
          <w:highlight w:val="none"/>
        </w:rPr>
        <w:fldChar w:fldCharType="separate"/>
      </w:r>
      <w:r>
        <w:rPr>
          <w:color w:val="auto"/>
          <w:sz w:val="24"/>
          <w:szCs w:val="24"/>
          <w:highlight w:val="none"/>
        </w:rPr>
        <w:t>195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9EDEC14">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_Toc26838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10.6 </w:t>
      </w:r>
      <w:r>
        <w:rPr>
          <w:rFonts w:hint="eastAsia"/>
          <w:color w:val="auto"/>
          <w:sz w:val="24"/>
          <w:szCs w:val="24"/>
          <w:highlight w:val="none"/>
        </w:rPr>
        <w:t>公众意见采纳情况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_Toc26838 \h </w:instrText>
      </w:r>
      <w:r>
        <w:rPr>
          <w:color w:val="auto"/>
          <w:sz w:val="24"/>
          <w:szCs w:val="24"/>
          <w:highlight w:val="none"/>
        </w:rPr>
        <w:fldChar w:fldCharType="separate"/>
      </w:r>
      <w:r>
        <w:rPr>
          <w:color w:val="auto"/>
          <w:sz w:val="24"/>
          <w:szCs w:val="24"/>
          <w:highlight w:val="none"/>
        </w:rPr>
        <w:t>195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259C1384">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_Toc14336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10.7 </w:t>
      </w:r>
      <w:r>
        <w:rPr>
          <w:rFonts w:hint="eastAsia"/>
          <w:color w:val="auto"/>
          <w:sz w:val="24"/>
          <w:szCs w:val="24"/>
          <w:highlight w:val="none"/>
        </w:rPr>
        <w:t>环境管理与监测计划</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_Toc14336 \h </w:instrText>
      </w:r>
      <w:r>
        <w:rPr>
          <w:color w:val="auto"/>
          <w:sz w:val="24"/>
          <w:szCs w:val="24"/>
          <w:highlight w:val="none"/>
        </w:rPr>
        <w:fldChar w:fldCharType="separate"/>
      </w:r>
      <w:r>
        <w:rPr>
          <w:color w:val="auto"/>
          <w:sz w:val="24"/>
          <w:szCs w:val="24"/>
          <w:highlight w:val="none"/>
        </w:rPr>
        <w:t>195</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6051CC66">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_Toc3316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lang w:val="en-US" w:eastAsia="zh-CN"/>
        </w:rPr>
        <w:t xml:space="preserve">10.8 </w:t>
      </w:r>
      <w:r>
        <w:rPr>
          <w:rFonts w:hint="eastAsia"/>
          <w:color w:val="auto"/>
          <w:sz w:val="24"/>
          <w:szCs w:val="24"/>
          <w:highlight w:val="none"/>
          <w:lang w:val="en-US" w:eastAsia="zh-CN"/>
        </w:rPr>
        <w:t>总量控制分析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_Toc3316 \h </w:instrText>
      </w:r>
      <w:r>
        <w:rPr>
          <w:color w:val="auto"/>
          <w:sz w:val="24"/>
          <w:szCs w:val="24"/>
          <w:highlight w:val="none"/>
        </w:rPr>
        <w:fldChar w:fldCharType="separate"/>
      </w:r>
      <w:r>
        <w:rPr>
          <w:color w:val="auto"/>
          <w:sz w:val="24"/>
          <w:szCs w:val="24"/>
          <w:highlight w:val="none"/>
        </w:rPr>
        <w:t>196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27A4EEB2">
      <w:pPr>
        <w:pStyle w:val="33"/>
        <w:tabs>
          <w:tab w:val="right" w:leader="dot" w:pos="8306"/>
        </w:tabs>
        <w:rPr>
          <w:color w:val="auto"/>
          <w:sz w:val="24"/>
          <w:szCs w:val="24"/>
          <w:highlight w:val="none"/>
        </w:rPr>
      </w:pPr>
      <w:r>
        <w:rPr>
          <w:rFonts w:ascii="Calibri" w:hAnsi="Calibri"/>
          <w:iCs/>
          <w:caps/>
          <w:color w:val="auto"/>
          <w:sz w:val="24"/>
          <w:szCs w:val="24"/>
          <w:highlight w:val="none"/>
          <w:lang w:val="zh-CN"/>
        </w:rPr>
        <w:fldChar w:fldCharType="begin"/>
      </w:r>
      <w:r>
        <w:rPr>
          <w:rFonts w:ascii="Calibri" w:hAnsi="Calibri"/>
          <w:iCs/>
          <w:caps/>
          <w:color w:val="auto"/>
          <w:sz w:val="24"/>
          <w:szCs w:val="24"/>
          <w:highlight w:val="none"/>
          <w:lang w:val="zh-CN"/>
        </w:rPr>
        <w:instrText xml:space="preserve"> HYPERLINK \l _Toc15151 </w:instrText>
      </w:r>
      <w:r>
        <w:rPr>
          <w:rFonts w:ascii="Calibri" w:hAnsi="Calibri"/>
          <w:iCs/>
          <w:caps/>
          <w:color w:val="auto"/>
          <w:sz w:val="24"/>
          <w:szCs w:val="24"/>
          <w:highlight w:val="none"/>
          <w:lang w:val="zh-CN"/>
        </w:rPr>
        <w:fldChar w:fldCharType="separate"/>
      </w:r>
      <w:r>
        <w:rPr>
          <w:rFonts w:hint="eastAsia"/>
          <w:bCs w:val="0"/>
          <w:i w:val="0"/>
          <w:iCs w:val="0"/>
          <w:caps w:val="0"/>
          <w:smallCaps w:val="0"/>
          <w:strike w:val="0"/>
          <w:dstrike w:val="0"/>
          <w:vanish w:val="0"/>
          <w:color w:val="auto"/>
          <w:spacing w:val="0"/>
          <w:position w:val="0"/>
          <w:sz w:val="24"/>
          <w:szCs w:val="24"/>
          <w:highlight w:val="none"/>
          <w:vertAlign w:val="baseline"/>
        </w:rPr>
        <w:t xml:space="preserve">10.9 </w:t>
      </w:r>
      <w:r>
        <w:rPr>
          <w:rFonts w:hint="eastAsia"/>
          <w:color w:val="auto"/>
          <w:sz w:val="24"/>
          <w:szCs w:val="24"/>
          <w:highlight w:val="none"/>
          <w:lang w:val="en-US" w:eastAsia="zh-CN"/>
        </w:rPr>
        <w:t>评价</w:t>
      </w:r>
      <w:r>
        <w:rPr>
          <w:rFonts w:hint="eastAsia"/>
          <w:color w:val="auto"/>
          <w:sz w:val="24"/>
          <w:szCs w:val="24"/>
          <w:highlight w:val="none"/>
        </w:rPr>
        <w:t>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_Toc15151 \h </w:instrText>
      </w:r>
      <w:r>
        <w:rPr>
          <w:color w:val="auto"/>
          <w:sz w:val="24"/>
          <w:szCs w:val="24"/>
          <w:highlight w:val="none"/>
        </w:rPr>
        <w:fldChar w:fldCharType="separate"/>
      </w:r>
      <w:r>
        <w:rPr>
          <w:color w:val="auto"/>
          <w:sz w:val="24"/>
          <w:szCs w:val="24"/>
          <w:highlight w:val="none"/>
        </w:rPr>
        <w:t>196</w:t>
      </w:r>
      <w:r>
        <w:rPr>
          <w:color w:val="auto"/>
          <w:sz w:val="24"/>
          <w:szCs w:val="24"/>
          <w:highlight w:val="none"/>
        </w:rPr>
        <w:fldChar w:fldCharType="end"/>
      </w:r>
      <w:r>
        <w:rPr>
          <w:rFonts w:ascii="Calibri" w:hAnsi="Calibri"/>
          <w:iCs/>
          <w:caps/>
          <w:color w:val="auto"/>
          <w:sz w:val="24"/>
          <w:szCs w:val="24"/>
          <w:highlight w:val="none"/>
          <w:lang w:val="zh-CN"/>
        </w:rPr>
        <w:fldChar w:fldCharType="end"/>
      </w:r>
    </w:p>
    <w:p w14:paraId="53D09470">
      <w:pPr>
        <w:keepNext w:val="0"/>
        <w:keepLines w:val="0"/>
        <w:pageBreakBefore w:val="0"/>
        <w:widowControl w:val="0"/>
        <w:kinsoku/>
        <w:wordWrap/>
        <w:overflowPunct/>
        <w:topLinePunct w:val="0"/>
        <w:autoSpaceDE/>
        <w:autoSpaceDN/>
        <w:bidi w:val="0"/>
        <w:adjustRightInd/>
        <w:snapToGrid/>
        <w:spacing w:line="480" w:lineRule="auto"/>
        <w:ind w:firstLine="400"/>
        <w:textAlignment w:val="auto"/>
        <w:rPr>
          <w:rFonts w:ascii="Calibri" w:hAnsi="Calibri"/>
          <w:iCs/>
          <w:caps/>
          <w:color w:val="auto"/>
          <w:szCs w:val="20"/>
          <w:highlight w:val="none"/>
          <w:lang w:val="zh-CN"/>
        </w:rPr>
      </w:pPr>
      <w:r>
        <w:rPr>
          <w:rFonts w:ascii="Calibri" w:hAnsi="Calibri"/>
          <w:iCs/>
          <w:caps/>
          <w:color w:val="auto"/>
          <w:sz w:val="24"/>
          <w:szCs w:val="24"/>
          <w:highlight w:val="none"/>
          <w:lang w:val="zh-CN"/>
        </w:rPr>
        <w:fldChar w:fldCharType="end"/>
      </w:r>
    </w:p>
    <w:p w14:paraId="13FF88D8">
      <w:pPr>
        <w:pStyle w:val="40"/>
        <w:rPr>
          <w:rFonts w:ascii="Calibri" w:hAnsi="Calibri"/>
          <w:iCs/>
          <w:caps/>
          <w:color w:val="auto"/>
          <w:szCs w:val="20"/>
          <w:highlight w:val="none"/>
          <w:lang w:val="zh-CN"/>
        </w:rPr>
      </w:pPr>
    </w:p>
    <w:p w14:paraId="19CDAD1C">
      <w:pPr>
        <w:pStyle w:val="17"/>
        <w:rPr>
          <w:rFonts w:ascii="Calibri" w:hAnsi="Calibri"/>
          <w:iCs/>
          <w:caps/>
          <w:color w:val="auto"/>
          <w:szCs w:val="20"/>
          <w:highlight w:val="none"/>
          <w:lang w:val="zh-CN"/>
        </w:rPr>
      </w:pPr>
    </w:p>
    <w:p w14:paraId="517A9BB5">
      <w:pPr>
        <w:rPr>
          <w:rFonts w:ascii="Calibri" w:hAnsi="Calibri"/>
          <w:iCs/>
          <w:caps/>
          <w:color w:val="auto"/>
          <w:szCs w:val="20"/>
          <w:highlight w:val="none"/>
          <w:lang w:val="zh-CN"/>
        </w:rPr>
      </w:pPr>
    </w:p>
    <w:p w14:paraId="5B4C68CE">
      <w:pPr>
        <w:pStyle w:val="40"/>
        <w:rPr>
          <w:rFonts w:ascii="Calibri" w:hAnsi="Calibri"/>
          <w:iCs/>
          <w:caps/>
          <w:color w:val="auto"/>
          <w:szCs w:val="20"/>
          <w:highlight w:val="none"/>
          <w:lang w:val="zh-CN"/>
        </w:rPr>
      </w:pPr>
    </w:p>
    <w:p w14:paraId="109D01AF">
      <w:pPr>
        <w:pStyle w:val="17"/>
        <w:rPr>
          <w:rFonts w:ascii="Calibri" w:hAnsi="Calibri"/>
          <w:iCs/>
          <w:caps/>
          <w:color w:val="auto"/>
          <w:szCs w:val="20"/>
          <w:highlight w:val="none"/>
          <w:lang w:val="zh-CN"/>
        </w:rPr>
      </w:pPr>
    </w:p>
    <w:p w14:paraId="4F9370F5">
      <w:pPr>
        <w:rPr>
          <w:rFonts w:ascii="Calibri" w:hAnsi="Calibri"/>
          <w:iCs/>
          <w:caps/>
          <w:color w:val="auto"/>
          <w:szCs w:val="20"/>
          <w:highlight w:val="none"/>
          <w:lang w:val="zh-CN"/>
        </w:rPr>
      </w:pPr>
    </w:p>
    <w:p w14:paraId="4AB02F18">
      <w:pPr>
        <w:pStyle w:val="40"/>
        <w:rPr>
          <w:rFonts w:ascii="Calibri" w:hAnsi="Calibri"/>
          <w:iCs/>
          <w:caps/>
          <w:color w:val="auto"/>
          <w:szCs w:val="20"/>
          <w:highlight w:val="none"/>
          <w:lang w:val="zh-CN"/>
        </w:rPr>
      </w:pPr>
    </w:p>
    <w:p w14:paraId="0D676828">
      <w:pPr>
        <w:pStyle w:val="17"/>
        <w:rPr>
          <w:rFonts w:ascii="Calibri" w:hAnsi="Calibri"/>
          <w:iCs/>
          <w:caps/>
          <w:color w:val="auto"/>
          <w:szCs w:val="20"/>
          <w:highlight w:val="none"/>
          <w:lang w:val="zh-CN"/>
        </w:rPr>
      </w:pPr>
    </w:p>
    <w:p w14:paraId="5FA43EB1">
      <w:pPr>
        <w:rPr>
          <w:rFonts w:ascii="Calibri" w:hAnsi="Calibri"/>
          <w:iCs/>
          <w:caps/>
          <w:color w:val="auto"/>
          <w:szCs w:val="20"/>
          <w:highlight w:val="none"/>
          <w:lang w:val="zh-CN"/>
        </w:rPr>
      </w:pPr>
    </w:p>
    <w:p w14:paraId="63869B57">
      <w:pPr>
        <w:pStyle w:val="40"/>
        <w:rPr>
          <w:rFonts w:ascii="Calibri" w:hAnsi="Calibri"/>
          <w:iCs/>
          <w:caps/>
          <w:color w:val="auto"/>
          <w:szCs w:val="20"/>
          <w:highlight w:val="none"/>
          <w:lang w:val="zh-CN"/>
        </w:rPr>
      </w:pPr>
    </w:p>
    <w:p w14:paraId="786D3B19">
      <w:pPr>
        <w:ind w:firstLine="402"/>
        <w:rPr>
          <w:rFonts w:ascii="Calibri" w:hAnsi="Calibri"/>
          <w:b/>
          <w:bCs/>
          <w:iCs/>
          <w:caps/>
          <w:color w:val="auto"/>
          <w:sz w:val="24"/>
          <w:szCs w:val="24"/>
          <w:highlight w:val="none"/>
          <w:lang w:val="zh-CN"/>
        </w:rPr>
      </w:pPr>
    </w:p>
    <w:p w14:paraId="0710327E">
      <w:pPr>
        <w:ind w:firstLine="402"/>
        <w:rPr>
          <w:rFonts w:ascii="Calibri" w:hAnsi="Calibri"/>
          <w:b/>
          <w:bCs/>
          <w:iCs/>
          <w:caps/>
          <w:color w:val="auto"/>
          <w:sz w:val="24"/>
          <w:szCs w:val="24"/>
          <w:highlight w:val="none"/>
          <w:lang w:val="zh-CN"/>
        </w:rPr>
      </w:pPr>
      <w:r>
        <w:rPr>
          <w:rFonts w:ascii="Calibri" w:hAnsi="Calibri"/>
          <w:b/>
          <w:bCs/>
          <w:iCs/>
          <w:caps/>
          <w:color w:val="auto"/>
          <w:sz w:val="24"/>
          <w:szCs w:val="24"/>
          <w:highlight w:val="none"/>
          <w:lang w:val="zh-CN"/>
        </w:rPr>
        <w:t>附</w:t>
      </w:r>
      <w:r>
        <w:rPr>
          <w:rFonts w:hint="eastAsia" w:ascii="Calibri" w:hAnsi="Calibri"/>
          <w:b/>
          <w:bCs/>
          <w:iCs/>
          <w:caps/>
          <w:color w:val="auto"/>
          <w:sz w:val="24"/>
          <w:szCs w:val="24"/>
          <w:highlight w:val="none"/>
          <w:lang w:val="en-US" w:eastAsia="zh-CN"/>
        </w:rPr>
        <w:t>图</w:t>
      </w:r>
      <w:r>
        <w:rPr>
          <w:rFonts w:hint="eastAsia" w:ascii="Calibri" w:hAnsi="Calibri"/>
          <w:b/>
          <w:bCs/>
          <w:iCs/>
          <w:caps/>
          <w:color w:val="auto"/>
          <w:sz w:val="24"/>
          <w:szCs w:val="24"/>
          <w:highlight w:val="none"/>
          <w:lang w:val="zh-CN"/>
        </w:rPr>
        <w:t>：</w:t>
      </w:r>
    </w:p>
    <w:p w14:paraId="56CFE0E9">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w:t>
      </w:r>
      <w:r>
        <w:rPr>
          <w:rFonts w:hint="eastAsia" w:ascii="Calibri" w:hAnsi="Calibri"/>
          <w:iCs/>
          <w:caps/>
          <w:color w:val="auto"/>
          <w:sz w:val="24"/>
          <w:szCs w:val="24"/>
          <w:highlight w:val="none"/>
          <w:lang w:val="en-US" w:eastAsia="zh-CN"/>
        </w:rPr>
        <w:t>图</w:t>
      </w:r>
      <w:r>
        <w:rPr>
          <w:rFonts w:hint="eastAsia" w:ascii="Calibri" w:hAnsi="Calibri"/>
          <w:iCs/>
          <w:caps/>
          <w:color w:val="auto"/>
          <w:sz w:val="24"/>
          <w:szCs w:val="24"/>
          <w:highlight w:val="none"/>
          <w:lang w:val="zh-CN"/>
        </w:rPr>
        <w:t>1：</w:t>
      </w:r>
      <w:r>
        <w:rPr>
          <w:rFonts w:hint="eastAsia" w:ascii="Calibri" w:hAnsi="Calibri"/>
          <w:iCs/>
          <w:caps/>
          <w:color w:val="auto"/>
          <w:sz w:val="24"/>
          <w:szCs w:val="24"/>
          <w:highlight w:val="none"/>
          <w:lang w:val="en-US" w:eastAsia="zh-CN"/>
        </w:rPr>
        <w:t>厂区总平面布置图</w:t>
      </w:r>
      <w:r>
        <w:rPr>
          <w:rFonts w:hint="eastAsia" w:ascii="Calibri" w:hAnsi="Calibri"/>
          <w:iCs/>
          <w:caps/>
          <w:color w:val="auto"/>
          <w:sz w:val="24"/>
          <w:szCs w:val="24"/>
          <w:highlight w:val="none"/>
          <w:lang w:val="zh-CN"/>
        </w:rPr>
        <w:t>；</w:t>
      </w:r>
    </w:p>
    <w:p w14:paraId="06E19888">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w:t>
      </w:r>
      <w:r>
        <w:rPr>
          <w:rFonts w:hint="eastAsia" w:ascii="Calibri" w:hAnsi="Calibri"/>
          <w:iCs/>
          <w:caps/>
          <w:color w:val="auto"/>
          <w:sz w:val="24"/>
          <w:szCs w:val="24"/>
          <w:highlight w:val="none"/>
          <w:lang w:val="en-US" w:eastAsia="zh-CN"/>
        </w:rPr>
        <w:t>图</w:t>
      </w:r>
      <w:r>
        <w:rPr>
          <w:rFonts w:hint="eastAsia" w:ascii="Calibri" w:hAnsi="Calibri"/>
          <w:iCs/>
          <w:caps/>
          <w:color w:val="auto"/>
          <w:sz w:val="24"/>
          <w:szCs w:val="24"/>
          <w:highlight w:val="none"/>
          <w:lang w:val="zh-CN"/>
        </w:rPr>
        <w:t>2：</w:t>
      </w:r>
      <w:r>
        <w:rPr>
          <w:rFonts w:hint="eastAsia" w:ascii="Calibri" w:hAnsi="Calibri"/>
          <w:iCs/>
          <w:caps/>
          <w:color w:val="auto"/>
          <w:sz w:val="24"/>
          <w:szCs w:val="24"/>
          <w:highlight w:val="none"/>
          <w:lang w:val="en-US" w:eastAsia="zh-CN"/>
        </w:rPr>
        <w:t>厂区防渗区分布图</w:t>
      </w:r>
      <w:r>
        <w:rPr>
          <w:rFonts w:hint="eastAsia" w:ascii="Calibri" w:hAnsi="Calibri"/>
          <w:iCs/>
          <w:caps/>
          <w:color w:val="auto"/>
          <w:sz w:val="24"/>
          <w:szCs w:val="24"/>
          <w:highlight w:val="none"/>
          <w:lang w:val="zh-CN"/>
        </w:rPr>
        <w:t>；</w:t>
      </w:r>
    </w:p>
    <w:p w14:paraId="006AA93E">
      <w:pPr>
        <w:ind w:firstLine="402"/>
        <w:rPr>
          <w:rFonts w:ascii="Calibri" w:hAnsi="Calibri"/>
          <w:b/>
          <w:bCs/>
          <w:iCs/>
          <w:caps/>
          <w:color w:val="auto"/>
          <w:sz w:val="24"/>
          <w:szCs w:val="24"/>
          <w:highlight w:val="none"/>
          <w:lang w:val="zh-CN"/>
        </w:rPr>
      </w:pPr>
      <w:r>
        <w:rPr>
          <w:rFonts w:ascii="Calibri" w:hAnsi="Calibri"/>
          <w:b/>
          <w:bCs/>
          <w:iCs/>
          <w:caps/>
          <w:color w:val="auto"/>
          <w:sz w:val="24"/>
          <w:szCs w:val="24"/>
          <w:highlight w:val="none"/>
          <w:lang w:val="zh-CN"/>
        </w:rPr>
        <w:t>附件</w:t>
      </w:r>
      <w:r>
        <w:rPr>
          <w:rFonts w:hint="eastAsia" w:ascii="Calibri" w:hAnsi="Calibri"/>
          <w:b/>
          <w:bCs/>
          <w:iCs/>
          <w:caps/>
          <w:color w:val="auto"/>
          <w:sz w:val="24"/>
          <w:szCs w:val="24"/>
          <w:highlight w:val="none"/>
          <w:lang w:val="zh-CN"/>
        </w:rPr>
        <w:t>：</w:t>
      </w:r>
    </w:p>
    <w:p w14:paraId="470CDDC2">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附件1：环境影响评价委托书；</w:t>
      </w:r>
    </w:p>
    <w:p w14:paraId="2DCF5289">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附件2：项目备案文件；</w:t>
      </w:r>
    </w:p>
    <w:p w14:paraId="707736A3">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附件3：租地协议及建设用地规划许可证；</w:t>
      </w:r>
    </w:p>
    <w:p w14:paraId="00FB008D">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附件4：生活用水取水许可证；</w:t>
      </w:r>
    </w:p>
    <w:p w14:paraId="03F65751">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附件5：多伦县长仙敖包萤石矿合作开采协议；</w:t>
      </w:r>
    </w:p>
    <w:p w14:paraId="73EA080B">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附件6：阜新蒙古族自治县平安地镇少冷萤石矿业有限公司萤石矿开采合作合同；</w:t>
      </w:r>
    </w:p>
    <w:p w14:paraId="70AF379B">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附件7：蒙古国马利矿业合作合同；</w:t>
      </w:r>
    </w:p>
    <w:p w14:paraId="30652B93">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附件8：河北围场满族蒙古族自治县联玉墙体材料厂接纳尾矿砂综合利用协议；</w:t>
      </w:r>
    </w:p>
    <w:p w14:paraId="111169E3">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附件9：隆化县皓诚新型节能砖厂接纳尾矿砂综合利用协议；</w:t>
      </w:r>
    </w:p>
    <w:p w14:paraId="30553B3B">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附件1</w:t>
      </w:r>
      <w:r>
        <w:rPr>
          <w:rFonts w:hint="eastAsia" w:ascii="Calibri" w:hAnsi="Calibri"/>
          <w:iCs/>
          <w:caps/>
          <w:color w:val="auto"/>
          <w:sz w:val="24"/>
          <w:szCs w:val="24"/>
          <w:highlight w:val="none"/>
          <w:lang w:val="en-US" w:eastAsia="zh-CN"/>
        </w:rPr>
        <w:t>0</w:t>
      </w:r>
      <w:r>
        <w:rPr>
          <w:rFonts w:hint="eastAsia" w:ascii="Calibri" w:hAnsi="Calibri"/>
          <w:iCs/>
          <w:caps/>
          <w:color w:val="auto"/>
          <w:sz w:val="24"/>
          <w:szCs w:val="24"/>
          <w:highlight w:val="none"/>
          <w:lang w:val="zh-CN"/>
        </w:rPr>
        <w:t>：中水供应协议；</w:t>
      </w:r>
    </w:p>
    <w:p w14:paraId="50F08DE1">
      <w:pPr>
        <w:ind w:firstLine="960" w:firstLineChars="400"/>
        <w:rPr>
          <w:rFonts w:hint="eastAsia" w:ascii="Calibri" w:hAnsi="Calibri"/>
          <w:iCs/>
          <w:caps/>
          <w:color w:val="auto"/>
          <w:sz w:val="24"/>
          <w:szCs w:val="24"/>
          <w:highlight w:val="none"/>
          <w:lang w:val="zh-CN"/>
        </w:rPr>
      </w:pPr>
      <w:r>
        <w:rPr>
          <w:rFonts w:hint="eastAsia" w:ascii="Calibri" w:hAnsi="Calibri"/>
          <w:iCs/>
          <w:caps/>
          <w:color w:val="auto"/>
          <w:sz w:val="24"/>
          <w:szCs w:val="24"/>
          <w:highlight w:val="none"/>
          <w:lang w:val="zh-CN"/>
        </w:rPr>
        <w:t>附件</w:t>
      </w:r>
      <w:r>
        <w:rPr>
          <w:rFonts w:hint="eastAsia" w:ascii="Calibri" w:hAnsi="Calibri"/>
          <w:iCs/>
          <w:caps/>
          <w:color w:val="auto"/>
          <w:sz w:val="24"/>
          <w:szCs w:val="24"/>
          <w:highlight w:val="none"/>
          <w:lang w:val="en-US" w:eastAsia="zh-CN"/>
        </w:rPr>
        <w:t>11</w:t>
      </w:r>
      <w:r>
        <w:rPr>
          <w:rFonts w:hint="eastAsia" w:ascii="Calibri" w:hAnsi="Calibri"/>
          <w:iCs/>
          <w:caps/>
          <w:color w:val="auto"/>
          <w:sz w:val="24"/>
          <w:szCs w:val="24"/>
          <w:highlight w:val="none"/>
          <w:lang w:val="zh-CN"/>
        </w:rPr>
        <w:t>：</w:t>
      </w:r>
      <w:r>
        <w:rPr>
          <w:rFonts w:hint="eastAsia" w:ascii="Calibri" w:hAnsi="Calibri"/>
          <w:iCs/>
          <w:caps/>
          <w:color w:val="auto"/>
          <w:sz w:val="24"/>
          <w:szCs w:val="24"/>
          <w:highlight w:val="none"/>
          <w:lang w:val="en-US" w:eastAsia="zh-CN"/>
        </w:rPr>
        <w:t>环境质量现状补充监测报告</w:t>
      </w:r>
      <w:r>
        <w:rPr>
          <w:rFonts w:hint="eastAsia" w:ascii="Calibri" w:hAnsi="Calibri"/>
          <w:iCs/>
          <w:caps/>
          <w:color w:val="auto"/>
          <w:sz w:val="24"/>
          <w:szCs w:val="24"/>
          <w:highlight w:val="none"/>
          <w:lang w:val="zh-CN"/>
        </w:rPr>
        <w:t>；</w:t>
      </w:r>
    </w:p>
    <w:p w14:paraId="2077A05C">
      <w:pPr>
        <w:ind w:firstLine="960" w:firstLineChars="400"/>
        <w:rPr>
          <w:rFonts w:ascii="Calibri" w:hAnsi="Calibri"/>
          <w:iCs/>
          <w:caps/>
          <w:color w:val="auto"/>
          <w:sz w:val="20"/>
          <w:szCs w:val="20"/>
          <w:highlight w:val="none"/>
          <w:lang w:val="zh-CN"/>
        </w:rPr>
      </w:pPr>
      <w:r>
        <w:rPr>
          <w:rFonts w:hint="eastAsia" w:ascii="Calibri" w:hAnsi="Calibri"/>
          <w:iCs/>
          <w:caps/>
          <w:color w:val="auto"/>
          <w:sz w:val="24"/>
          <w:szCs w:val="24"/>
          <w:highlight w:val="none"/>
          <w:lang w:val="zh-CN"/>
        </w:rPr>
        <w:t>附件1</w:t>
      </w:r>
      <w:r>
        <w:rPr>
          <w:rFonts w:hint="eastAsia" w:ascii="Calibri" w:hAnsi="Calibri"/>
          <w:iCs/>
          <w:caps/>
          <w:color w:val="auto"/>
          <w:sz w:val="24"/>
          <w:szCs w:val="24"/>
          <w:highlight w:val="none"/>
          <w:lang w:val="en-US" w:eastAsia="zh-CN"/>
        </w:rPr>
        <w:t>2</w:t>
      </w:r>
      <w:r>
        <w:rPr>
          <w:rFonts w:hint="eastAsia" w:ascii="Calibri" w:hAnsi="Calibri"/>
          <w:iCs/>
          <w:caps/>
          <w:color w:val="auto"/>
          <w:sz w:val="24"/>
          <w:szCs w:val="24"/>
          <w:highlight w:val="none"/>
          <w:lang w:val="zh-CN"/>
        </w:rPr>
        <w:t>：建设项目环境影响报告书审批基础信息表。</w:t>
      </w:r>
    </w:p>
    <w:p w14:paraId="1CBAFBBE">
      <w:pPr>
        <w:ind w:firstLine="480"/>
        <w:rPr>
          <w:color w:val="auto"/>
          <w:highlight w:val="none"/>
          <w:lang w:val="zh-C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linePitch="326" w:charSpace="0"/>
        </w:sectPr>
      </w:pPr>
    </w:p>
    <w:p w14:paraId="17521673">
      <w:pPr>
        <w:pStyle w:val="3"/>
        <w:spacing w:before="120" w:after="120"/>
        <w:rPr>
          <w:color w:val="auto"/>
          <w:highlight w:val="none"/>
        </w:rPr>
      </w:pPr>
      <w:bookmarkStart w:id="0" w:name="_Toc24340199"/>
      <w:bookmarkStart w:id="1" w:name="_Toc24447594"/>
      <w:bookmarkStart w:id="2" w:name="_Toc24447042"/>
      <w:bookmarkStart w:id="3" w:name="_Toc11841"/>
      <w:r>
        <w:rPr>
          <w:rFonts w:hint="eastAsia"/>
          <w:color w:val="auto"/>
          <w:highlight w:val="none"/>
        </w:rPr>
        <w:t>概述</w:t>
      </w:r>
      <w:bookmarkEnd w:id="0"/>
      <w:bookmarkEnd w:id="1"/>
      <w:bookmarkEnd w:id="2"/>
      <w:bookmarkEnd w:id="3"/>
    </w:p>
    <w:p w14:paraId="52AC96B2">
      <w:pPr>
        <w:pStyle w:val="4"/>
        <w:spacing w:before="120" w:after="120"/>
        <w:rPr>
          <w:color w:val="auto"/>
          <w:highlight w:val="none"/>
        </w:rPr>
      </w:pPr>
      <w:bookmarkStart w:id="4" w:name="_Toc24447043"/>
      <w:bookmarkStart w:id="5" w:name="_Toc15626"/>
      <w:bookmarkStart w:id="6" w:name="_Toc24447595"/>
      <w:bookmarkStart w:id="7" w:name="_Toc24340200"/>
      <w:r>
        <w:rPr>
          <w:rFonts w:hint="eastAsia"/>
          <w:color w:val="auto"/>
          <w:highlight w:val="none"/>
        </w:rPr>
        <w:t>项目由来</w:t>
      </w:r>
      <w:bookmarkEnd w:id="4"/>
      <w:bookmarkEnd w:id="5"/>
      <w:bookmarkEnd w:id="6"/>
      <w:bookmarkEnd w:id="7"/>
    </w:p>
    <w:p w14:paraId="6FDDBA87">
      <w:pPr>
        <w:ind w:firstLine="480"/>
        <w:rPr>
          <w:rFonts w:hint="eastAsia"/>
          <w:color w:val="auto"/>
          <w:highlight w:val="none"/>
          <w:lang w:val="en-US" w:eastAsia="zh-CN"/>
        </w:rPr>
      </w:pPr>
      <w:bookmarkStart w:id="8" w:name="_Toc24447596"/>
      <w:bookmarkStart w:id="9" w:name="_Toc24340201"/>
      <w:bookmarkStart w:id="10" w:name="_Toc24447044"/>
      <w:r>
        <w:rPr>
          <w:rFonts w:hint="eastAsia"/>
          <w:color w:val="auto"/>
          <w:highlight w:val="none"/>
          <w:lang w:val="en-US" w:eastAsia="zh-CN"/>
        </w:rPr>
        <w:t>内蒙古捷百顺新材料有限责任公司，成立于2024年，位于内蒙古自治区锡林郭勒盟，是一家以从事</w:t>
      </w:r>
      <w:r>
        <w:rPr>
          <w:rFonts w:hint="eastAsia"/>
          <w:color w:val="auto"/>
          <w:highlight w:val="none"/>
          <w:lang w:val="en-US" w:eastAsia="zh-CN"/>
        </w:rPr>
        <w:fldChar w:fldCharType="begin"/>
      </w:r>
      <w:r>
        <w:rPr>
          <w:rFonts w:hint="eastAsia"/>
          <w:color w:val="auto"/>
          <w:highlight w:val="none"/>
          <w:lang w:val="en-US" w:eastAsia="zh-CN"/>
        </w:rPr>
        <w:instrText xml:space="preserve"> HYPERLINK "https://www.tianyancha.com/advance/search/e-pc_homeicon" </w:instrText>
      </w:r>
      <w:r>
        <w:rPr>
          <w:rFonts w:hint="eastAsia"/>
          <w:color w:val="auto"/>
          <w:highlight w:val="none"/>
          <w:lang w:val="en-US" w:eastAsia="zh-CN"/>
        </w:rPr>
        <w:fldChar w:fldCharType="separate"/>
      </w:r>
      <w:r>
        <w:rPr>
          <w:rFonts w:hint="eastAsia"/>
          <w:color w:val="auto"/>
          <w:highlight w:val="none"/>
          <w:lang w:val="en-US" w:eastAsia="zh-CN"/>
        </w:rPr>
        <w:t>非金属矿采选业</w:t>
      </w:r>
      <w:r>
        <w:rPr>
          <w:rFonts w:hint="eastAsia"/>
          <w:color w:val="auto"/>
          <w:highlight w:val="none"/>
          <w:lang w:val="en-US" w:eastAsia="zh-CN"/>
        </w:rPr>
        <w:fldChar w:fldCharType="end"/>
      </w:r>
      <w:r>
        <w:rPr>
          <w:rFonts w:hint="eastAsia"/>
          <w:color w:val="auto"/>
          <w:highlight w:val="none"/>
          <w:lang w:val="en-US" w:eastAsia="zh-CN"/>
        </w:rPr>
        <w:t>为主的企业。企业</w:t>
      </w:r>
      <w:r>
        <w:rPr>
          <w:rFonts w:hint="eastAsia"/>
          <w:color w:val="auto"/>
          <w:highlight w:val="none"/>
          <w:lang w:val="en-US" w:eastAsia="zh-CN"/>
        </w:rPr>
        <w:fldChar w:fldCharType="begin"/>
      </w:r>
      <w:r>
        <w:rPr>
          <w:rFonts w:hint="eastAsia"/>
          <w:color w:val="auto"/>
          <w:highlight w:val="none"/>
          <w:lang w:val="en-US" w:eastAsia="zh-CN"/>
        </w:rPr>
        <w:instrText xml:space="preserve"> HYPERLINK "https://www.tianyancha.com/company/6848285922" \l "baseInfo" </w:instrText>
      </w:r>
      <w:r>
        <w:rPr>
          <w:rFonts w:hint="eastAsia"/>
          <w:color w:val="auto"/>
          <w:highlight w:val="none"/>
          <w:lang w:val="en-US" w:eastAsia="zh-CN"/>
        </w:rPr>
        <w:fldChar w:fldCharType="separate"/>
      </w:r>
      <w:r>
        <w:rPr>
          <w:rFonts w:hint="eastAsia"/>
          <w:color w:val="auto"/>
          <w:highlight w:val="none"/>
          <w:lang w:val="en-US" w:eastAsia="zh-CN"/>
        </w:rPr>
        <w:t>注册资本</w:t>
      </w:r>
      <w:r>
        <w:rPr>
          <w:rFonts w:hint="eastAsia"/>
          <w:color w:val="auto"/>
          <w:highlight w:val="none"/>
          <w:lang w:val="en-US" w:eastAsia="zh-CN"/>
        </w:rPr>
        <w:fldChar w:fldCharType="end"/>
      </w:r>
      <w:r>
        <w:rPr>
          <w:rFonts w:hint="eastAsia"/>
          <w:color w:val="auto"/>
          <w:highlight w:val="none"/>
          <w:lang w:val="en-US" w:eastAsia="zh-CN"/>
        </w:rPr>
        <w:t>1000万人民币。经营范围包含：新材料技术研发、选矿、矿物洗选加工、固体废物治理、非金属矿及制品销售、非金属矿物制品制造、金属矿石销售；货物进出口。</w:t>
      </w:r>
    </w:p>
    <w:p w14:paraId="092DEE82">
      <w:pPr>
        <w:keepNext w:val="0"/>
        <w:keepLines w:val="0"/>
        <w:widowControl/>
        <w:suppressLineNumbers w:val="0"/>
        <w:jc w:val="left"/>
        <w:rPr>
          <w:rFonts w:hint="default"/>
          <w:color w:val="auto"/>
          <w:highlight w:val="none"/>
          <w:lang w:val="en-US"/>
        </w:rPr>
      </w:pPr>
      <w:r>
        <w:rPr>
          <w:rFonts w:hint="eastAsia"/>
          <w:color w:val="auto"/>
          <w:highlight w:val="none"/>
          <w:lang w:val="en-US" w:eastAsia="zh-CN"/>
        </w:rPr>
        <w:t>内蒙古捷百顺新材料有限责任公司利用当地萤石矿产资源和从蒙古国进口萤石原矿，</w:t>
      </w:r>
      <w:r>
        <w:rPr>
          <w:rFonts w:hint="eastAsia"/>
          <w:color w:val="auto"/>
          <w:highlight w:val="none"/>
          <w:lang w:eastAsia="zh-CN"/>
        </w:rPr>
        <w:t>拟投资</w:t>
      </w:r>
      <w:r>
        <w:rPr>
          <w:rFonts w:hint="eastAsia"/>
          <w:color w:val="auto"/>
          <w:highlight w:val="none"/>
          <w:lang w:val="en-US" w:eastAsia="zh-CN"/>
        </w:rPr>
        <w:t>2000万元，租赁位于内蒙古锡林郭勒多伦经济开发区内多伦县隆盛新型建材有限公司院内闲置土地25亩，建设年处理原矿石30万吨生产线，采用一次粗选三次扫选八次精选的工艺，利用调整工艺参数和改进更新工艺设备来选别萤石精矿，使萤石精矿品位达到97%左右，进而提高原矿产品的附加值，生产的产品萤石精矿粉外售给园区内氟化工企业，做氢氟酸生产原料，补充园区氟化工产业链上游空缺，从而实现由原矿石-萤石粉的加工，带来可观的经济效益和社会效益，对该地区的经济发展和繁荣起到推动作用。</w:t>
      </w:r>
    </w:p>
    <w:p w14:paraId="4AD84CC7">
      <w:pPr>
        <w:ind w:firstLine="480"/>
        <w:rPr>
          <w:rFonts w:hint="eastAsia"/>
          <w:color w:val="auto"/>
          <w:highlight w:val="none"/>
        </w:rPr>
      </w:pPr>
      <w:r>
        <w:rPr>
          <w:rFonts w:hint="eastAsia"/>
          <w:color w:val="auto"/>
          <w:highlight w:val="none"/>
          <w:lang w:eastAsia="zh-CN"/>
        </w:rPr>
        <w:t>根据国家《中华人民共和国环境影响评价法》、《建设项目环境保护管理条例》及有关法律规定，</w:t>
      </w:r>
      <w:r>
        <w:rPr>
          <w:rFonts w:hint="eastAsia"/>
          <w:color w:val="auto"/>
          <w:highlight w:val="none"/>
          <w:lang w:val="en-US" w:eastAsia="zh-CN"/>
        </w:rPr>
        <w:t>内蒙古捷百顺新材料有限责任公司，</w:t>
      </w:r>
      <w:r>
        <w:rPr>
          <w:rFonts w:hint="eastAsia"/>
          <w:color w:val="auto"/>
          <w:highlight w:val="none"/>
          <w:lang w:eastAsia="zh-CN"/>
        </w:rPr>
        <w:t>20</w:t>
      </w:r>
      <w:r>
        <w:rPr>
          <w:rFonts w:hint="eastAsia"/>
          <w:color w:val="auto"/>
          <w:highlight w:val="none"/>
          <w:lang w:val="en-US" w:eastAsia="zh-CN"/>
        </w:rPr>
        <w:t>24</w:t>
      </w:r>
      <w:r>
        <w:rPr>
          <w:rFonts w:hint="eastAsia"/>
          <w:color w:val="auto"/>
          <w:highlight w:val="none"/>
          <w:lang w:eastAsia="zh-CN"/>
        </w:rPr>
        <w:t>年</w:t>
      </w:r>
      <w:r>
        <w:rPr>
          <w:rFonts w:hint="eastAsia"/>
          <w:color w:val="auto"/>
          <w:highlight w:val="none"/>
          <w:lang w:val="en-US" w:eastAsia="zh-CN"/>
        </w:rPr>
        <w:t>5</w:t>
      </w:r>
      <w:r>
        <w:rPr>
          <w:rFonts w:hint="eastAsia"/>
          <w:color w:val="auto"/>
          <w:highlight w:val="none"/>
          <w:lang w:eastAsia="zh-CN"/>
        </w:rPr>
        <w:t>月，委托</w:t>
      </w:r>
      <w:r>
        <w:rPr>
          <w:rFonts w:hint="eastAsia"/>
          <w:color w:val="auto"/>
          <w:highlight w:val="none"/>
          <w:lang w:val="en-US" w:eastAsia="zh-CN"/>
        </w:rPr>
        <w:t>内蒙古纳恒环境科技有限公司</w:t>
      </w:r>
      <w:r>
        <w:rPr>
          <w:rFonts w:hint="eastAsia"/>
          <w:color w:val="auto"/>
          <w:highlight w:val="none"/>
          <w:lang w:eastAsia="zh-CN"/>
        </w:rPr>
        <w:t>承担本</w:t>
      </w:r>
      <w:r>
        <w:rPr>
          <w:rFonts w:hint="eastAsia"/>
          <w:color w:val="auto"/>
          <w:highlight w:val="none"/>
          <w:lang w:val="en-US" w:eastAsia="zh-CN"/>
        </w:rPr>
        <w:t>建设</w:t>
      </w:r>
      <w:r>
        <w:rPr>
          <w:rFonts w:hint="eastAsia"/>
          <w:color w:val="auto"/>
          <w:highlight w:val="none"/>
          <w:lang w:eastAsia="zh-CN"/>
        </w:rPr>
        <w:t>项目环境影响</w:t>
      </w:r>
      <w:r>
        <w:rPr>
          <w:rFonts w:hint="eastAsia"/>
          <w:color w:val="auto"/>
          <w:highlight w:val="none"/>
          <w:lang w:val="en-US" w:eastAsia="zh-CN"/>
        </w:rPr>
        <w:t>评价</w:t>
      </w:r>
      <w:r>
        <w:rPr>
          <w:rFonts w:hint="eastAsia"/>
          <w:color w:val="auto"/>
          <w:highlight w:val="none"/>
          <w:lang w:eastAsia="zh-CN"/>
        </w:rPr>
        <w:t>工作（</w:t>
      </w:r>
      <w:r>
        <w:rPr>
          <w:rFonts w:hint="eastAsia"/>
          <w:color w:val="auto"/>
          <w:highlight w:val="none"/>
          <w:u w:val="single"/>
          <w:lang w:val="en-US" w:eastAsia="zh-CN"/>
        </w:rPr>
        <w:t>附件1</w:t>
      </w:r>
      <w:r>
        <w:rPr>
          <w:rFonts w:hint="eastAsia"/>
          <w:color w:val="auto"/>
          <w:highlight w:val="none"/>
          <w:lang w:eastAsia="zh-CN"/>
        </w:rPr>
        <w:t>）。</w:t>
      </w:r>
      <w:r>
        <w:rPr>
          <w:rFonts w:hint="eastAsia"/>
          <w:color w:val="auto"/>
          <w:highlight w:val="none"/>
          <w:lang w:val="en-US" w:eastAsia="zh-CN"/>
        </w:rPr>
        <w:t>编制</w:t>
      </w:r>
      <w:r>
        <w:rPr>
          <w:rFonts w:hint="eastAsia"/>
          <w:color w:val="auto"/>
          <w:highlight w:val="none"/>
          <w:lang w:eastAsia="zh-CN"/>
        </w:rPr>
        <w:t>单位通过现场调查、</w:t>
      </w:r>
      <w:r>
        <w:rPr>
          <w:rFonts w:hint="eastAsia"/>
          <w:color w:val="auto"/>
          <w:highlight w:val="none"/>
          <w:lang w:val="en-US" w:eastAsia="zh-CN"/>
        </w:rPr>
        <w:t>收集资料、工程</w:t>
      </w:r>
      <w:r>
        <w:rPr>
          <w:rFonts w:hint="eastAsia"/>
          <w:color w:val="auto"/>
          <w:highlight w:val="none"/>
          <w:lang w:eastAsia="zh-CN"/>
        </w:rPr>
        <w:t>分析，</w:t>
      </w:r>
      <w:r>
        <w:rPr>
          <w:rFonts w:hint="eastAsia"/>
          <w:color w:val="auto"/>
          <w:highlight w:val="none"/>
        </w:rPr>
        <w:t>根据《建设项目环境影响评价分类管理名录》（</w:t>
      </w:r>
      <w:r>
        <w:rPr>
          <w:rFonts w:hint="eastAsia"/>
          <w:color w:val="auto"/>
          <w:highlight w:val="none"/>
          <w:lang w:val="en-US" w:eastAsia="zh-CN"/>
        </w:rPr>
        <w:t>2021年版</w:t>
      </w:r>
      <w:r>
        <w:rPr>
          <w:rFonts w:hint="eastAsia"/>
          <w:color w:val="auto"/>
          <w:highlight w:val="none"/>
        </w:rPr>
        <w:t>），</w:t>
      </w:r>
      <w:r>
        <w:rPr>
          <w:rFonts w:hint="eastAsia"/>
          <w:color w:val="auto"/>
          <w:highlight w:val="none"/>
          <w:lang w:val="en-US" w:eastAsia="zh-CN"/>
        </w:rPr>
        <w:t>确定</w:t>
      </w:r>
      <w:r>
        <w:rPr>
          <w:rFonts w:hint="eastAsia"/>
          <w:color w:val="auto"/>
          <w:highlight w:val="none"/>
        </w:rPr>
        <w:t>本项目属于</w:t>
      </w:r>
      <w:r>
        <w:rPr>
          <w:rFonts w:hint="eastAsia"/>
          <w:color w:val="auto"/>
          <w:highlight w:val="none"/>
          <w:lang w:eastAsia="zh-CN"/>
        </w:rPr>
        <w:t>“</w:t>
      </w:r>
      <w:r>
        <w:rPr>
          <w:rFonts w:hint="eastAsia"/>
          <w:color w:val="auto"/>
          <w:highlight w:val="none"/>
          <w:lang w:val="en-US" w:eastAsia="zh-CN"/>
        </w:rPr>
        <w:t>八</w:t>
      </w:r>
      <w:r>
        <w:rPr>
          <w:rFonts w:hint="eastAsia"/>
          <w:color w:val="auto"/>
          <w:highlight w:val="none"/>
        </w:rPr>
        <w:t>、</w:t>
      </w:r>
      <w:r>
        <w:rPr>
          <w:rFonts w:hint="eastAsia"/>
          <w:color w:val="auto"/>
          <w:highlight w:val="none"/>
          <w:lang w:eastAsia="zh-CN"/>
        </w:rPr>
        <w:t>非金属</w:t>
      </w:r>
      <w:r>
        <w:rPr>
          <w:rFonts w:hint="eastAsia"/>
          <w:color w:val="auto"/>
          <w:highlight w:val="none"/>
        </w:rPr>
        <w:t>矿采选业中</w:t>
      </w:r>
      <w:r>
        <w:rPr>
          <w:rFonts w:hint="eastAsia"/>
          <w:color w:val="auto"/>
          <w:highlight w:val="none"/>
          <w:lang w:val="en-US" w:eastAsia="zh-CN"/>
        </w:rPr>
        <w:t>12</w:t>
      </w:r>
      <w:r>
        <w:rPr>
          <w:rFonts w:hint="eastAsia"/>
          <w:color w:val="auto"/>
          <w:highlight w:val="none"/>
          <w:lang w:eastAsia="zh-CN"/>
        </w:rPr>
        <w:t>石棉及其他非金属矿采选</w:t>
      </w:r>
      <w:r>
        <w:rPr>
          <w:rFonts w:hint="eastAsia"/>
          <w:color w:val="auto"/>
          <w:highlight w:val="none"/>
          <w:lang w:val="en-US" w:eastAsia="zh-CN"/>
        </w:rPr>
        <w:t>109</w:t>
      </w:r>
      <w:r>
        <w:rPr>
          <w:rFonts w:hint="eastAsia"/>
          <w:color w:val="auto"/>
          <w:highlight w:val="none"/>
          <w:lang w:eastAsia="zh-CN"/>
        </w:rPr>
        <w:t>”</w:t>
      </w:r>
      <w:r>
        <w:rPr>
          <w:rFonts w:hint="eastAsia"/>
          <w:color w:val="auto"/>
          <w:highlight w:val="none"/>
          <w:lang w:val="en-US" w:eastAsia="zh-CN"/>
        </w:rPr>
        <w:t>类</w:t>
      </w:r>
      <w:r>
        <w:rPr>
          <w:rFonts w:hint="eastAsia"/>
          <w:color w:val="auto"/>
          <w:highlight w:val="none"/>
        </w:rPr>
        <w:t>，</w:t>
      </w:r>
      <w:r>
        <w:rPr>
          <w:rFonts w:hint="eastAsia"/>
          <w:color w:val="auto"/>
          <w:highlight w:val="none"/>
          <w:lang w:val="en-US" w:eastAsia="zh-CN"/>
        </w:rPr>
        <w:t>项目应编制</w:t>
      </w:r>
      <w:r>
        <w:rPr>
          <w:rFonts w:hint="eastAsia"/>
          <w:color w:val="auto"/>
          <w:highlight w:val="none"/>
        </w:rPr>
        <w:t>环境影响报告书。</w:t>
      </w:r>
    </w:p>
    <w:p w14:paraId="199D6C3D">
      <w:pPr>
        <w:ind w:firstLine="480"/>
        <w:rPr>
          <w:color w:val="auto"/>
          <w:highlight w:val="none"/>
        </w:rPr>
      </w:pPr>
      <w:r>
        <w:rPr>
          <w:rFonts w:hint="eastAsia" w:ascii="宋体" w:hAnsi="宋体" w:eastAsia="宋体" w:cs="宋体"/>
          <w:color w:val="auto"/>
          <w:spacing w:val="-1"/>
          <w:sz w:val="24"/>
          <w:szCs w:val="24"/>
          <w:highlight w:val="none"/>
          <w:lang w:val="en-US" w:eastAsia="zh-CN"/>
        </w:rPr>
        <w:t>编制单位依照</w:t>
      </w:r>
      <w:r>
        <w:rPr>
          <w:rFonts w:ascii="宋体" w:hAnsi="宋体" w:eastAsia="宋体" w:cs="宋体"/>
          <w:color w:val="auto"/>
          <w:spacing w:val="-1"/>
          <w:sz w:val="24"/>
          <w:szCs w:val="24"/>
          <w:highlight w:val="none"/>
        </w:rPr>
        <w:t>国家环保法规</w:t>
      </w:r>
      <w:r>
        <w:rPr>
          <w:rFonts w:hint="eastAsia" w:ascii="宋体" w:hAnsi="宋体" w:cs="宋体"/>
          <w:color w:val="auto"/>
          <w:spacing w:val="-1"/>
          <w:sz w:val="24"/>
          <w:szCs w:val="24"/>
          <w:highlight w:val="none"/>
          <w:lang w:eastAsia="zh-CN"/>
        </w:rPr>
        <w:t>、</w:t>
      </w:r>
      <w:r>
        <w:rPr>
          <w:rFonts w:ascii="宋体" w:hAnsi="宋体" w:eastAsia="宋体" w:cs="宋体"/>
          <w:color w:val="auto"/>
          <w:spacing w:val="-1"/>
          <w:sz w:val="24"/>
          <w:szCs w:val="24"/>
          <w:highlight w:val="none"/>
        </w:rPr>
        <w:t>标准及</w:t>
      </w:r>
      <w:r>
        <w:rPr>
          <w:rFonts w:hint="eastAsia" w:ascii="宋体" w:hAnsi="宋体" w:cs="宋体"/>
          <w:color w:val="auto"/>
          <w:spacing w:val="-1"/>
          <w:sz w:val="24"/>
          <w:szCs w:val="24"/>
          <w:highlight w:val="none"/>
          <w:lang w:val="en-US" w:eastAsia="zh-CN"/>
        </w:rPr>
        <w:t>相关</w:t>
      </w:r>
      <w:r>
        <w:rPr>
          <w:rFonts w:ascii="宋体" w:hAnsi="宋体" w:eastAsia="宋体" w:cs="宋体"/>
          <w:color w:val="auto"/>
          <w:spacing w:val="-1"/>
          <w:sz w:val="24"/>
          <w:szCs w:val="24"/>
          <w:highlight w:val="none"/>
        </w:rPr>
        <w:t>技术</w:t>
      </w:r>
      <w:r>
        <w:rPr>
          <w:rFonts w:ascii="宋体" w:hAnsi="宋体" w:eastAsia="宋体" w:cs="宋体"/>
          <w:color w:val="auto"/>
          <w:spacing w:val="-2"/>
          <w:sz w:val="24"/>
          <w:szCs w:val="24"/>
          <w:highlight w:val="none"/>
        </w:rPr>
        <w:t>导则编制了本</w:t>
      </w:r>
      <w:r>
        <w:rPr>
          <w:rFonts w:hint="eastAsia" w:ascii="宋体" w:hAnsi="宋体" w:eastAsia="宋体" w:cs="宋体"/>
          <w:color w:val="auto"/>
          <w:spacing w:val="-2"/>
          <w:sz w:val="24"/>
          <w:szCs w:val="24"/>
          <w:highlight w:val="none"/>
          <w:lang w:val="en-US" w:eastAsia="zh-CN"/>
        </w:rPr>
        <w:t>项目</w:t>
      </w:r>
      <w:r>
        <w:rPr>
          <w:rFonts w:ascii="宋体" w:hAnsi="宋体" w:eastAsia="宋体" w:cs="宋体"/>
          <w:color w:val="auto"/>
          <w:spacing w:val="-2"/>
          <w:sz w:val="24"/>
          <w:szCs w:val="24"/>
          <w:highlight w:val="none"/>
        </w:rPr>
        <w:t>环境影响报告书，</w:t>
      </w:r>
      <w:r>
        <w:rPr>
          <w:rFonts w:hint="eastAsia"/>
          <w:color w:val="auto"/>
          <w:highlight w:val="none"/>
          <w:lang w:val="en-US" w:eastAsia="zh-CN"/>
        </w:rPr>
        <w:t>报告针对项目</w:t>
      </w:r>
      <w:r>
        <w:rPr>
          <w:rFonts w:hint="eastAsia"/>
          <w:color w:val="auto"/>
          <w:highlight w:val="none"/>
          <w:lang w:eastAsia="zh-CN"/>
        </w:rPr>
        <w:t>提出切实</w:t>
      </w:r>
      <w:r>
        <w:rPr>
          <w:rFonts w:hint="eastAsia"/>
          <w:color w:val="auto"/>
          <w:highlight w:val="none"/>
        </w:rPr>
        <w:t>可行的环境保护措施，减轻或消除项目产生的不利</w:t>
      </w:r>
      <w:r>
        <w:rPr>
          <w:rFonts w:hint="eastAsia"/>
          <w:color w:val="auto"/>
          <w:highlight w:val="none"/>
          <w:lang w:val="en-US" w:eastAsia="zh-CN"/>
        </w:rPr>
        <w:t>环境</w:t>
      </w:r>
      <w:r>
        <w:rPr>
          <w:rFonts w:hint="eastAsia"/>
          <w:color w:val="auto"/>
          <w:highlight w:val="none"/>
        </w:rPr>
        <w:t>影响，制订环境管理和环境监测计划，为</w:t>
      </w:r>
      <w:r>
        <w:rPr>
          <w:rFonts w:hint="eastAsia"/>
          <w:color w:val="auto"/>
          <w:highlight w:val="none"/>
          <w:lang w:val="en-US" w:eastAsia="zh-CN"/>
        </w:rPr>
        <w:t>项目建设及生态</w:t>
      </w:r>
      <w:r>
        <w:rPr>
          <w:rFonts w:hint="eastAsia"/>
          <w:color w:val="auto"/>
          <w:highlight w:val="none"/>
        </w:rPr>
        <w:t>环境保护管理部门提供科学依据，同时促进项目所在地区社会、经济、环境的协调发展。</w:t>
      </w:r>
    </w:p>
    <w:p w14:paraId="2B1DB9DF">
      <w:pPr>
        <w:pStyle w:val="4"/>
        <w:spacing w:before="120" w:after="120"/>
        <w:rPr>
          <w:color w:val="auto"/>
          <w:highlight w:val="none"/>
        </w:rPr>
      </w:pPr>
      <w:bookmarkStart w:id="11" w:name="_Toc1716"/>
      <w:r>
        <w:rPr>
          <w:rFonts w:hint="eastAsia"/>
          <w:color w:val="auto"/>
          <w:highlight w:val="none"/>
        </w:rPr>
        <w:t>环境影响评价工作过程</w:t>
      </w:r>
      <w:bookmarkEnd w:id="8"/>
      <w:bookmarkEnd w:id="9"/>
      <w:bookmarkEnd w:id="10"/>
      <w:bookmarkEnd w:id="11"/>
    </w:p>
    <w:p w14:paraId="1D14CAE7">
      <w:pPr>
        <w:ind w:firstLine="480"/>
        <w:rPr>
          <w:rFonts w:hint="eastAsia"/>
          <w:color w:val="auto"/>
          <w:highlight w:val="none"/>
        </w:rPr>
      </w:pPr>
      <w:r>
        <w:rPr>
          <w:rFonts w:hint="eastAsia"/>
          <w:color w:val="auto"/>
          <w:highlight w:val="none"/>
        </w:rPr>
        <w:t>根据《建设项目环境影响评价技术导则总钢》（HJ2.1-2016），本次环评工作分三个阶段：调查分析和工作方案制定阶段；分析论证和顶测评价阶段；环境影响报告书</w:t>
      </w:r>
      <w:r>
        <w:rPr>
          <w:rFonts w:hint="eastAsia"/>
          <w:color w:val="auto"/>
          <w:highlight w:val="none"/>
          <w:lang w:val="en-US" w:eastAsia="zh-CN"/>
        </w:rPr>
        <w:t>编制</w:t>
      </w:r>
      <w:r>
        <w:rPr>
          <w:rFonts w:hint="eastAsia"/>
          <w:color w:val="auto"/>
          <w:highlight w:val="none"/>
        </w:rPr>
        <w:t>阶段。本次评价</w:t>
      </w:r>
      <w:r>
        <w:rPr>
          <w:rFonts w:hint="eastAsia"/>
          <w:color w:val="auto"/>
          <w:highlight w:val="none"/>
          <w:lang w:val="en-US" w:eastAsia="zh-CN"/>
        </w:rPr>
        <w:t>工作</w:t>
      </w:r>
      <w:r>
        <w:rPr>
          <w:rFonts w:hint="eastAsia"/>
          <w:color w:val="auto"/>
          <w:highlight w:val="none"/>
        </w:rPr>
        <w:t>技术路线见下图</w:t>
      </w:r>
      <w:r>
        <w:rPr>
          <w:rFonts w:hint="eastAsia"/>
          <w:color w:val="auto"/>
          <w:highlight w:val="none"/>
          <w:lang w:val="en-US" w:eastAsia="zh-CN"/>
        </w:rPr>
        <w:t>1.2-1</w:t>
      </w:r>
      <w:r>
        <w:rPr>
          <w:rFonts w:hint="eastAsia"/>
          <w:color w:val="auto"/>
          <w:highlight w:val="none"/>
        </w:rPr>
        <w:t>。</w:t>
      </w:r>
    </w:p>
    <w:p w14:paraId="1A65180B">
      <w:pPr>
        <w:ind w:firstLine="480"/>
        <w:rPr>
          <w:color w:val="auto"/>
          <w:highlight w:val="none"/>
        </w:rPr>
      </w:pPr>
      <w:r>
        <w:rPr>
          <w:rFonts w:hint="eastAsia"/>
          <w:color w:val="auto"/>
          <w:highlight w:val="none"/>
        </w:rPr>
        <w:t>在接受建设单位委托后，评价单位首先研究了相关的法律、法规及规划，确定评价文件类型。其次开展初步的现场调查及资料收集，根据建设单位提供的资料，进行初步的工程分析，确定评价重点，制定工作方案，安排进一步环境现状详查，在资料收集完成后，进行各</w:t>
      </w:r>
      <w:r>
        <w:rPr>
          <w:rFonts w:hint="eastAsia"/>
          <w:color w:val="auto"/>
          <w:highlight w:val="none"/>
          <w:lang w:val="en-US" w:eastAsia="zh-CN"/>
        </w:rPr>
        <w:t>要素</w:t>
      </w:r>
      <w:r>
        <w:rPr>
          <w:rFonts w:hint="eastAsia"/>
          <w:color w:val="auto"/>
          <w:highlight w:val="none"/>
        </w:rPr>
        <w:t>专题分析，提出环保措施并进行技术经济论证，最终形成环评文件。</w:t>
      </w:r>
    </w:p>
    <w:p w14:paraId="0906608A">
      <w:pPr>
        <w:pStyle w:val="84"/>
        <w:rPr>
          <w:color w:val="auto"/>
          <w:highlight w:val="none"/>
        </w:rPr>
      </w:pPr>
      <w:r>
        <w:rPr>
          <w:color w:val="auto"/>
          <w:highlight w:val="none"/>
        </w:rPr>
        <w:drawing>
          <wp:inline distT="0" distB="0" distL="114300" distR="114300">
            <wp:extent cx="5057775" cy="7639050"/>
            <wp:effectExtent l="9525" t="9525" r="19050" b="9525"/>
            <wp:docPr id="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6"/>
                    <pic:cNvPicPr>
                      <a:picLocks noChangeAspect="1"/>
                    </pic:cNvPicPr>
                  </pic:nvPicPr>
                  <pic:blipFill>
                    <a:blip r:embed="rId26"/>
                    <a:srcRect t="4800" r="11647" b="1286"/>
                    <a:stretch>
                      <a:fillRect/>
                    </a:stretch>
                  </pic:blipFill>
                  <pic:spPr>
                    <a:xfrm>
                      <a:off x="0" y="0"/>
                      <a:ext cx="5057775" cy="763905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6A5BBCFC">
      <w:pPr>
        <w:pStyle w:val="99"/>
        <w:spacing w:after="120"/>
        <w:rPr>
          <w:color w:val="auto"/>
          <w:highlight w:val="none"/>
        </w:rPr>
      </w:pPr>
      <w:r>
        <w:rPr>
          <w:rFonts w:hint="eastAsia"/>
          <w:color w:val="auto"/>
          <w:highlight w:val="none"/>
        </w:rPr>
        <w:t>图</w:t>
      </w:r>
      <w:r>
        <w:rPr>
          <w:color w:val="auto"/>
          <w:highlight w:val="none"/>
        </w:rPr>
        <w:t xml:space="preserve">1.2-1  </w:t>
      </w:r>
      <w:r>
        <w:rPr>
          <w:rFonts w:hint="eastAsia"/>
          <w:color w:val="auto"/>
          <w:highlight w:val="none"/>
        </w:rPr>
        <w:t>评价工作程序</w:t>
      </w:r>
    </w:p>
    <w:p w14:paraId="45F1C4B1">
      <w:pPr>
        <w:pStyle w:val="4"/>
        <w:spacing w:before="120" w:after="120"/>
        <w:rPr>
          <w:color w:val="auto"/>
          <w:highlight w:val="none"/>
        </w:rPr>
      </w:pPr>
      <w:bookmarkStart w:id="12" w:name="_Toc24447597"/>
      <w:bookmarkStart w:id="13" w:name="_Toc24340202"/>
      <w:bookmarkStart w:id="14" w:name="_Toc6421"/>
      <w:bookmarkStart w:id="15" w:name="_Toc24447045"/>
      <w:r>
        <w:rPr>
          <w:rFonts w:hint="eastAsia"/>
          <w:color w:val="auto"/>
          <w:highlight w:val="none"/>
        </w:rPr>
        <w:t>相关情况的分析判定</w:t>
      </w:r>
      <w:bookmarkEnd w:id="12"/>
      <w:bookmarkEnd w:id="13"/>
      <w:bookmarkEnd w:id="14"/>
      <w:bookmarkEnd w:id="15"/>
    </w:p>
    <w:p w14:paraId="726C665A">
      <w:pPr>
        <w:pStyle w:val="5"/>
        <w:rPr>
          <w:color w:val="auto"/>
          <w:highlight w:val="none"/>
        </w:rPr>
      </w:pPr>
      <w:bookmarkStart w:id="16" w:name="_Toc24447047"/>
      <w:r>
        <w:rPr>
          <w:rFonts w:hint="eastAsia"/>
          <w:color w:val="auto"/>
          <w:highlight w:val="none"/>
          <w:lang w:val="en-US" w:eastAsia="zh-CN"/>
        </w:rPr>
        <w:t>与</w:t>
      </w:r>
      <w:r>
        <w:rPr>
          <w:rFonts w:hint="eastAsia"/>
          <w:color w:val="auto"/>
          <w:highlight w:val="none"/>
        </w:rPr>
        <w:t>产业政策符合性分析</w:t>
      </w:r>
      <w:bookmarkEnd w:id="16"/>
    </w:p>
    <w:p w14:paraId="494A5075">
      <w:pPr>
        <w:pStyle w:val="169"/>
        <w:snapToGrid w:val="0"/>
        <w:spacing w:line="360" w:lineRule="auto"/>
        <w:ind w:firstLine="480" w:firstLineChars="200"/>
        <w:rPr>
          <w:rFonts w:ascii="Times New Roman" w:eastAsia="宋体" w:cs="Times New Roman"/>
          <w:color w:val="auto"/>
          <w:highlight w:val="none"/>
        </w:rPr>
      </w:pPr>
      <w:r>
        <w:rPr>
          <w:rFonts w:ascii="Times New Roman" w:eastAsia="Calibri" w:cs="Times New Roman"/>
          <w:color w:val="auto"/>
          <w:highlight w:val="none"/>
        </w:rPr>
        <w:t>依据《国民经济行业分类》（GB/T4754-2017），项目的类别属于：B1099其他未列明非金属矿采选</w:t>
      </w:r>
      <w:r>
        <w:rPr>
          <w:rFonts w:hint="eastAsia" w:ascii="Times New Roman" w:eastAsia="宋体" w:cs="Times New Roman"/>
          <w:color w:val="auto"/>
          <w:highlight w:val="none"/>
          <w:lang w:eastAsia="zh-CN"/>
        </w:rPr>
        <w:t>，</w:t>
      </w:r>
      <w:r>
        <w:rPr>
          <w:rFonts w:hint="eastAsia" w:ascii="Times New Roman" w:eastAsia="宋体" w:cs="Times New Roman"/>
          <w:color w:val="auto"/>
          <w:highlight w:val="none"/>
          <w:lang w:val="en-US" w:eastAsia="zh-CN"/>
        </w:rPr>
        <w:t>不属于</w:t>
      </w:r>
      <w:r>
        <w:rPr>
          <w:rFonts w:ascii="Times New Roman" w:cs="Times New Roman"/>
          <w:color w:val="auto"/>
          <w:highlight w:val="none"/>
        </w:rPr>
        <w:t>《产业结构调整指导目录（20</w:t>
      </w:r>
      <w:r>
        <w:rPr>
          <w:rFonts w:hint="eastAsia" w:ascii="Times New Roman" w:cs="Times New Roman"/>
          <w:color w:val="auto"/>
          <w:highlight w:val="none"/>
          <w:lang w:val="en-US" w:eastAsia="zh-CN"/>
        </w:rPr>
        <w:t>24</w:t>
      </w:r>
      <w:r>
        <w:rPr>
          <w:rFonts w:ascii="Times New Roman" w:cs="Times New Roman"/>
          <w:color w:val="auto"/>
          <w:highlight w:val="none"/>
        </w:rPr>
        <w:t>年本）</w:t>
      </w:r>
      <w:r>
        <w:rPr>
          <w:rFonts w:hint="eastAsia"/>
          <w:color w:val="auto"/>
          <w:highlight w:val="none"/>
        </w:rPr>
        <w:t>》</w:t>
      </w:r>
      <w:r>
        <w:rPr>
          <w:rFonts w:ascii="Times New Roman" w:cs="Times New Roman"/>
          <w:color w:val="auto"/>
          <w:highlight w:val="none"/>
        </w:rPr>
        <w:t>中</w:t>
      </w:r>
      <w:r>
        <w:rPr>
          <w:rFonts w:ascii="Times New Roman" w:eastAsia="Calibri" w:cs="Times New Roman"/>
          <w:color w:val="auto"/>
          <w:highlight w:val="none"/>
        </w:rPr>
        <w:t>鼓励类、限制类和淘汰类</w:t>
      </w:r>
      <w:r>
        <w:rPr>
          <w:rFonts w:hint="eastAsia" w:ascii="Times New Roman" w:eastAsia="宋体" w:cs="Times New Roman"/>
          <w:color w:val="auto"/>
          <w:highlight w:val="none"/>
          <w:lang w:val="en-US" w:eastAsia="zh-CN"/>
        </w:rPr>
        <w:t>建设项目</w:t>
      </w:r>
      <w:r>
        <w:rPr>
          <w:rFonts w:ascii="Times New Roman" w:eastAsia="Calibri" w:cs="Times New Roman"/>
          <w:color w:val="auto"/>
          <w:highlight w:val="none"/>
        </w:rPr>
        <w:t>，属于</w:t>
      </w:r>
      <w:r>
        <w:rPr>
          <w:rFonts w:hint="eastAsia" w:ascii="Times New Roman" w:eastAsia="宋体" w:cs="Times New Roman"/>
          <w:color w:val="auto"/>
          <w:highlight w:val="none"/>
          <w:lang w:eastAsia="zh-CN"/>
        </w:rPr>
        <w:t>“</w:t>
      </w:r>
      <w:r>
        <w:rPr>
          <w:rFonts w:ascii="Times New Roman" w:eastAsia="Calibri" w:cs="Times New Roman"/>
          <w:color w:val="auto"/>
          <w:highlight w:val="none"/>
        </w:rPr>
        <w:t>允许类</w:t>
      </w:r>
      <w:r>
        <w:rPr>
          <w:rFonts w:hint="eastAsia" w:ascii="Times New Roman" w:eastAsia="宋体" w:cs="Times New Roman"/>
          <w:color w:val="auto"/>
          <w:highlight w:val="none"/>
          <w:lang w:eastAsia="zh-CN"/>
        </w:rPr>
        <w:t>”</w:t>
      </w:r>
      <w:r>
        <w:rPr>
          <w:rFonts w:ascii="Times New Roman" w:eastAsia="Calibri" w:cs="Times New Roman"/>
          <w:color w:val="auto"/>
          <w:highlight w:val="none"/>
        </w:rPr>
        <w:t>。</w:t>
      </w:r>
      <w:r>
        <w:rPr>
          <w:rFonts w:hint="eastAsia" w:ascii="Times New Roman" w:hAnsi="Times New Roman" w:eastAsia="宋体" w:cs="Arial"/>
          <w:color w:val="auto"/>
          <w:sz w:val="24"/>
          <w:highlight w:val="none"/>
          <w:lang w:val="en-US" w:eastAsia="zh-CN"/>
        </w:rPr>
        <w:t>2024</w:t>
      </w:r>
      <w:r>
        <w:rPr>
          <w:rFonts w:hint="default" w:ascii="Times New Roman" w:hAnsi="Times New Roman" w:eastAsia="宋体" w:cs="Arial"/>
          <w:color w:val="auto"/>
          <w:sz w:val="24"/>
          <w:highlight w:val="none"/>
        </w:rPr>
        <w:t>年</w:t>
      </w:r>
      <w:r>
        <w:rPr>
          <w:rFonts w:hint="eastAsia" w:ascii="Times New Roman" w:hAnsi="Times New Roman" w:eastAsia="宋体" w:cs="Arial"/>
          <w:color w:val="auto"/>
          <w:sz w:val="24"/>
          <w:highlight w:val="none"/>
          <w:lang w:val="en-US" w:eastAsia="zh-CN"/>
        </w:rPr>
        <w:t>4</w:t>
      </w:r>
      <w:r>
        <w:rPr>
          <w:rFonts w:hint="default" w:ascii="Times New Roman" w:hAnsi="Times New Roman" w:eastAsia="宋体" w:cs="Arial"/>
          <w:color w:val="auto"/>
          <w:sz w:val="24"/>
          <w:highlight w:val="none"/>
        </w:rPr>
        <w:t>月</w:t>
      </w:r>
      <w:r>
        <w:rPr>
          <w:rFonts w:hint="eastAsia" w:ascii="Times New Roman" w:hAnsi="Times New Roman" w:eastAsia="宋体" w:cs="Arial"/>
          <w:color w:val="auto"/>
          <w:sz w:val="24"/>
          <w:highlight w:val="none"/>
          <w:lang w:val="en-US" w:eastAsia="zh-CN"/>
        </w:rPr>
        <w:t>7</w:t>
      </w:r>
      <w:r>
        <w:rPr>
          <w:rFonts w:hint="default" w:ascii="Times New Roman" w:hAnsi="Times New Roman" w:eastAsia="宋体" w:cs="Arial"/>
          <w:color w:val="auto"/>
          <w:sz w:val="24"/>
          <w:highlight w:val="none"/>
        </w:rPr>
        <w:t>日</w:t>
      </w:r>
      <w:r>
        <w:rPr>
          <w:rFonts w:hint="eastAsia" w:ascii="Times New Roman" w:cs="Arial"/>
          <w:color w:val="auto"/>
          <w:sz w:val="24"/>
          <w:highlight w:val="none"/>
          <w:lang w:eastAsia="zh-CN"/>
        </w:rPr>
        <w:t>，</w:t>
      </w:r>
      <w:r>
        <w:rPr>
          <w:rFonts w:ascii="Times New Roman" w:eastAsia="Calibri" w:cs="Times New Roman"/>
          <w:color w:val="auto"/>
          <w:highlight w:val="none"/>
        </w:rPr>
        <w:t>本项目已取得</w:t>
      </w:r>
      <w:r>
        <w:rPr>
          <w:rFonts w:hint="eastAsia" w:ascii="Times New Roman" w:hAnsi="Times New Roman" w:eastAsia="宋体" w:cs="Arial"/>
          <w:color w:val="auto"/>
          <w:sz w:val="24"/>
          <w:highlight w:val="none"/>
          <w:lang w:val="en-US" w:eastAsia="zh-CN"/>
        </w:rPr>
        <w:t>多伦县发展和改革委员会</w:t>
      </w:r>
      <w:r>
        <w:rPr>
          <w:rFonts w:ascii="Times New Roman" w:eastAsia="Calibri" w:cs="Times New Roman"/>
          <w:color w:val="auto"/>
          <w:highlight w:val="none"/>
        </w:rPr>
        <w:t>的</w:t>
      </w:r>
      <w:r>
        <w:rPr>
          <w:rFonts w:hint="eastAsia" w:ascii="宋体" w:hAnsi="宋体" w:eastAsia="宋体" w:cs="Times New Roman"/>
          <w:color w:val="auto"/>
          <w:highlight w:val="none"/>
        </w:rPr>
        <w:t>《项目</w:t>
      </w:r>
      <w:r>
        <w:rPr>
          <w:rFonts w:ascii="Times New Roman" w:eastAsia="Calibri" w:cs="Times New Roman"/>
          <w:color w:val="auto"/>
          <w:highlight w:val="none"/>
        </w:rPr>
        <w:t>备案告知书</w:t>
      </w:r>
      <w:r>
        <w:rPr>
          <w:rFonts w:hint="eastAsia" w:ascii="宋体" w:hAnsi="宋体" w:eastAsia="宋体" w:cs="Times New Roman"/>
          <w:color w:val="auto"/>
          <w:highlight w:val="none"/>
        </w:rPr>
        <w:t>》</w:t>
      </w:r>
      <w:r>
        <w:rPr>
          <w:rFonts w:hint="eastAsia" w:ascii="Times New Roman" w:eastAsia="宋体" w:cs="Times New Roman"/>
          <w:color w:val="auto"/>
          <w:highlight w:val="none"/>
          <w:lang w:val="en-US" w:eastAsia="zh-CN"/>
        </w:rPr>
        <w:t>，</w:t>
      </w:r>
      <w:r>
        <w:rPr>
          <w:rFonts w:hint="eastAsia" w:ascii="宋体" w:hAnsi="宋体" w:eastAsia="宋体" w:cs="Times New Roman"/>
          <w:color w:val="auto"/>
          <w:highlight w:val="none"/>
        </w:rPr>
        <w:t>项目</w:t>
      </w:r>
      <w:r>
        <w:rPr>
          <w:rFonts w:ascii="Times New Roman" w:eastAsia="Calibri" w:cs="Times New Roman"/>
          <w:color w:val="auto"/>
          <w:highlight w:val="none"/>
        </w:rPr>
        <w:t>代码</w:t>
      </w:r>
      <w:r>
        <w:rPr>
          <w:rFonts w:hint="eastAsia" w:ascii="宋体" w:hAnsi="宋体" w:eastAsia="宋体" w:cs="Times New Roman"/>
          <w:color w:val="auto"/>
          <w:highlight w:val="none"/>
        </w:rPr>
        <w:t>：</w:t>
      </w:r>
      <w:r>
        <w:rPr>
          <w:rFonts w:hint="eastAsia" w:ascii="Times New Roman" w:hAnsi="Times New Roman" w:eastAsia="宋体" w:cs="Arial"/>
          <w:color w:val="auto"/>
          <w:sz w:val="24"/>
          <w:highlight w:val="none"/>
          <w:lang w:val="en-US" w:eastAsia="zh-CN"/>
        </w:rPr>
        <w:t>2404</w:t>
      </w:r>
      <w:r>
        <w:rPr>
          <w:rFonts w:hint="default" w:ascii="Times New Roman" w:hAnsi="Times New Roman" w:eastAsia="宋体" w:cs="Arial"/>
          <w:color w:val="auto"/>
          <w:sz w:val="24"/>
          <w:highlight w:val="none"/>
        </w:rPr>
        <w:t>-</w:t>
      </w:r>
      <w:r>
        <w:rPr>
          <w:rFonts w:hint="eastAsia" w:ascii="Times New Roman" w:hAnsi="Times New Roman" w:eastAsia="宋体" w:cs="Arial"/>
          <w:color w:val="auto"/>
          <w:sz w:val="24"/>
          <w:highlight w:val="none"/>
          <w:lang w:val="en-US" w:eastAsia="zh-CN"/>
        </w:rPr>
        <w:t>152531</w:t>
      </w:r>
      <w:r>
        <w:rPr>
          <w:rFonts w:hint="default" w:ascii="Times New Roman" w:hAnsi="Times New Roman" w:eastAsia="宋体" w:cs="Arial"/>
          <w:color w:val="auto"/>
          <w:sz w:val="24"/>
          <w:highlight w:val="none"/>
        </w:rPr>
        <w:t>-</w:t>
      </w:r>
      <w:r>
        <w:rPr>
          <w:rFonts w:hint="eastAsia" w:ascii="Times New Roman" w:hAnsi="Times New Roman" w:eastAsia="宋体" w:cs="Arial"/>
          <w:color w:val="auto"/>
          <w:sz w:val="24"/>
          <w:highlight w:val="none"/>
          <w:lang w:val="en-US" w:eastAsia="zh-CN"/>
        </w:rPr>
        <w:t>04</w:t>
      </w:r>
      <w:r>
        <w:rPr>
          <w:rFonts w:hint="default" w:ascii="Times New Roman" w:hAnsi="Times New Roman" w:eastAsia="宋体" w:cs="Arial"/>
          <w:color w:val="auto"/>
          <w:sz w:val="24"/>
          <w:highlight w:val="none"/>
        </w:rPr>
        <w:t>-</w:t>
      </w:r>
      <w:r>
        <w:rPr>
          <w:rFonts w:hint="eastAsia" w:ascii="Times New Roman" w:hAnsi="Times New Roman" w:eastAsia="宋体" w:cs="Arial"/>
          <w:color w:val="auto"/>
          <w:sz w:val="24"/>
          <w:highlight w:val="none"/>
          <w:lang w:val="en-US" w:eastAsia="zh-CN"/>
        </w:rPr>
        <w:t>01-99553</w:t>
      </w:r>
      <w:r>
        <w:rPr>
          <w:rFonts w:hint="eastAsia" w:ascii="Times New Roman" w:cs="Arial"/>
          <w:color w:val="auto"/>
          <w:sz w:val="24"/>
          <w:highlight w:val="none"/>
          <w:lang w:val="en-US" w:eastAsia="zh-CN"/>
        </w:rPr>
        <w:t>0</w:t>
      </w:r>
      <w:r>
        <w:rPr>
          <w:rFonts w:hint="eastAsia" w:ascii="Times New Roman" w:eastAsia="宋体" w:cs="Times New Roman"/>
          <w:color w:val="auto"/>
          <w:highlight w:val="none"/>
          <w:lang w:eastAsia="zh-CN"/>
        </w:rPr>
        <w:t>（</w:t>
      </w:r>
      <w:r>
        <w:rPr>
          <w:rFonts w:hint="eastAsia" w:ascii="Times New Roman" w:eastAsia="宋体" w:cs="Times New Roman"/>
          <w:color w:val="auto"/>
          <w:highlight w:val="none"/>
          <w:u w:val="single"/>
          <w:lang w:val="en-US" w:eastAsia="zh-CN"/>
        </w:rPr>
        <w:t>附件2</w:t>
      </w:r>
      <w:r>
        <w:rPr>
          <w:rFonts w:hint="eastAsia" w:ascii="Times New Roman" w:eastAsia="宋体" w:cs="Times New Roman"/>
          <w:color w:val="auto"/>
          <w:highlight w:val="none"/>
          <w:lang w:eastAsia="zh-CN"/>
        </w:rPr>
        <w:t>）</w:t>
      </w:r>
      <w:r>
        <w:rPr>
          <w:rFonts w:ascii="Times New Roman" w:eastAsia="Calibri" w:cs="Times New Roman"/>
          <w:color w:val="auto"/>
          <w:highlight w:val="none"/>
        </w:rPr>
        <w:t>。</w:t>
      </w:r>
    </w:p>
    <w:p w14:paraId="3F88E6D6">
      <w:pPr>
        <w:pStyle w:val="169"/>
        <w:snapToGrid w:val="0"/>
        <w:spacing w:line="360" w:lineRule="auto"/>
        <w:ind w:firstLine="480" w:firstLineChars="200"/>
        <w:rPr>
          <w:rFonts w:hint="eastAsia" w:ascii="Times New Roman" w:eastAsia="Calibri" w:cs="Times New Roman"/>
          <w:color w:val="auto"/>
          <w:highlight w:val="none"/>
          <w:lang w:val="en-US" w:eastAsia="zh-CN"/>
        </w:rPr>
      </w:pPr>
      <w:r>
        <w:rPr>
          <w:rFonts w:hint="eastAsia" w:ascii="Times New Roman" w:eastAsia="宋体" w:cs="Times New Roman"/>
          <w:color w:val="auto"/>
          <w:highlight w:val="none"/>
        </w:rPr>
        <w:t>因此，</w:t>
      </w:r>
      <w:r>
        <w:rPr>
          <w:rFonts w:ascii="Times New Roman" w:eastAsia="Calibri" w:cs="Times New Roman"/>
          <w:color w:val="auto"/>
          <w:highlight w:val="none"/>
        </w:rPr>
        <w:t>本项目符合国家产业政策。</w:t>
      </w:r>
    </w:p>
    <w:p w14:paraId="07262E58">
      <w:pPr>
        <w:pStyle w:val="5"/>
        <w:rPr>
          <w:color w:val="auto"/>
          <w:highlight w:val="none"/>
        </w:rPr>
      </w:pPr>
      <w:r>
        <w:rPr>
          <w:rFonts w:hint="eastAsia"/>
          <w:color w:val="auto"/>
          <w:highlight w:val="none"/>
          <w:lang w:val="en-US" w:eastAsia="zh-CN"/>
        </w:rPr>
        <w:t>与园区规划</w:t>
      </w:r>
      <w:r>
        <w:rPr>
          <w:rFonts w:hint="eastAsia"/>
          <w:color w:val="auto"/>
          <w:highlight w:val="none"/>
        </w:rPr>
        <w:t>符合性分析</w:t>
      </w:r>
    </w:p>
    <w:p w14:paraId="38DF1996">
      <w:pPr>
        <w:spacing w:line="440" w:lineRule="exact"/>
        <w:ind w:firstLine="480"/>
        <w:rPr>
          <w:rFonts w:hint="eastAsia"/>
          <w:color w:val="auto"/>
          <w:highlight w:val="none"/>
        </w:rPr>
      </w:pPr>
      <w:r>
        <w:rPr>
          <w:rFonts w:hint="eastAsia"/>
          <w:color w:val="auto"/>
          <w:highlight w:val="none"/>
        </w:rPr>
        <w:t>内蒙古多伦工业园区管理委员会2019年6月委托浙江大学城乡规划设计研究院有限公司编制《内蒙古多伦工业化园区总体规划（2019-2035）》。根据新版规划，规划期限调整为：2019年-2035年。内蒙古多伦工业园区总体规划包括高新产业园、化工新材料循环产业园、大河口特色产业园三个园区，形成“一区三园”的整体格局，规划园区总用地规模为 40.9km</w:t>
      </w:r>
      <w:r>
        <w:rPr>
          <w:rFonts w:hint="eastAsia"/>
          <w:color w:val="auto"/>
          <w:highlight w:val="none"/>
          <w:vertAlign w:val="superscript"/>
        </w:rPr>
        <w:t>2</w:t>
      </w:r>
      <w:r>
        <w:rPr>
          <w:rFonts w:hint="eastAsia"/>
          <w:color w:val="auto"/>
          <w:highlight w:val="none"/>
        </w:rPr>
        <w:t>。内蒙古多伦工业园区定位为：以煤制烯烃循环产业、绿色制造产业、现代农业三产融合产业和晶体纤维新材料产业为主导，力争把多伦工业园区打造为生态环境优美、产业集聚发展、生产安全环保的自治区级工业园区和京津冀承接产业转移示范区、产城融合示范区。2020 年 5 月 9 日取得内蒙古自治区生态环境厅关于转发《内蒙古多伦工业化园区总体规划（2019-2035）环境影响报告书》审查意见的函（内环函[2020]219号）。</w:t>
      </w:r>
    </w:p>
    <w:p w14:paraId="337339A4">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left"/>
        <w:textAlignment w:val="auto"/>
        <w:rPr>
          <w:rFonts w:hint="eastAsia"/>
          <w:color w:val="auto"/>
          <w:highlight w:val="none"/>
          <w:u w:val="none"/>
          <w:lang w:val="en-US" w:eastAsia="zh-CN"/>
        </w:rPr>
      </w:pPr>
      <w:r>
        <w:rPr>
          <w:rFonts w:hint="eastAsia"/>
          <w:color w:val="auto"/>
          <w:highlight w:val="none"/>
          <w:u w:val="none"/>
        </w:rPr>
        <w:t>《内蒙古多伦工业化园区总体规划（2019-2035）环境影响报告书》</w:t>
      </w:r>
      <w:r>
        <w:rPr>
          <w:rFonts w:hint="eastAsia"/>
          <w:color w:val="auto"/>
          <w:highlight w:val="none"/>
          <w:u w:val="none"/>
          <w:lang w:val="en-US" w:eastAsia="zh-CN"/>
        </w:rPr>
        <w:t>及审查意见提出：</w:t>
      </w:r>
    </w:p>
    <w:p w14:paraId="352C36A4">
      <w:pPr>
        <w:keepNext w:val="0"/>
        <w:keepLines w:val="0"/>
        <w:pageBreakBefore w:val="0"/>
        <w:widowControl/>
        <w:suppressLineNumbers w:val="0"/>
        <w:kinsoku/>
        <w:wordWrap/>
        <w:overflowPunct/>
        <w:topLinePunct w:val="0"/>
        <w:autoSpaceDE/>
        <w:autoSpaceDN/>
        <w:bidi w:val="0"/>
        <w:adjustRightInd/>
        <w:snapToGrid/>
        <w:ind w:left="0" w:leftChars="0" w:firstLine="482" w:firstLineChars="200"/>
        <w:jc w:val="left"/>
        <w:textAlignment w:val="auto"/>
        <w:rPr>
          <w:rFonts w:hint="eastAsia"/>
          <w:b/>
          <w:bCs/>
          <w:color w:val="auto"/>
          <w:highlight w:val="none"/>
          <w:u w:val="none"/>
          <w:lang w:val="en-US" w:eastAsia="zh-CN"/>
        </w:rPr>
      </w:pPr>
      <w:r>
        <w:rPr>
          <w:rFonts w:hint="eastAsia"/>
          <w:b/>
          <w:bCs/>
          <w:color w:val="auto"/>
          <w:highlight w:val="none"/>
          <w:u w:val="none"/>
          <w:lang w:val="en-US" w:eastAsia="zh-CN"/>
        </w:rPr>
        <w:t>现状及规划存在的问题中：氟化工项目（</w:t>
      </w:r>
      <w:r>
        <w:rPr>
          <w:rFonts w:hint="eastAsia"/>
          <w:b/>
          <w:bCs/>
          <w:color w:val="auto"/>
          <w:highlight w:val="none"/>
          <w:u w:val="single"/>
          <w:lang w:val="en-US" w:eastAsia="zh-CN"/>
        </w:rPr>
        <w:t>已批复建成的内蒙古晶鼎聚龙化工有限公司氢氟酸项目</w:t>
      </w:r>
      <w:r>
        <w:rPr>
          <w:rFonts w:hint="eastAsia"/>
          <w:b/>
          <w:bCs/>
          <w:color w:val="auto"/>
          <w:highlight w:val="none"/>
          <w:u w:val="none"/>
          <w:lang w:val="en-US" w:eastAsia="zh-CN"/>
        </w:rPr>
        <w:t>）位于化工新材料产业园的晶体纤维产业板块，不符合本次规划产业定位、产业布局；</w:t>
      </w:r>
    </w:p>
    <w:p w14:paraId="0DA90E29">
      <w:pPr>
        <w:keepNext w:val="0"/>
        <w:keepLines w:val="0"/>
        <w:pageBreakBefore w:val="0"/>
        <w:widowControl/>
        <w:suppressLineNumbers w:val="0"/>
        <w:kinsoku/>
        <w:wordWrap/>
        <w:overflowPunct/>
        <w:topLinePunct w:val="0"/>
        <w:autoSpaceDE/>
        <w:autoSpaceDN/>
        <w:bidi w:val="0"/>
        <w:adjustRightInd/>
        <w:snapToGrid/>
        <w:ind w:left="0" w:leftChars="0" w:firstLine="482" w:firstLineChars="200"/>
        <w:jc w:val="left"/>
        <w:textAlignment w:val="auto"/>
        <w:rPr>
          <w:rFonts w:hint="eastAsia"/>
          <w:b/>
          <w:bCs/>
          <w:color w:val="auto"/>
          <w:highlight w:val="none"/>
          <w:u w:val="none"/>
          <w:lang w:val="en-US" w:eastAsia="zh-CN"/>
        </w:rPr>
      </w:pPr>
      <w:r>
        <w:rPr>
          <w:rFonts w:hint="eastAsia"/>
          <w:b/>
          <w:bCs/>
          <w:color w:val="auto"/>
          <w:highlight w:val="none"/>
          <w:u w:val="none"/>
          <w:lang w:val="en-US" w:eastAsia="zh-CN"/>
        </w:rPr>
        <w:t>优化调整意见及说明：建议保留《内蒙古晶鼎聚龙化工有限公司氢氟酸项目》，如在原厂区技改、扩建应做到增产不增污，及时与园区基础设施相衔接，不断提高环境管理水平更新环保治理措施，进一步减少污染物排放。</w:t>
      </w:r>
    </w:p>
    <w:p w14:paraId="499AB082">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both"/>
        <w:textAlignment w:val="auto"/>
        <w:rPr>
          <w:rFonts w:hint="eastAsia"/>
          <w:color w:val="auto"/>
          <w:highlight w:val="none"/>
        </w:rPr>
      </w:pPr>
      <w:r>
        <w:rPr>
          <w:rFonts w:hint="eastAsia"/>
          <w:color w:val="auto"/>
          <w:highlight w:val="none"/>
        </w:rPr>
        <w:t>2022年2月25日内蒙古自治区工业和信息化厅发布《关于印发实施〈内蒙古自治区开发区审核公告目录〉的通知》，内蒙古多伦工业化园区更名为内蒙古锡林郭勒多伦经济开发区。目前正在编制《锡林郭勒多伦经济开发区国土空间总体规划（2023-2035）》 和《锡林郭勒多伦经济开发区国土空间总体规划（2023-2035）环境影响报告书》。主要对主导产业、产业布局</w:t>
      </w:r>
      <w:r>
        <w:rPr>
          <w:rFonts w:hint="eastAsia"/>
          <w:color w:val="auto"/>
          <w:highlight w:val="none"/>
          <w:lang w:eastAsia="zh-CN"/>
        </w:rPr>
        <w:t>、</w:t>
      </w:r>
      <w:r>
        <w:rPr>
          <w:rFonts w:hint="eastAsia"/>
          <w:color w:val="auto"/>
          <w:highlight w:val="none"/>
        </w:rPr>
        <w:t>园区规模进行调整。根据正在修编的规划，规划期限调整为：2023年-2035年。内蒙古锡林郭勒多伦经济开发区总体规划包括</w:t>
      </w:r>
      <w:r>
        <w:rPr>
          <w:rFonts w:hint="eastAsia"/>
          <w:color w:val="auto"/>
          <w:highlight w:val="none"/>
          <w:lang w:eastAsia="zh-CN"/>
        </w:rPr>
        <w:t>：</w:t>
      </w:r>
      <w:r>
        <w:rPr>
          <w:rFonts w:hint="eastAsia"/>
          <w:color w:val="auto"/>
          <w:highlight w:val="none"/>
        </w:rPr>
        <w:t>高新产业园、化工新材料循环产业园、大河口特色产业园三个园区，形成“一区三园六板块”的整体格局。六板块为：高新制造产业板块、化工循环产业板块、新能源产业板块、公铁联运物流板块、</w:t>
      </w:r>
      <w:r>
        <w:rPr>
          <w:rFonts w:hint="eastAsia"/>
          <w:color w:val="auto"/>
          <w:highlight w:val="none"/>
          <w:lang w:val="en-US" w:eastAsia="zh-CN"/>
        </w:rPr>
        <w:t>冶金及</w:t>
      </w:r>
      <w:r>
        <w:rPr>
          <w:rFonts w:hint="eastAsia"/>
          <w:color w:val="auto"/>
          <w:highlight w:val="none"/>
        </w:rPr>
        <w:t>新材料产业板块、农畜加工产业板块。</w:t>
      </w:r>
    </w:p>
    <w:p w14:paraId="799CAA9B">
      <w:pPr>
        <w:keepNext w:val="0"/>
        <w:keepLines w:val="0"/>
        <w:widowControl/>
        <w:suppressLineNumbers w:val="0"/>
        <w:jc w:val="left"/>
        <w:rPr>
          <w:rFonts w:hint="eastAsia"/>
          <w:b/>
          <w:bCs/>
          <w:color w:val="auto"/>
          <w:highlight w:val="none"/>
          <w:u w:val="none"/>
          <w:lang w:val="en-US" w:eastAsia="zh-CN"/>
        </w:rPr>
      </w:pPr>
      <w:r>
        <w:rPr>
          <w:rFonts w:hint="eastAsia"/>
          <w:b/>
          <w:bCs/>
          <w:color w:val="auto"/>
          <w:highlight w:val="none"/>
          <w:u w:val="none"/>
          <w:lang w:val="en-US" w:eastAsia="zh-CN"/>
        </w:rPr>
        <w:t>本轮规划调整内容：上一轮规划建议保留氟化工项目，但该企业因原料供应问题现停产状态。本轮（</w:t>
      </w:r>
      <w:r>
        <w:rPr>
          <w:rFonts w:hint="eastAsia"/>
          <w:b/>
          <w:bCs/>
          <w:color w:val="auto"/>
          <w:highlight w:val="none"/>
          <w:u w:val="none"/>
        </w:rPr>
        <w:t>2023年-2035年</w:t>
      </w:r>
      <w:r>
        <w:rPr>
          <w:rFonts w:hint="eastAsia"/>
          <w:b/>
          <w:bCs/>
          <w:color w:val="auto"/>
          <w:highlight w:val="none"/>
          <w:u w:val="none"/>
          <w:lang w:val="en-US" w:eastAsia="zh-CN"/>
        </w:rPr>
        <w:t>）规划优化调整产业布局，将氟化工项目划入“冶金及新材料产业板块”，冶金及新材料产业板块产业定位</w:t>
      </w:r>
      <w:r>
        <w:rPr>
          <w:rFonts w:ascii="瀹嬩綋" w:hAnsi="瀹嬩綋" w:eastAsia="瀹嬩綋" w:cs="瀹嬩綋"/>
          <w:b/>
          <w:bCs/>
          <w:color w:val="auto"/>
          <w:kern w:val="0"/>
          <w:sz w:val="24"/>
          <w:szCs w:val="24"/>
          <w:highlight w:val="none"/>
          <w:lang w:val="en-US" w:eastAsia="zh-CN" w:bidi="ar"/>
        </w:rPr>
        <w:t>重点发展高分子化</w:t>
      </w:r>
      <w:r>
        <w:rPr>
          <w:rFonts w:hint="default" w:ascii="瀹嬩綋" w:hAnsi="瀹嬩綋" w:eastAsia="瀹嬩綋" w:cs="瀹嬩綋"/>
          <w:b/>
          <w:bCs/>
          <w:color w:val="auto"/>
          <w:kern w:val="0"/>
          <w:sz w:val="24"/>
          <w:szCs w:val="24"/>
          <w:highlight w:val="none"/>
          <w:lang w:val="en-US" w:eastAsia="zh-CN" w:bidi="ar"/>
        </w:rPr>
        <w:t>工材料、氟化工及材料、数字信息化学品、专用化学品等产业项目</w:t>
      </w:r>
      <w:r>
        <w:rPr>
          <w:rFonts w:hint="eastAsia" w:ascii="瀹嬩綋" w:hAnsi="瀹嬩綋" w:eastAsia="瀹嬩綋" w:cs="瀹嬩綋"/>
          <w:b/>
          <w:bCs/>
          <w:color w:val="auto"/>
          <w:kern w:val="0"/>
          <w:sz w:val="24"/>
          <w:szCs w:val="24"/>
          <w:highlight w:val="none"/>
          <w:lang w:val="en-US" w:eastAsia="zh-CN" w:bidi="ar"/>
        </w:rPr>
        <w:t>，</w:t>
      </w:r>
      <w:r>
        <w:rPr>
          <w:rFonts w:hint="eastAsia"/>
          <w:b/>
          <w:bCs/>
          <w:color w:val="auto"/>
          <w:highlight w:val="none"/>
          <w:u w:val="none"/>
          <w:lang w:val="en-US" w:eastAsia="zh-CN"/>
        </w:rPr>
        <w:t>规划布局电子级氟化工新材料项目，延长产业链。</w:t>
      </w:r>
    </w:p>
    <w:p w14:paraId="0DA09218">
      <w:pPr>
        <w:spacing w:line="440" w:lineRule="exact"/>
        <w:ind w:firstLine="480"/>
        <w:rPr>
          <w:rFonts w:hint="default"/>
          <w:color w:val="auto"/>
          <w:highlight w:val="none"/>
          <w:lang w:val="en-US" w:eastAsia="zh-CN"/>
        </w:rPr>
      </w:pPr>
      <w:r>
        <w:rPr>
          <w:rFonts w:hint="eastAsia"/>
          <w:color w:val="auto"/>
          <w:highlight w:val="none"/>
          <w:lang w:val="en-US" w:eastAsia="zh-CN"/>
        </w:rPr>
        <w:t>多伦县人民政府为解决现已建成氟化工项目复产，特招商引进本企业建设多伦县捷百顺新材料有限责任公司年处理30万吨萤石选矿项目，属于“</w:t>
      </w:r>
      <w:r>
        <w:rPr>
          <w:rFonts w:ascii="Times New Roman" w:eastAsia="Calibri" w:cs="Times New Roman"/>
          <w:color w:val="auto"/>
          <w:highlight w:val="none"/>
        </w:rPr>
        <w:t>非金属矿采选</w:t>
      </w:r>
      <w:r>
        <w:rPr>
          <w:rFonts w:hint="eastAsia"/>
          <w:color w:val="auto"/>
          <w:highlight w:val="none"/>
          <w:lang w:val="en-US" w:eastAsia="zh-CN"/>
        </w:rPr>
        <w:t>”行业，主要生产萤石精矿粉，供内蒙古晶鼎聚龙化工有限公司做氢氟酸生产原料，延长氟化工产业链，可盘活因原料供应问题停产的氢氟酸生产项目。本项目选址距内蒙古晶鼎聚龙化工有限公司厂区1.2km，并且园区内运输道路已覆盖两个公司厂区，满足萤石粉供应运输条件。</w:t>
      </w:r>
    </w:p>
    <w:p w14:paraId="2A7397CF">
      <w:pPr>
        <w:spacing w:line="440" w:lineRule="exact"/>
        <w:ind w:firstLine="480"/>
        <w:rPr>
          <w:rFonts w:hint="eastAsia"/>
          <w:color w:val="auto"/>
          <w:highlight w:val="none"/>
          <w:lang w:val="en-US" w:eastAsia="zh-CN"/>
        </w:rPr>
      </w:pPr>
      <w:r>
        <w:rPr>
          <w:rFonts w:hint="eastAsia"/>
          <w:color w:val="auto"/>
          <w:highlight w:val="none"/>
          <w:lang w:val="en-US" w:eastAsia="zh-CN"/>
        </w:rPr>
        <w:t>本项目厂区布置</w:t>
      </w:r>
      <w:r>
        <w:rPr>
          <w:rFonts w:hint="eastAsia"/>
          <w:b w:val="0"/>
          <w:bCs w:val="0"/>
          <w:color w:val="auto"/>
          <w:highlight w:val="none"/>
          <w:u w:val="none"/>
          <w:lang w:val="en-US" w:eastAsia="zh-CN"/>
        </w:rPr>
        <w:t>“冶金及新材料产业板块”内，</w:t>
      </w:r>
      <w:r>
        <w:rPr>
          <w:rFonts w:hint="eastAsia"/>
          <w:color w:val="auto"/>
          <w:highlight w:val="none"/>
          <w:lang w:val="en-US" w:eastAsia="zh-CN"/>
        </w:rPr>
        <w:t>租赁多伦县隆盛新型建材有限公司盟东水泥厂院内闲置土地，用地性质为“工业用地”。</w:t>
      </w:r>
    </w:p>
    <w:p w14:paraId="582CFEB5">
      <w:pPr>
        <w:spacing w:line="440" w:lineRule="exact"/>
        <w:ind w:firstLine="480"/>
        <w:rPr>
          <w:rFonts w:hint="eastAsia"/>
          <w:color w:val="auto"/>
          <w:highlight w:val="none"/>
          <w:lang w:val="en-US" w:eastAsia="zh-CN"/>
        </w:rPr>
      </w:pPr>
      <w:r>
        <w:rPr>
          <w:rFonts w:hint="eastAsia"/>
          <w:color w:val="auto"/>
          <w:highlight w:val="none"/>
          <w:lang w:val="en-US" w:eastAsia="zh-CN"/>
        </w:rPr>
        <w:t>综上所述，本项目符合园区产业布局和定位要求。本项目选址与</w:t>
      </w:r>
      <w:r>
        <w:rPr>
          <w:rFonts w:hint="eastAsia"/>
          <w:color w:val="auto"/>
          <w:highlight w:val="none"/>
        </w:rPr>
        <w:t>内蒙古锡林郭勒多伦经济开发区</w:t>
      </w:r>
      <w:r>
        <w:rPr>
          <w:rFonts w:hint="eastAsia"/>
          <w:color w:val="auto"/>
          <w:highlight w:val="none"/>
          <w:lang w:val="en-US" w:eastAsia="zh-CN"/>
        </w:rPr>
        <w:t>产业布局关系见图1.3-1。</w:t>
      </w:r>
    </w:p>
    <w:p w14:paraId="683BF77F">
      <w:pPr>
        <w:rPr>
          <w:color w:val="auto"/>
          <w:highlight w:val="none"/>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linePitch="326" w:charSpace="0"/>
        </w:sectPr>
      </w:pPr>
    </w:p>
    <w:p w14:paraId="612CD89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7503160" cy="4916170"/>
            <wp:effectExtent l="0" t="0" r="2540" b="17780"/>
            <wp:docPr id="3" name="图片 33" descr="产业规划布局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3" descr="产业规划布局位置关系图"/>
                    <pic:cNvPicPr>
                      <a:picLocks noChangeAspect="1"/>
                    </pic:cNvPicPr>
                  </pic:nvPicPr>
                  <pic:blipFill>
                    <a:blip r:embed="rId27"/>
                    <a:stretch>
                      <a:fillRect/>
                    </a:stretch>
                  </pic:blipFill>
                  <pic:spPr>
                    <a:xfrm>
                      <a:off x="0" y="0"/>
                      <a:ext cx="7503160" cy="4916170"/>
                    </a:xfrm>
                    <a:prstGeom prst="rect">
                      <a:avLst/>
                    </a:prstGeom>
                    <a:noFill/>
                    <a:ln>
                      <a:noFill/>
                    </a:ln>
                  </pic:spPr>
                </pic:pic>
              </a:graphicData>
            </a:graphic>
          </wp:inline>
        </w:drawing>
      </w:r>
    </w:p>
    <w:p w14:paraId="15F0249A">
      <w:pPr>
        <w:ind w:firstLine="482"/>
        <w:jc w:val="center"/>
        <w:rPr>
          <w:b/>
          <w:bCs/>
          <w:color w:val="auto"/>
          <w:highlight w:val="none"/>
        </w:rPr>
        <w:sectPr>
          <w:headerReference r:id="rId14"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linePitch="326" w:charSpace="0"/>
        </w:sectPr>
      </w:pPr>
      <w:r>
        <w:rPr>
          <w:rFonts w:hint="eastAsia"/>
          <w:b/>
          <w:bCs/>
          <w:color w:val="auto"/>
          <w:highlight w:val="none"/>
        </w:rPr>
        <w:t xml:space="preserve">图1.3-1  </w:t>
      </w:r>
      <w:r>
        <w:rPr>
          <w:rFonts w:hint="eastAsia"/>
          <w:b/>
          <w:bCs/>
          <w:color w:val="auto"/>
          <w:highlight w:val="none"/>
          <w:lang w:val="en-US" w:eastAsia="zh-CN"/>
        </w:rPr>
        <w:t>项目选址与产业布局关系</w:t>
      </w:r>
      <w:r>
        <w:rPr>
          <w:rFonts w:hint="eastAsia"/>
          <w:b/>
          <w:bCs/>
          <w:color w:val="auto"/>
          <w:highlight w:val="none"/>
        </w:rPr>
        <w:t>图</w:t>
      </w:r>
    </w:p>
    <w:p w14:paraId="18AC8AF4">
      <w:pPr>
        <w:pStyle w:val="5"/>
        <w:rPr>
          <w:color w:val="auto"/>
          <w:highlight w:val="none"/>
        </w:rPr>
      </w:pPr>
      <w:bookmarkStart w:id="17" w:name="_Toc24447050"/>
      <w:r>
        <w:rPr>
          <w:rFonts w:hint="eastAsia"/>
          <w:color w:val="auto"/>
          <w:highlight w:val="none"/>
          <w:lang w:val="en-US" w:eastAsia="zh-CN"/>
        </w:rPr>
        <w:t>与</w:t>
      </w:r>
      <w:r>
        <w:rPr>
          <w:rFonts w:hint="eastAsia"/>
          <w:color w:val="auto"/>
          <w:highlight w:val="none"/>
        </w:rPr>
        <w:t>“三线一单”</w:t>
      </w:r>
      <w:r>
        <w:rPr>
          <w:rFonts w:hint="eastAsia"/>
          <w:color w:val="auto"/>
          <w:highlight w:val="none"/>
          <w:lang w:val="en-US" w:eastAsia="zh-CN"/>
        </w:rPr>
        <w:t>管控</w:t>
      </w:r>
      <w:r>
        <w:rPr>
          <w:rFonts w:hint="eastAsia"/>
          <w:color w:val="auto"/>
          <w:highlight w:val="none"/>
        </w:rPr>
        <w:t>要求符合性分析</w:t>
      </w:r>
      <w:bookmarkEnd w:id="17"/>
    </w:p>
    <w:p w14:paraId="7E0FA052">
      <w:pPr>
        <w:ind w:firstLine="480"/>
        <w:rPr>
          <w:rFonts w:hint="eastAsia"/>
          <w:color w:val="auto"/>
          <w:highlight w:val="none"/>
        </w:rPr>
      </w:pPr>
      <w:r>
        <w:rPr>
          <w:rFonts w:hint="eastAsia"/>
          <w:color w:val="auto"/>
          <w:highlight w:val="none"/>
        </w:rPr>
        <w:t>本次评价根据《锡林郭勒盟生态环境保护委员会办公室关于印发锡林郭勒盟“三线一单”生态环境分区管控意见修改单和锡林郭勒盟生态环境准入清单的通知》（锡环委办发〔2024〕1号）对园区与锡林郭勒盟“三线一单”符合性进行分析。</w:t>
      </w:r>
    </w:p>
    <w:p w14:paraId="386C51F2">
      <w:pPr>
        <w:ind w:firstLine="480"/>
        <w:rPr>
          <w:rFonts w:hint="eastAsia"/>
          <w:b/>
          <w:bCs/>
          <w:color w:val="auto"/>
          <w:highlight w:val="none"/>
        </w:rPr>
      </w:pPr>
      <w:r>
        <w:rPr>
          <w:rFonts w:hint="eastAsia"/>
          <w:b/>
          <w:bCs/>
          <w:color w:val="auto"/>
          <w:highlight w:val="none"/>
        </w:rPr>
        <w:t>1、生态保护红线</w:t>
      </w:r>
    </w:p>
    <w:p w14:paraId="7418F8B6">
      <w:pPr>
        <w:ind w:firstLine="480"/>
        <w:rPr>
          <w:rFonts w:hint="eastAsia"/>
          <w:color w:val="auto"/>
          <w:highlight w:val="none"/>
        </w:rPr>
      </w:pPr>
      <w:r>
        <w:rPr>
          <w:rFonts w:hint="eastAsia"/>
          <w:color w:val="auto"/>
          <w:highlight w:val="none"/>
        </w:rPr>
        <w:t>根据通知，划定了优先保护单元、重点管控单元、一般管控单元，其中优先保护单元包括生态保护红线和一般生态空间。</w:t>
      </w:r>
      <w:r>
        <w:rPr>
          <w:rFonts w:hint="eastAsia"/>
          <w:color w:val="auto"/>
          <w:highlight w:val="none"/>
          <w:lang w:val="en-US" w:eastAsia="zh-CN"/>
        </w:rPr>
        <w:t>“全盟生态保护红线面积130035.53平方千米，占全盟总面积的 64.18%；一般生态空间面积25055.07 平方千米，占全盟总面积的12.37%”修改为“全盟生态保护红线面积130034.46平方千米，占全盟总面积的64.17%；一般生态空间面积25142.87平方千米，占全盟总面积的12.41%”。</w:t>
      </w:r>
    </w:p>
    <w:p w14:paraId="05E06B0E">
      <w:pPr>
        <w:ind w:firstLine="480"/>
        <w:rPr>
          <w:rFonts w:hint="default" w:eastAsia="宋体"/>
          <w:color w:val="auto"/>
          <w:highlight w:val="none"/>
          <w:lang w:val="en-US" w:eastAsia="zh-CN"/>
        </w:rPr>
      </w:pPr>
      <w:r>
        <w:rPr>
          <w:rFonts w:hint="eastAsia"/>
          <w:color w:val="auto"/>
          <w:highlight w:val="none"/>
        </w:rPr>
        <w:t>本项目</w:t>
      </w:r>
      <w:r>
        <w:rPr>
          <w:rFonts w:hint="eastAsia"/>
          <w:color w:val="auto"/>
          <w:highlight w:val="none"/>
          <w:lang w:val="en-US" w:eastAsia="zh-CN"/>
        </w:rPr>
        <w:t>选址</w:t>
      </w:r>
      <w:r>
        <w:rPr>
          <w:rFonts w:hint="eastAsia"/>
          <w:color w:val="auto"/>
          <w:highlight w:val="none"/>
        </w:rPr>
        <w:t>位于内蒙古锡林郭勒多伦经济开发区</w:t>
      </w:r>
      <w:r>
        <w:rPr>
          <w:rFonts w:hint="eastAsia"/>
          <w:color w:val="auto"/>
          <w:highlight w:val="none"/>
          <w:lang w:val="en-US" w:eastAsia="zh-CN"/>
        </w:rPr>
        <w:t>内</w:t>
      </w:r>
      <w:r>
        <w:rPr>
          <w:rFonts w:hint="eastAsia"/>
          <w:color w:val="auto"/>
          <w:highlight w:val="none"/>
        </w:rPr>
        <w:t>。根据环境管控单元图对照，本园区位于内蒙古锡林郭勒多伦经济开发区管控单元，属于重点管控单元，单元编码：</w:t>
      </w:r>
      <w:r>
        <w:rPr>
          <w:rFonts w:hint="eastAsia"/>
          <w:color w:val="auto"/>
          <w:highlight w:val="none"/>
          <w:u w:val="single"/>
        </w:rPr>
        <w:t>ZH15253120004</w:t>
      </w:r>
      <w:r>
        <w:rPr>
          <w:rFonts w:hint="eastAsia"/>
          <w:color w:val="auto"/>
          <w:highlight w:val="none"/>
        </w:rPr>
        <w:t>。</w:t>
      </w:r>
      <w:r>
        <w:rPr>
          <w:rFonts w:hint="eastAsia"/>
          <w:color w:val="auto"/>
          <w:highlight w:val="none"/>
          <w:lang w:val="en-US" w:eastAsia="zh-CN"/>
        </w:rPr>
        <w:t>本项目选址</w:t>
      </w:r>
      <w:r>
        <w:rPr>
          <w:rFonts w:hint="eastAsia"/>
          <w:color w:val="auto"/>
          <w:highlight w:val="none"/>
        </w:rPr>
        <w:t>不在国家公园、自然保护区、饮用水水源保护区、风景名胜区、文物古迹、永久基本农田、自然公园等需要特殊保护的生态红线</w:t>
      </w:r>
      <w:r>
        <w:rPr>
          <w:rFonts w:hint="eastAsia"/>
          <w:color w:val="auto"/>
          <w:highlight w:val="none"/>
          <w:lang w:val="en-US" w:eastAsia="zh-CN"/>
        </w:rPr>
        <w:t>范围</w:t>
      </w:r>
      <w:r>
        <w:rPr>
          <w:rFonts w:hint="eastAsia"/>
          <w:color w:val="auto"/>
          <w:highlight w:val="none"/>
        </w:rPr>
        <w:t>内。</w:t>
      </w:r>
      <w:r>
        <w:rPr>
          <w:rFonts w:hint="eastAsia"/>
          <w:color w:val="auto"/>
          <w:highlight w:val="none"/>
          <w:lang w:val="en-US" w:eastAsia="zh-CN"/>
        </w:rPr>
        <w:t>本项目与“三线一单”管控区划分位置关系见图1.3-2。</w:t>
      </w:r>
    </w:p>
    <w:p w14:paraId="29360B2F">
      <w:pPr>
        <w:ind w:firstLine="480"/>
        <w:rPr>
          <w:rFonts w:hint="eastAsia"/>
          <w:color w:val="auto"/>
          <w:highlight w:val="none"/>
        </w:rPr>
      </w:pPr>
      <w:r>
        <w:rPr>
          <w:rFonts w:hint="eastAsia"/>
          <w:color w:val="auto"/>
          <w:highlight w:val="none"/>
        </w:rPr>
        <w:t>综合以上分析，</w:t>
      </w:r>
      <w:r>
        <w:rPr>
          <w:rFonts w:hint="eastAsia"/>
          <w:color w:val="auto"/>
          <w:highlight w:val="none"/>
          <w:lang w:val="en-US" w:eastAsia="zh-CN"/>
        </w:rPr>
        <w:t>本项目</w:t>
      </w:r>
      <w:r>
        <w:rPr>
          <w:rFonts w:hint="eastAsia"/>
          <w:color w:val="auto"/>
          <w:highlight w:val="none"/>
        </w:rPr>
        <w:t>符合生态保护红线要求。</w:t>
      </w:r>
    </w:p>
    <w:p w14:paraId="16F5DFF4">
      <w:pPr>
        <w:ind w:firstLine="480"/>
        <w:rPr>
          <w:rFonts w:hint="eastAsia"/>
          <w:b/>
          <w:bCs/>
          <w:color w:val="auto"/>
          <w:highlight w:val="none"/>
        </w:rPr>
      </w:pPr>
      <w:r>
        <w:rPr>
          <w:rFonts w:hint="eastAsia"/>
          <w:b/>
          <w:bCs/>
          <w:color w:val="auto"/>
          <w:highlight w:val="none"/>
        </w:rPr>
        <w:t>2、环境质量底线</w:t>
      </w:r>
    </w:p>
    <w:p w14:paraId="0BA40C20">
      <w:pPr>
        <w:ind w:firstLine="480"/>
        <w:rPr>
          <w:rFonts w:hint="eastAsia"/>
          <w:color w:val="auto"/>
          <w:highlight w:val="none"/>
        </w:rPr>
      </w:pPr>
      <w:r>
        <w:rPr>
          <w:rFonts w:hint="eastAsia"/>
          <w:color w:val="auto"/>
          <w:highlight w:val="none"/>
        </w:rPr>
        <w:t>根据锡林郭勒盟2023年空气质量监测数据，SO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、CO、O</w:t>
      </w:r>
      <w:r>
        <w:rPr>
          <w:rFonts w:hint="eastAsia"/>
          <w:color w:val="auto"/>
          <w:highlight w:val="none"/>
          <w:vertAlign w:val="subscript"/>
        </w:rPr>
        <w:t>3</w:t>
      </w:r>
      <w:r>
        <w:rPr>
          <w:rFonts w:hint="eastAsia"/>
          <w:color w:val="auto"/>
          <w:highlight w:val="none"/>
        </w:rPr>
        <w:t>、PM</w:t>
      </w:r>
      <w:r>
        <w:rPr>
          <w:rFonts w:hint="eastAsia"/>
          <w:color w:val="auto"/>
          <w:highlight w:val="none"/>
          <w:vertAlign w:val="subscript"/>
        </w:rPr>
        <w:t>10</w:t>
      </w:r>
      <w:r>
        <w:rPr>
          <w:rFonts w:hint="eastAsia"/>
          <w:color w:val="auto"/>
          <w:highlight w:val="none"/>
        </w:rPr>
        <w:t>和PM</w:t>
      </w:r>
      <w:r>
        <w:rPr>
          <w:rFonts w:hint="eastAsia"/>
          <w:color w:val="auto"/>
          <w:highlight w:val="none"/>
          <w:vertAlign w:val="subscript"/>
        </w:rPr>
        <w:t>2.5</w:t>
      </w:r>
      <w:r>
        <w:rPr>
          <w:rFonts w:hint="eastAsia"/>
          <w:color w:val="auto"/>
          <w:highlight w:val="none"/>
        </w:rPr>
        <w:t>满足《环境空气质量标准》（GB3095-2012）中二级标准限值，锡林郭勒盟为达标区。对本项目所在地环境质量现状补充监测可知，本项目所在地TSP浓度达标，声环境质量达标。</w:t>
      </w:r>
      <w:r>
        <w:rPr>
          <w:rFonts w:hint="eastAsia"/>
          <w:color w:val="auto"/>
          <w:highlight w:val="none"/>
          <w:lang w:val="en-US" w:eastAsia="zh-CN"/>
        </w:rPr>
        <w:t>根据地下水质量现状补充监测可知，</w:t>
      </w:r>
      <w:r>
        <w:rPr>
          <w:rFonts w:hint="eastAsia"/>
          <w:color w:val="auto"/>
          <w:highlight w:val="none"/>
        </w:rPr>
        <w:t>各监测点的评价区</w:t>
      </w:r>
      <w:r>
        <w:rPr>
          <w:rFonts w:hint="eastAsia"/>
          <w:color w:val="auto"/>
          <w:highlight w:val="none"/>
          <w:lang w:val="en-US" w:eastAsia="zh-CN"/>
        </w:rPr>
        <w:t>所有</w:t>
      </w:r>
      <w:r>
        <w:rPr>
          <w:rFonts w:hint="eastAsia"/>
          <w:color w:val="auto"/>
          <w:highlight w:val="none"/>
        </w:rPr>
        <w:t>监测因子</w:t>
      </w:r>
      <w:r>
        <w:rPr>
          <w:rFonts w:hint="eastAsia"/>
          <w:color w:val="auto"/>
          <w:highlight w:val="none"/>
          <w:lang w:val="en-US" w:eastAsia="zh-CN"/>
        </w:rPr>
        <w:t>中钠离子有超标现象，钠离子超标是因区域地质条件造成，其他因子</w:t>
      </w:r>
      <w:r>
        <w:rPr>
          <w:rFonts w:hint="eastAsia"/>
          <w:color w:val="auto"/>
          <w:highlight w:val="none"/>
        </w:rPr>
        <w:t>均达到《地下水环境质量标准》（GB/T14848—2017）Ⅲ类标准要求，区域地下水总体良好。对本项目</w:t>
      </w:r>
      <w:r>
        <w:rPr>
          <w:rFonts w:hint="eastAsia"/>
          <w:color w:val="auto"/>
          <w:highlight w:val="none"/>
          <w:lang w:val="en-US" w:eastAsia="zh-CN"/>
        </w:rPr>
        <w:t>场地土壤</w:t>
      </w:r>
      <w:r>
        <w:rPr>
          <w:rFonts w:hint="eastAsia"/>
          <w:color w:val="auto"/>
          <w:highlight w:val="none"/>
        </w:rPr>
        <w:t>质量现状补充监测可知，</w:t>
      </w:r>
      <w:r>
        <w:rPr>
          <w:rFonts w:hint="eastAsia"/>
          <w:color w:val="auto"/>
          <w:highlight w:val="none"/>
          <w:lang w:val="en-US" w:eastAsia="zh-CN"/>
        </w:rPr>
        <w:t>本项目场地</w:t>
      </w:r>
      <w:r>
        <w:rPr>
          <w:rFonts w:hint="eastAsia"/>
          <w:color w:val="auto"/>
          <w:highlight w:val="none"/>
        </w:rPr>
        <w:t>土壤环境质量</w:t>
      </w:r>
      <w:r>
        <w:rPr>
          <w:rFonts w:hint="eastAsia"/>
          <w:color w:val="auto"/>
          <w:highlight w:val="none"/>
          <w:lang w:val="en-US" w:eastAsia="zh-CN"/>
        </w:rPr>
        <w:t>各项因子满足</w:t>
      </w:r>
      <w:r>
        <w:rPr>
          <w:rFonts w:hint="eastAsia"/>
          <w:color w:val="auto"/>
          <w:highlight w:val="none"/>
        </w:rPr>
        <w:t>《土壤环境质量</w:t>
      </w:r>
      <w:r>
        <w:rPr>
          <w:color w:val="auto"/>
          <w:highlight w:val="none"/>
        </w:rPr>
        <w:t>—</w:t>
      </w:r>
      <w:r>
        <w:rPr>
          <w:rFonts w:hint="eastAsia"/>
          <w:color w:val="auto"/>
          <w:highlight w:val="none"/>
        </w:rPr>
        <w:t>建设用地土壤污染风险管控标准（试行）》（</w:t>
      </w:r>
      <w:r>
        <w:rPr>
          <w:color w:val="auto"/>
          <w:highlight w:val="none"/>
        </w:rPr>
        <w:t>GB36600-2018</w:t>
      </w:r>
      <w:r>
        <w:rPr>
          <w:rFonts w:hint="eastAsia"/>
          <w:color w:val="auto"/>
          <w:highlight w:val="none"/>
        </w:rPr>
        <w:t>）第二类用地</w:t>
      </w:r>
      <w:r>
        <w:rPr>
          <w:rFonts w:hint="eastAsia"/>
          <w:color w:val="auto"/>
          <w:highlight w:val="none"/>
          <w:lang w:val="en-US" w:eastAsia="zh-CN"/>
        </w:rPr>
        <w:t>筛选值要求</w:t>
      </w:r>
      <w:r>
        <w:rPr>
          <w:rFonts w:hint="eastAsia"/>
          <w:color w:val="auto"/>
          <w:highlight w:val="none"/>
        </w:rPr>
        <w:t>。</w:t>
      </w:r>
    </w:p>
    <w:p w14:paraId="61A4AB27">
      <w:pPr>
        <w:ind w:firstLine="480"/>
        <w:rPr>
          <w:rFonts w:hint="eastAsia"/>
          <w:color w:val="auto"/>
          <w:highlight w:val="none"/>
        </w:rPr>
      </w:pPr>
      <w:r>
        <w:rPr>
          <w:rFonts w:hint="eastAsia"/>
          <w:color w:val="auto"/>
          <w:highlight w:val="none"/>
        </w:rPr>
        <w:t>本项目运营过程会产生一定废气、废水、噪声、固废等环境污染物，</w:t>
      </w:r>
      <w:r>
        <w:rPr>
          <w:rFonts w:hint="eastAsia"/>
          <w:color w:val="auto"/>
          <w:highlight w:val="none"/>
          <w:lang w:val="en-US" w:eastAsia="zh-CN"/>
        </w:rPr>
        <w:t>废气</w:t>
      </w:r>
      <w:r>
        <w:rPr>
          <w:rFonts w:hint="eastAsia"/>
          <w:color w:val="auto"/>
          <w:highlight w:val="none"/>
        </w:rPr>
        <w:t>采取相应防治措施后污染物可满足相应的排放标准；</w:t>
      </w:r>
      <w:r>
        <w:rPr>
          <w:rFonts w:hint="eastAsia"/>
          <w:color w:val="auto"/>
          <w:highlight w:val="none"/>
          <w:lang w:val="en-US" w:eastAsia="zh-CN"/>
        </w:rPr>
        <w:t>本项目生产废水经处理后闭路循环使用，不外排，生活污水经化粪池收集后定期清运至诺尔镇城镇污水处理厂处理；产生的一般工业固废尾矿砂部分送至砖厂制砖资源化利用，产生的危险废物废矿物油委托具有危险废物综合经营许可证单位处理处置；</w:t>
      </w:r>
      <w:r>
        <w:rPr>
          <w:rFonts w:hint="eastAsia"/>
          <w:color w:val="auto"/>
          <w:highlight w:val="none"/>
        </w:rPr>
        <w:t>故本项目的建设不会降低当地的环境质量，不会对周围环境造成不良影响，不触及环境质量底线。</w:t>
      </w:r>
    </w:p>
    <w:p w14:paraId="711FAEAF">
      <w:pPr>
        <w:ind w:firstLine="480"/>
        <w:rPr>
          <w:rFonts w:hint="eastAsia"/>
          <w:b/>
          <w:bCs/>
          <w:color w:val="auto"/>
          <w:highlight w:val="none"/>
        </w:rPr>
      </w:pPr>
      <w:r>
        <w:rPr>
          <w:rFonts w:hint="eastAsia"/>
          <w:b/>
          <w:bCs/>
          <w:color w:val="auto"/>
          <w:highlight w:val="none"/>
        </w:rPr>
        <w:t>3、资源利用上线</w:t>
      </w:r>
    </w:p>
    <w:p w14:paraId="42D4E0C2">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水资源利用上线</w:t>
      </w:r>
    </w:p>
    <w:p w14:paraId="6B62C58B">
      <w:pPr>
        <w:ind w:firstLine="480"/>
        <w:rPr>
          <w:rFonts w:hint="eastAsia"/>
          <w:color w:val="auto"/>
          <w:highlight w:val="none"/>
        </w:rPr>
      </w:pPr>
      <w:r>
        <w:rPr>
          <w:rFonts w:hint="eastAsia"/>
          <w:color w:val="auto"/>
          <w:highlight w:val="none"/>
        </w:rPr>
        <w:t>根据《锡林郭勒盟“三线一单”生态环境分区管控方案》，项目区不属于生态用水补给区和地下水开采重点管控区，无具体管控要求。</w:t>
      </w:r>
    </w:p>
    <w:p w14:paraId="3F36A44B">
      <w:pPr>
        <w:ind w:firstLine="480"/>
        <w:rPr>
          <w:rFonts w:hint="eastAsia"/>
          <w:color w:val="auto"/>
          <w:highlight w:val="none"/>
        </w:rPr>
      </w:pPr>
      <w:r>
        <w:rPr>
          <w:rFonts w:hint="eastAsia"/>
          <w:color w:val="auto"/>
          <w:highlight w:val="none"/>
        </w:rPr>
        <w:t>本项目生活用水</w:t>
      </w:r>
      <w:r>
        <w:rPr>
          <w:rFonts w:hint="eastAsia"/>
          <w:color w:val="auto"/>
          <w:highlight w:val="none"/>
          <w:lang w:val="en-US" w:eastAsia="zh-CN"/>
        </w:rPr>
        <w:t>依托厂区现有自备水井（取水许可证见</w:t>
      </w:r>
      <w:r>
        <w:rPr>
          <w:rFonts w:hint="eastAsia"/>
          <w:color w:val="auto"/>
          <w:highlight w:val="none"/>
          <w:u w:val="single"/>
          <w:lang w:val="en-US" w:eastAsia="zh-CN"/>
        </w:rPr>
        <w:t>附件4</w:t>
      </w:r>
      <w:r>
        <w:rPr>
          <w:rFonts w:hint="eastAsia"/>
          <w:color w:val="auto"/>
          <w:highlight w:val="none"/>
          <w:lang w:val="en-US" w:eastAsia="zh-CN"/>
        </w:rPr>
        <w:t>），新增新鲜水用量为1.8m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highlight w:val="none"/>
          <w:lang w:eastAsia="zh-CN"/>
        </w:rPr>
        <w:t>；</w:t>
      </w:r>
      <w:r>
        <w:rPr>
          <w:rFonts w:hint="eastAsia"/>
          <w:color w:val="auto"/>
          <w:highlight w:val="none"/>
          <w:lang w:val="en-US" w:eastAsia="zh-CN"/>
        </w:rPr>
        <w:t>本项目</w:t>
      </w:r>
      <w:r>
        <w:rPr>
          <w:rFonts w:hint="eastAsia"/>
          <w:color w:val="auto"/>
          <w:highlight w:val="none"/>
        </w:rPr>
        <w:t>生产</w:t>
      </w:r>
      <w:r>
        <w:rPr>
          <w:rFonts w:hint="eastAsia"/>
          <w:color w:val="auto"/>
          <w:highlight w:val="none"/>
          <w:lang w:val="en-US" w:eastAsia="zh-CN"/>
        </w:rPr>
        <w:t>洗选补充水由园区第一中水厂供应，不新增新鲜水用量，洗选水</w:t>
      </w:r>
      <w:r>
        <w:rPr>
          <w:rFonts w:hint="eastAsia"/>
          <w:color w:val="auto"/>
          <w:highlight w:val="none"/>
        </w:rPr>
        <w:t>全部循环利用</w:t>
      </w:r>
      <w:r>
        <w:rPr>
          <w:rFonts w:hint="eastAsia"/>
          <w:color w:val="auto"/>
          <w:highlight w:val="none"/>
          <w:lang w:eastAsia="zh-CN"/>
        </w:rPr>
        <w:t>，</w:t>
      </w:r>
      <w:r>
        <w:rPr>
          <w:rFonts w:hint="eastAsia"/>
          <w:color w:val="auto"/>
          <w:highlight w:val="none"/>
        </w:rPr>
        <w:t>不外排。</w:t>
      </w:r>
    </w:p>
    <w:p w14:paraId="1DC941D4">
      <w:pPr>
        <w:ind w:firstLine="480"/>
        <w:rPr>
          <w:rFonts w:hint="eastAsia"/>
          <w:color w:val="auto"/>
          <w:highlight w:val="none"/>
        </w:rPr>
      </w:pPr>
      <w:r>
        <w:rPr>
          <w:rFonts w:hint="eastAsia"/>
          <w:color w:val="auto"/>
          <w:highlight w:val="none"/>
          <w:lang w:val="en-US" w:eastAsia="zh-CN"/>
        </w:rPr>
        <w:t>综上所述，本项目新增</w:t>
      </w:r>
      <w:r>
        <w:rPr>
          <w:rFonts w:hint="eastAsia"/>
          <w:color w:val="auto"/>
          <w:highlight w:val="none"/>
        </w:rPr>
        <w:t>新鲜水用量相对较少，故本项目不会突破当地水资源利用的上线。</w:t>
      </w:r>
    </w:p>
    <w:p w14:paraId="1F41FEA0">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土地资源利用上线</w:t>
      </w:r>
    </w:p>
    <w:p w14:paraId="3DB8620A">
      <w:pPr>
        <w:ind w:firstLine="480"/>
        <w:rPr>
          <w:rFonts w:hint="eastAsia"/>
          <w:color w:val="auto"/>
          <w:highlight w:val="none"/>
        </w:rPr>
      </w:pPr>
      <w:r>
        <w:rPr>
          <w:rFonts w:hint="eastAsia"/>
          <w:color w:val="auto"/>
          <w:highlight w:val="none"/>
        </w:rPr>
        <w:t>本项目</w:t>
      </w:r>
      <w:r>
        <w:rPr>
          <w:rFonts w:hint="eastAsia"/>
          <w:color w:val="auto"/>
          <w:highlight w:val="none"/>
          <w:lang w:val="en-US" w:eastAsia="zh-CN"/>
        </w:rPr>
        <w:t>用地租赁多伦县隆盛新型建材有限公司盟东水泥厂院内闲置土地，属于</w:t>
      </w:r>
      <w:r>
        <w:rPr>
          <w:rFonts w:hint="eastAsia"/>
          <w:color w:val="auto"/>
          <w:highlight w:val="none"/>
        </w:rPr>
        <w:t>内蒙古锡林郭勒多伦经济开发区</w:t>
      </w:r>
      <w:r>
        <w:rPr>
          <w:rFonts w:hint="eastAsia"/>
          <w:color w:val="auto"/>
          <w:highlight w:val="none"/>
          <w:lang w:val="en-US" w:eastAsia="zh-CN"/>
        </w:rPr>
        <w:t>内已规划工业用地，</w:t>
      </w:r>
      <w:r>
        <w:rPr>
          <w:rFonts w:hint="eastAsia"/>
          <w:color w:val="auto"/>
          <w:highlight w:val="none"/>
        </w:rPr>
        <w:t>本</w:t>
      </w:r>
      <w:r>
        <w:rPr>
          <w:rFonts w:hint="eastAsia"/>
          <w:color w:val="auto"/>
          <w:highlight w:val="none"/>
          <w:lang w:val="en-US" w:eastAsia="zh-CN"/>
        </w:rPr>
        <w:t>项目</w:t>
      </w:r>
      <w:r>
        <w:rPr>
          <w:rFonts w:hint="eastAsia"/>
          <w:color w:val="auto"/>
          <w:highlight w:val="none"/>
        </w:rPr>
        <w:t>不涉及新增</w:t>
      </w:r>
      <w:r>
        <w:rPr>
          <w:rFonts w:hint="eastAsia"/>
          <w:color w:val="auto"/>
          <w:highlight w:val="none"/>
          <w:lang w:val="en-US" w:eastAsia="zh-CN"/>
        </w:rPr>
        <w:t>占用基本农田、耕地、草地、林地等</w:t>
      </w:r>
      <w:r>
        <w:rPr>
          <w:rFonts w:hint="eastAsia"/>
          <w:color w:val="auto"/>
          <w:highlight w:val="none"/>
        </w:rPr>
        <w:t>，</w:t>
      </w:r>
      <w:r>
        <w:rPr>
          <w:rFonts w:hint="eastAsia"/>
          <w:color w:val="auto"/>
          <w:highlight w:val="none"/>
          <w:lang w:val="en-US" w:eastAsia="zh-CN"/>
        </w:rPr>
        <w:t>故</w:t>
      </w:r>
      <w:r>
        <w:rPr>
          <w:rFonts w:hint="eastAsia"/>
          <w:color w:val="auto"/>
          <w:highlight w:val="none"/>
        </w:rPr>
        <w:t>不会突破土地资源利用上线。</w:t>
      </w:r>
    </w:p>
    <w:p w14:paraId="64613114">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能源资源上线</w:t>
      </w:r>
    </w:p>
    <w:p w14:paraId="7CCBB871">
      <w:pPr>
        <w:ind w:firstLine="480"/>
        <w:rPr>
          <w:rFonts w:hint="eastAsia"/>
          <w:color w:val="auto"/>
          <w:highlight w:val="none"/>
        </w:rPr>
      </w:pPr>
      <w:r>
        <w:rPr>
          <w:rFonts w:hint="eastAsia"/>
          <w:color w:val="auto"/>
          <w:highlight w:val="none"/>
        </w:rPr>
        <w:t>本项目运营过程中消耗一定的电源和水资源，项目资源消耗量相对于区域资源利用总量较少，符合资源利用上线的要求。</w:t>
      </w:r>
    </w:p>
    <w:p w14:paraId="59641854">
      <w:pPr>
        <w:ind w:firstLine="480"/>
        <w:rPr>
          <w:rFonts w:hint="eastAsia"/>
          <w:b/>
          <w:bCs/>
          <w:color w:val="auto"/>
          <w:highlight w:val="none"/>
        </w:rPr>
      </w:pPr>
      <w:r>
        <w:rPr>
          <w:rFonts w:hint="eastAsia"/>
          <w:b/>
          <w:bCs/>
          <w:color w:val="auto"/>
          <w:highlight w:val="none"/>
        </w:rPr>
        <w:t>4、生态环境准入清单</w:t>
      </w:r>
    </w:p>
    <w:p w14:paraId="1A9E1BF8">
      <w:pPr>
        <w:ind w:firstLine="480"/>
        <w:rPr>
          <w:rFonts w:hint="eastAsia"/>
          <w:color w:val="auto"/>
          <w:highlight w:val="none"/>
        </w:rPr>
      </w:pPr>
      <w:r>
        <w:rPr>
          <w:rFonts w:hint="eastAsia"/>
          <w:color w:val="auto"/>
          <w:highlight w:val="none"/>
        </w:rPr>
        <w:t>根据《锡林郭勒盟人民政府关于实施“三线一单”生态环境分区管控的意见》，本项目位于内蒙古锡林郭勒多伦经济开发区管控单元，属于重点管控单元，单元编码：</w:t>
      </w:r>
      <w:r>
        <w:rPr>
          <w:rFonts w:hint="eastAsia"/>
          <w:color w:val="auto"/>
          <w:highlight w:val="none"/>
          <w:u w:val="single"/>
        </w:rPr>
        <w:t>ZH15253120004</w:t>
      </w:r>
      <w:r>
        <w:rPr>
          <w:rFonts w:hint="eastAsia"/>
          <w:color w:val="auto"/>
          <w:highlight w:val="none"/>
        </w:rPr>
        <w:t>。生态环境准入清单符合性分析见下表</w:t>
      </w:r>
      <w:r>
        <w:rPr>
          <w:rFonts w:hint="eastAsia"/>
          <w:color w:val="auto"/>
          <w:highlight w:val="none"/>
          <w:lang w:val="en-US" w:eastAsia="zh-CN"/>
        </w:rPr>
        <w:t>1.3-1</w:t>
      </w:r>
      <w:r>
        <w:rPr>
          <w:rFonts w:hint="eastAsia"/>
          <w:color w:val="auto"/>
          <w:highlight w:val="none"/>
        </w:rPr>
        <w:t>。</w:t>
      </w:r>
    </w:p>
    <w:p w14:paraId="31978692">
      <w:pPr>
        <w:pStyle w:val="40"/>
        <w:rPr>
          <w:color w:val="auto"/>
          <w:highlight w:val="none"/>
        </w:rPr>
      </w:pPr>
    </w:p>
    <w:p w14:paraId="6A2FA18E">
      <w:pPr>
        <w:spacing w:before="30" w:line="214" w:lineRule="auto"/>
        <w:ind w:left="2407"/>
        <w:rPr>
          <w:rFonts w:ascii="宋体" w:hAnsi="宋体" w:eastAsia="宋体" w:cs="宋体"/>
          <w:b/>
          <w:bCs/>
          <w:color w:val="auto"/>
          <w:spacing w:val="-2"/>
          <w:sz w:val="21"/>
          <w:szCs w:val="21"/>
          <w:highlight w:val="none"/>
        </w:rPr>
        <w:sectPr>
          <w:headerReference r:id="rId17" w:type="first"/>
          <w:footerReference r:id="rId20" w:type="first"/>
          <w:headerReference r:id="rId15" w:type="default"/>
          <w:footerReference r:id="rId18" w:type="default"/>
          <w:headerReference r:id="rId16" w:type="even"/>
          <w:footerReference r:id="rId19" w:type="even"/>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14:paraId="2D596C13">
      <w:pPr>
        <w:pStyle w:val="199"/>
        <w:spacing w:before="120"/>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 xml:space="preserve">1.3-1    </w:t>
      </w:r>
      <w:r>
        <w:rPr>
          <w:rFonts w:hint="eastAsia"/>
          <w:color w:val="auto"/>
          <w:sz w:val="24"/>
          <w:highlight w:val="none"/>
        </w:rPr>
        <w:t xml:space="preserve"> 本项目与“环境准入清单”的符合性分析</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7200"/>
        <w:gridCol w:w="5971"/>
        <w:gridCol w:w="532"/>
      </w:tblGrid>
      <w:tr w14:paraId="2C0FA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1" w:type="dxa"/>
            <w:gridSpan w:val="2"/>
            <w:tcBorders>
              <w:tl2br w:val="nil"/>
              <w:tr2bl w:val="nil"/>
            </w:tcBorders>
            <w:noWrap w:val="0"/>
            <w:vAlign w:val="center"/>
          </w:tcPr>
          <w:p w14:paraId="50AADFC2">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rPr>
              <w:t>管控要求</w:t>
            </w:r>
          </w:p>
        </w:tc>
        <w:tc>
          <w:tcPr>
            <w:tcW w:w="5971" w:type="dxa"/>
            <w:tcBorders>
              <w:tl2br w:val="nil"/>
              <w:tr2bl w:val="nil"/>
            </w:tcBorders>
            <w:noWrap w:val="0"/>
            <w:vAlign w:val="center"/>
          </w:tcPr>
          <w:p w14:paraId="3E8D16A6">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hAnsi="宋体" w:eastAsia="宋体"/>
                <w:color w:val="auto"/>
                <w:kern w:val="0"/>
                <w:sz w:val="21"/>
                <w:szCs w:val="21"/>
                <w:highlight w:val="none"/>
                <w:lang w:val="en-US" w:eastAsia="zh-CN"/>
              </w:rPr>
            </w:pPr>
            <w:r>
              <w:rPr>
                <w:rFonts w:hint="eastAsia" w:hAnsi="宋体" w:eastAsia="宋体"/>
                <w:color w:val="auto"/>
                <w:kern w:val="0"/>
                <w:sz w:val="21"/>
                <w:szCs w:val="21"/>
                <w:highlight w:val="none"/>
                <w:lang w:val="en-US" w:eastAsia="zh-CN"/>
              </w:rPr>
              <w:t>本项目情况</w:t>
            </w:r>
          </w:p>
        </w:tc>
        <w:tc>
          <w:tcPr>
            <w:tcW w:w="0" w:type="auto"/>
            <w:tcBorders>
              <w:tl2br w:val="nil"/>
              <w:tr2bl w:val="nil"/>
            </w:tcBorders>
            <w:noWrap w:val="0"/>
            <w:vAlign w:val="center"/>
          </w:tcPr>
          <w:p w14:paraId="27940852">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lang w:val="en-US" w:eastAsia="zh-CN"/>
              </w:rPr>
            </w:pPr>
            <w:r>
              <w:rPr>
                <w:rFonts w:hint="eastAsia" w:hAnsi="宋体" w:eastAsia="宋体"/>
                <w:color w:val="auto"/>
                <w:kern w:val="0"/>
                <w:sz w:val="21"/>
                <w:szCs w:val="21"/>
                <w:highlight w:val="none"/>
                <w:lang w:val="en-US" w:eastAsia="zh-CN"/>
              </w:rPr>
              <w:t>符合性</w:t>
            </w:r>
          </w:p>
        </w:tc>
      </w:tr>
      <w:tr w14:paraId="4A99D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dxa"/>
            <w:tcBorders>
              <w:tl2br w:val="nil"/>
              <w:tr2bl w:val="nil"/>
            </w:tcBorders>
            <w:noWrap w:val="0"/>
            <w:vAlign w:val="center"/>
          </w:tcPr>
          <w:p w14:paraId="5D8C2D20">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rPr>
              <w:t>空间布局约束</w:t>
            </w:r>
          </w:p>
        </w:tc>
        <w:tc>
          <w:tcPr>
            <w:tcW w:w="7200" w:type="dxa"/>
            <w:tcBorders>
              <w:tl2br w:val="nil"/>
              <w:tr2bl w:val="nil"/>
            </w:tcBorders>
            <w:noWrap w:val="0"/>
            <w:vAlign w:val="center"/>
          </w:tcPr>
          <w:p w14:paraId="2DFE85C4">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lang w:val="en-US" w:eastAsia="zh-CN"/>
              </w:rPr>
              <w:t>（1）执行锡林郭勒盟总体准入要求第一条关于空间布局约束的准入要求。</w:t>
            </w:r>
          </w:p>
          <w:p w14:paraId="1B905331">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lang w:val="en-US" w:eastAsia="zh-CN"/>
              </w:rPr>
              <w:t>（2）禁止不符合园区产业定位及规划环评等要求的项目入园；国家明令淘汰的落后产能和不符合国家产业政策的项目，禁止向园区转移。</w:t>
            </w:r>
          </w:p>
          <w:p w14:paraId="1458ED12">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lang w:val="en-US" w:eastAsia="zh-CN"/>
              </w:rPr>
              <w:t>（3）禁止新扩建未纳入规划的火电项目（包括抽凝式燃煤热电项目）。</w:t>
            </w:r>
          </w:p>
          <w:p w14:paraId="5C46A77A">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lang w:val="en-US" w:eastAsia="zh-CN"/>
              </w:rPr>
              <w:t>（4）禁止工艺落后、设备陈旧、污染严重的项目入区。</w:t>
            </w:r>
          </w:p>
        </w:tc>
        <w:tc>
          <w:tcPr>
            <w:tcW w:w="5971" w:type="dxa"/>
            <w:tcBorders>
              <w:tl2br w:val="nil"/>
              <w:tr2bl w:val="nil"/>
            </w:tcBorders>
            <w:noWrap w:val="0"/>
            <w:vAlign w:val="center"/>
          </w:tcPr>
          <w:p w14:paraId="1A428C2F">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lang w:eastAsia="zh-CN"/>
              </w:rPr>
              <w:t>（</w:t>
            </w:r>
            <w:r>
              <w:rPr>
                <w:rFonts w:hint="eastAsia" w:hAnsi="宋体" w:eastAsia="宋体"/>
                <w:color w:val="auto"/>
                <w:kern w:val="0"/>
                <w:sz w:val="21"/>
                <w:szCs w:val="21"/>
                <w:highlight w:val="none"/>
                <w:lang w:val="en-US" w:eastAsia="zh-CN"/>
              </w:rPr>
              <w:t>1</w:t>
            </w:r>
            <w:r>
              <w:rPr>
                <w:rFonts w:hint="eastAsia" w:hAnsi="宋体" w:eastAsia="宋体"/>
                <w:color w:val="auto"/>
                <w:kern w:val="0"/>
                <w:sz w:val="21"/>
                <w:szCs w:val="21"/>
                <w:highlight w:val="none"/>
                <w:lang w:eastAsia="zh-CN"/>
              </w:rPr>
              <w:t>）</w:t>
            </w:r>
            <w:r>
              <w:rPr>
                <w:rFonts w:hint="eastAsia" w:hAnsi="宋体" w:eastAsia="宋体"/>
                <w:color w:val="auto"/>
                <w:kern w:val="0"/>
                <w:sz w:val="21"/>
                <w:szCs w:val="21"/>
                <w:highlight w:val="none"/>
              </w:rPr>
              <w:t>本项目</w:t>
            </w:r>
            <w:r>
              <w:rPr>
                <w:rFonts w:hint="eastAsia" w:hAnsi="宋体" w:eastAsia="宋体"/>
                <w:color w:val="auto"/>
                <w:kern w:val="0"/>
                <w:sz w:val="21"/>
                <w:szCs w:val="21"/>
                <w:highlight w:val="none"/>
                <w:lang w:val="en-US" w:eastAsia="zh-CN"/>
              </w:rPr>
              <w:t>选址</w:t>
            </w:r>
            <w:r>
              <w:rPr>
                <w:rFonts w:hint="eastAsia" w:hAnsi="宋体" w:eastAsia="宋体"/>
                <w:color w:val="auto"/>
                <w:kern w:val="0"/>
                <w:sz w:val="21"/>
                <w:szCs w:val="21"/>
                <w:highlight w:val="none"/>
              </w:rPr>
              <w:t>位于内蒙古锡林郭勒多伦经济开发区</w:t>
            </w:r>
            <w:r>
              <w:rPr>
                <w:rFonts w:hint="eastAsia" w:hAnsi="宋体" w:eastAsia="宋体"/>
                <w:color w:val="auto"/>
                <w:kern w:val="0"/>
                <w:sz w:val="21"/>
                <w:szCs w:val="21"/>
                <w:highlight w:val="none"/>
                <w:lang w:val="en-US" w:eastAsia="zh-CN"/>
              </w:rPr>
              <w:t>内</w:t>
            </w:r>
            <w:r>
              <w:rPr>
                <w:rFonts w:hint="eastAsia" w:hAnsi="宋体" w:eastAsia="宋体"/>
                <w:color w:val="auto"/>
                <w:kern w:val="0"/>
                <w:sz w:val="21"/>
                <w:szCs w:val="21"/>
                <w:highlight w:val="none"/>
              </w:rPr>
              <w:t>，项目建设不涉及准入清单中自然保护区、风景名胜区、饮用水源保护区等区域</w:t>
            </w:r>
            <w:r>
              <w:rPr>
                <w:rFonts w:hint="eastAsia" w:hAnsi="宋体" w:eastAsia="宋体"/>
                <w:color w:val="auto"/>
                <w:kern w:val="0"/>
                <w:sz w:val="21"/>
                <w:szCs w:val="21"/>
                <w:highlight w:val="none"/>
                <w:lang w:eastAsia="zh-CN"/>
              </w:rPr>
              <w:t>，</w:t>
            </w:r>
            <w:r>
              <w:rPr>
                <w:rFonts w:hint="eastAsia" w:hAnsi="宋体" w:eastAsia="宋体"/>
                <w:color w:val="auto"/>
                <w:kern w:val="0"/>
                <w:sz w:val="21"/>
                <w:szCs w:val="21"/>
                <w:highlight w:val="none"/>
                <w:lang w:val="en-US" w:eastAsia="zh-CN"/>
              </w:rPr>
              <w:t>符合园区产业布局和定位要求</w:t>
            </w:r>
            <w:r>
              <w:rPr>
                <w:rFonts w:hint="eastAsia" w:hAnsi="宋体" w:eastAsia="宋体"/>
                <w:color w:val="auto"/>
                <w:kern w:val="0"/>
                <w:sz w:val="21"/>
                <w:szCs w:val="21"/>
                <w:highlight w:val="none"/>
              </w:rPr>
              <w:t>；</w:t>
            </w:r>
          </w:p>
          <w:p w14:paraId="35416DB5">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lang w:eastAsia="zh-CN"/>
              </w:rPr>
              <w:t>（</w:t>
            </w:r>
            <w:r>
              <w:rPr>
                <w:rFonts w:hint="eastAsia" w:hAnsi="宋体" w:eastAsia="宋体"/>
                <w:color w:val="auto"/>
                <w:kern w:val="0"/>
                <w:sz w:val="21"/>
                <w:szCs w:val="21"/>
                <w:highlight w:val="none"/>
                <w:lang w:val="en-US" w:eastAsia="zh-CN"/>
              </w:rPr>
              <w:t>2</w:t>
            </w:r>
            <w:r>
              <w:rPr>
                <w:rFonts w:hint="eastAsia" w:hAnsi="宋体" w:eastAsia="宋体"/>
                <w:color w:val="auto"/>
                <w:kern w:val="0"/>
                <w:sz w:val="21"/>
                <w:szCs w:val="21"/>
                <w:highlight w:val="none"/>
                <w:lang w:eastAsia="zh-CN"/>
              </w:rPr>
              <w:t>）</w:t>
            </w:r>
            <w:r>
              <w:rPr>
                <w:rFonts w:hint="eastAsia" w:hAnsi="宋体" w:eastAsia="宋体"/>
                <w:color w:val="auto"/>
                <w:kern w:val="0"/>
                <w:sz w:val="21"/>
                <w:szCs w:val="21"/>
                <w:highlight w:val="none"/>
                <w:lang w:val="en-US" w:eastAsia="zh-CN"/>
              </w:rPr>
              <w:t>本</w:t>
            </w:r>
            <w:r>
              <w:rPr>
                <w:rFonts w:hint="eastAsia" w:hAnsi="宋体" w:eastAsia="宋体"/>
                <w:color w:val="auto"/>
                <w:kern w:val="0"/>
                <w:sz w:val="21"/>
                <w:szCs w:val="21"/>
                <w:highlight w:val="none"/>
              </w:rPr>
              <w:t>项目不属于《产业结构调整指导目录（20</w:t>
            </w:r>
            <w:r>
              <w:rPr>
                <w:rFonts w:hint="eastAsia" w:hAnsi="宋体" w:eastAsia="宋体"/>
                <w:color w:val="auto"/>
                <w:kern w:val="0"/>
                <w:sz w:val="21"/>
                <w:szCs w:val="21"/>
                <w:highlight w:val="none"/>
                <w:lang w:val="en-US" w:eastAsia="zh-CN"/>
              </w:rPr>
              <w:t>24</w:t>
            </w:r>
            <w:r>
              <w:rPr>
                <w:rFonts w:hint="eastAsia" w:hAnsi="宋体" w:eastAsia="宋体"/>
                <w:color w:val="auto"/>
                <w:kern w:val="0"/>
                <w:sz w:val="21"/>
                <w:szCs w:val="21"/>
                <w:highlight w:val="none"/>
              </w:rPr>
              <w:t>年本）》中的限制类和淘汰类项目，属于“允许类”项目，符合国家产业政策要求</w:t>
            </w:r>
            <w:r>
              <w:rPr>
                <w:rFonts w:hint="eastAsia" w:hAnsi="宋体" w:eastAsia="宋体"/>
                <w:color w:val="auto"/>
                <w:kern w:val="0"/>
                <w:sz w:val="21"/>
                <w:szCs w:val="21"/>
                <w:highlight w:val="none"/>
                <w:lang w:eastAsia="zh-CN"/>
              </w:rPr>
              <w:t>，</w:t>
            </w:r>
            <w:r>
              <w:rPr>
                <w:rFonts w:hint="eastAsia" w:hAnsi="宋体" w:eastAsia="宋体"/>
                <w:color w:val="auto"/>
                <w:kern w:val="0"/>
                <w:sz w:val="21"/>
                <w:szCs w:val="21"/>
                <w:highlight w:val="none"/>
                <w:lang w:val="en-US" w:eastAsia="zh-CN"/>
              </w:rPr>
              <w:t>并</w:t>
            </w:r>
            <w:r>
              <w:rPr>
                <w:rFonts w:hint="eastAsia" w:hAnsi="宋体" w:eastAsia="宋体"/>
                <w:color w:val="auto"/>
                <w:kern w:val="0"/>
                <w:sz w:val="21"/>
                <w:szCs w:val="21"/>
                <w:highlight w:val="none"/>
              </w:rPr>
              <w:t>依法取得了</w:t>
            </w:r>
            <w:r>
              <w:rPr>
                <w:rFonts w:hint="eastAsia" w:hAnsi="宋体" w:eastAsia="宋体"/>
                <w:color w:val="auto"/>
                <w:kern w:val="0"/>
                <w:sz w:val="21"/>
                <w:szCs w:val="21"/>
                <w:highlight w:val="none"/>
                <w:lang w:val="en-US" w:eastAsia="zh-CN"/>
              </w:rPr>
              <w:t>多伦县</w:t>
            </w:r>
            <w:r>
              <w:rPr>
                <w:rFonts w:hint="eastAsia" w:hAnsi="宋体" w:eastAsia="宋体"/>
                <w:color w:val="auto"/>
                <w:kern w:val="0"/>
                <w:sz w:val="21"/>
                <w:szCs w:val="21"/>
                <w:highlight w:val="none"/>
              </w:rPr>
              <w:t>发展和改革委的备案告知书。</w:t>
            </w:r>
          </w:p>
        </w:tc>
        <w:tc>
          <w:tcPr>
            <w:tcW w:w="0" w:type="auto"/>
            <w:tcBorders>
              <w:tl2br w:val="nil"/>
              <w:tr2bl w:val="nil"/>
            </w:tcBorders>
            <w:noWrap w:val="0"/>
            <w:vAlign w:val="center"/>
          </w:tcPr>
          <w:p w14:paraId="562A2AA4">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hAnsi="宋体" w:eastAsia="宋体"/>
                <w:color w:val="auto"/>
                <w:kern w:val="0"/>
                <w:sz w:val="21"/>
                <w:szCs w:val="21"/>
                <w:highlight w:val="none"/>
                <w:lang w:val="en-US" w:eastAsia="zh-CN"/>
              </w:rPr>
            </w:pPr>
            <w:r>
              <w:rPr>
                <w:rFonts w:hint="eastAsia" w:hAnsi="宋体" w:eastAsia="宋体"/>
                <w:color w:val="auto"/>
                <w:kern w:val="0"/>
                <w:sz w:val="21"/>
                <w:szCs w:val="21"/>
                <w:highlight w:val="none"/>
                <w:lang w:val="en-US" w:eastAsia="zh-CN"/>
              </w:rPr>
              <w:t>符合</w:t>
            </w:r>
          </w:p>
        </w:tc>
      </w:tr>
      <w:tr w14:paraId="4B6E7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dxa"/>
            <w:tcBorders>
              <w:tl2br w:val="nil"/>
              <w:tr2bl w:val="nil"/>
            </w:tcBorders>
            <w:noWrap w:val="0"/>
            <w:vAlign w:val="center"/>
          </w:tcPr>
          <w:p w14:paraId="732CBABD">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zh-CN"/>
              </w:rPr>
              <w:t>污染物排放管</w:t>
            </w:r>
            <w:r>
              <w:rPr>
                <w:rFonts w:hint="eastAsia" w:hAnsi="宋体" w:eastAsia="宋体"/>
                <w:color w:val="auto"/>
                <w:kern w:val="0"/>
                <w:sz w:val="21"/>
                <w:szCs w:val="21"/>
                <w:highlight w:val="none"/>
              </w:rPr>
              <w:t>控</w:t>
            </w:r>
          </w:p>
        </w:tc>
        <w:tc>
          <w:tcPr>
            <w:tcW w:w="7200" w:type="dxa"/>
            <w:tcBorders>
              <w:tl2br w:val="nil"/>
              <w:tr2bl w:val="nil"/>
            </w:tcBorders>
            <w:noWrap w:val="0"/>
            <w:vAlign w:val="center"/>
          </w:tcPr>
          <w:p w14:paraId="454FC92D">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（1）</w:t>
            </w:r>
            <w:r>
              <w:rPr>
                <w:rFonts w:hint="eastAsia" w:hAnsi="宋体" w:eastAsia="宋体"/>
                <w:color w:val="auto"/>
                <w:kern w:val="0"/>
                <w:sz w:val="21"/>
                <w:szCs w:val="21"/>
                <w:highlight w:val="none"/>
                <w:lang w:val="zh-CN" w:eastAsia="zh-CN"/>
              </w:rPr>
              <w:t>执行锡林郭勒盟总体准入要求第二条关于污染物排放管控的准入要求。</w:t>
            </w:r>
          </w:p>
          <w:p w14:paraId="4AF8DE79">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（2）</w:t>
            </w:r>
            <w:r>
              <w:rPr>
                <w:rFonts w:hint="eastAsia" w:hAnsi="宋体" w:eastAsia="宋体"/>
                <w:color w:val="auto"/>
                <w:kern w:val="0"/>
                <w:sz w:val="21"/>
                <w:szCs w:val="21"/>
                <w:highlight w:val="none"/>
                <w:lang w:val="zh-CN" w:eastAsia="zh-CN"/>
              </w:rPr>
              <w:t>新建排放重金属污染物的建设项目全面执行重金属重点污染物排放限值要求。</w:t>
            </w:r>
          </w:p>
          <w:p w14:paraId="1AB256B3">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（3）</w:t>
            </w:r>
            <w:r>
              <w:rPr>
                <w:rFonts w:hint="eastAsia" w:hAnsi="宋体" w:eastAsia="宋体"/>
                <w:color w:val="auto"/>
                <w:kern w:val="0"/>
                <w:sz w:val="21"/>
                <w:szCs w:val="21"/>
                <w:highlight w:val="none"/>
                <w:lang w:val="zh-CN" w:eastAsia="zh-CN"/>
              </w:rPr>
              <w:t>入区企业必须采用先进的、密封性能好的生产设备、化学物料存贮容器和输送管道，最大限度减少无组织废气排放；同时还要采用先进的治理和回收技术，严格按照有关规定，实现达标排放。</w:t>
            </w:r>
          </w:p>
          <w:p w14:paraId="586B1401">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（4）</w:t>
            </w:r>
            <w:r>
              <w:rPr>
                <w:rFonts w:hint="eastAsia" w:hAnsi="宋体" w:eastAsia="宋体"/>
                <w:color w:val="auto"/>
                <w:kern w:val="0"/>
                <w:sz w:val="21"/>
                <w:szCs w:val="21"/>
                <w:highlight w:val="none"/>
                <w:lang w:val="zh-CN" w:eastAsia="zh-CN"/>
              </w:rPr>
              <w:t>优先引进污染轻、技术先进、生产规模大的项目。</w:t>
            </w:r>
          </w:p>
          <w:p w14:paraId="5CE735C6">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（5）</w:t>
            </w:r>
            <w:r>
              <w:rPr>
                <w:rFonts w:hint="eastAsia" w:hAnsi="宋体" w:eastAsia="宋体"/>
                <w:color w:val="auto"/>
                <w:kern w:val="0"/>
                <w:sz w:val="21"/>
                <w:szCs w:val="21"/>
                <w:highlight w:val="none"/>
                <w:lang w:val="zh-CN" w:eastAsia="zh-CN"/>
              </w:rPr>
              <w:t>入区企业提出明确的废气污染源治理要求，必须确保其达标排放后才可批准生产。同时确保“三同时”制度的执行，对污染物排放量进行全过程控制。</w:t>
            </w:r>
          </w:p>
        </w:tc>
        <w:tc>
          <w:tcPr>
            <w:tcW w:w="5971" w:type="dxa"/>
            <w:tcBorders>
              <w:tl2br w:val="nil"/>
              <w:tr2bl w:val="nil"/>
            </w:tcBorders>
            <w:noWrap w:val="0"/>
            <w:vAlign w:val="center"/>
          </w:tcPr>
          <w:p w14:paraId="114574C7">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lang w:val="en-US" w:eastAsia="zh-CN"/>
              </w:rPr>
              <w:t>本</w:t>
            </w:r>
            <w:r>
              <w:rPr>
                <w:rFonts w:hint="eastAsia" w:hAnsi="宋体" w:eastAsia="宋体"/>
                <w:color w:val="auto"/>
                <w:kern w:val="0"/>
                <w:sz w:val="21"/>
                <w:szCs w:val="21"/>
                <w:highlight w:val="none"/>
              </w:rPr>
              <w:t>项目选矿过程中严格实施污染物治理措施，做好防风抑尘措施，地面进行硬化，矿石堆场及尾矿砂暂存均进行全封闭，</w:t>
            </w:r>
            <w:r>
              <w:rPr>
                <w:rFonts w:hint="eastAsia" w:hAnsi="宋体" w:eastAsia="宋体"/>
                <w:color w:val="auto"/>
                <w:kern w:val="0"/>
                <w:sz w:val="21"/>
                <w:szCs w:val="21"/>
                <w:highlight w:val="none"/>
                <w:lang w:val="en-US" w:eastAsia="zh-CN"/>
              </w:rPr>
              <w:t>会</w:t>
            </w:r>
            <w:r>
              <w:rPr>
                <w:rFonts w:hint="eastAsia" w:hAnsi="宋体" w:eastAsia="宋体"/>
                <w:color w:val="auto"/>
                <w:kern w:val="0"/>
                <w:sz w:val="21"/>
                <w:szCs w:val="21"/>
                <w:highlight w:val="none"/>
              </w:rPr>
              <w:t>降低污染物排放对环境的影响。</w:t>
            </w:r>
          </w:p>
        </w:tc>
        <w:tc>
          <w:tcPr>
            <w:tcW w:w="0" w:type="auto"/>
            <w:tcBorders>
              <w:tl2br w:val="nil"/>
              <w:tr2bl w:val="nil"/>
            </w:tcBorders>
            <w:noWrap w:val="0"/>
            <w:vAlign w:val="center"/>
          </w:tcPr>
          <w:p w14:paraId="6F3E7D69">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lang w:val="en-US" w:eastAsia="zh-CN"/>
              </w:rPr>
            </w:pPr>
            <w:r>
              <w:rPr>
                <w:rFonts w:hint="eastAsia" w:hAnsi="宋体" w:eastAsia="宋体"/>
                <w:color w:val="auto"/>
                <w:kern w:val="0"/>
                <w:sz w:val="21"/>
                <w:szCs w:val="21"/>
                <w:highlight w:val="none"/>
                <w:lang w:val="en-US" w:eastAsia="zh-CN"/>
              </w:rPr>
              <w:t>符合</w:t>
            </w:r>
          </w:p>
        </w:tc>
      </w:tr>
      <w:tr w14:paraId="672D6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dxa"/>
            <w:tcBorders>
              <w:tl2br w:val="nil"/>
              <w:tr2bl w:val="nil"/>
            </w:tcBorders>
            <w:noWrap w:val="0"/>
            <w:vAlign w:val="center"/>
          </w:tcPr>
          <w:p w14:paraId="506F3F34">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zh-CN"/>
              </w:rPr>
              <w:t>环境风</w:t>
            </w:r>
            <w:r>
              <w:rPr>
                <w:rFonts w:hint="eastAsia" w:hAnsi="宋体" w:eastAsia="宋体"/>
                <w:color w:val="auto"/>
                <w:kern w:val="0"/>
                <w:sz w:val="21"/>
                <w:szCs w:val="21"/>
                <w:highlight w:val="none"/>
              </w:rPr>
              <w:t>险防控</w:t>
            </w:r>
          </w:p>
        </w:tc>
        <w:tc>
          <w:tcPr>
            <w:tcW w:w="7200" w:type="dxa"/>
            <w:tcBorders>
              <w:tl2br w:val="nil"/>
              <w:tr2bl w:val="nil"/>
            </w:tcBorders>
            <w:noWrap w:val="0"/>
            <w:vAlign w:val="center"/>
          </w:tcPr>
          <w:p w14:paraId="706C3E16">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（1）</w:t>
            </w:r>
            <w:r>
              <w:rPr>
                <w:rFonts w:hint="eastAsia" w:hAnsi="宋体" w:eastAsia="宋体"/>
                <w:color w:val="auto"/>
                <w:kern w:val="0"/>
                <w:sz w:val="21"/>
                <w:szCs w:val="21"/>
                <w:highlight w:val="none"/>
                <w:lang w:val="zh-CN" w:eastAsia="zh-CN"/>
              </w:rPr>
              <w:t>执行锡林郭勒盟总体准入要求中第三条关于环境风险防控的准入要求。</w:t>
            </w:r>
          </w:p>
          <w:p w14:paraId="6C4B9670">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（2）</w:t>
            </w:r>
            <w:r>
              <w:rPr>
                <w:rFonts w:hint="eastAsia" w:hAnsi="宋体" w:eastAsia="宋体"/>
                <w:color w:val="auto"/>
                <w:kern w:val="0"/>
                <w:sz w:val="21"/>
                <w:szCs w:val="21"/>
                <w:highlight w:val="none"/>
                <w:lang w:val="zh-CN" w:eastAsia="zh-CN"/>
              </w:rPr>
              <w:t>园区应建立突发环境事件应急防控体系，增强突发环境事件处置能力。</w:t>
            </w:r>
          </w:p>
          <w:p w14:paraId="616F9CD9">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（3）</w:t>
            </w:r>
            <w:r>
              <w:rPr>
                <w:rFonts w:hint="eastAsia" w:hAnsi="宋体" w:eastAsia="宋体"/>
                <w:color w:val="auto"/>
                <w:kern w:val="0"/>
                <w:sz w:val="21"/>
                <w:szCs w:val="21"/>
                <w:highlight w:val="none"/>
                <w:lang w:val="zh-CN" w:eastAsia="zh-CN"/>
              </w:rPr>
              <w:t>严格落实工业集聚区环境风险各项防控措施。对高风险化学品生产、使用进行严格限制，并逐步淘汰替代。</w:t>
            </w:r>
          </w:p>
          <w:p w14:paraId="73029884">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（4）</w:t>
            </w:r>
            <w:r>
              <w:rPr>
                <w:rFonts w:hint="eastAsia" w:hAnsi="宋体" w:eastAsia="宋体"/>
                <w:color w:val="auto"/>
                <w:kern w:val="0"/>
                <w:sz w:val="21"/>
                <w:szCs w:val="21"/>
                <w:highlight w:val="none"/>
                <w:lang w:val="zh-CN" w:eastAsia="zh-CN"/>
              </w:rPr>
              <w:t>开展涉危涉化企业、有风险隐患渣场等风险排查和整改工作，及时消除隐患。</w:t>
            </w:r>
          </w:p>
          <w:p w14:paraId="0D8F0636">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（5）</w:t>
            </w:r>
            <w:r>
              <w:rPr>
                <w:rFonts w:hint="eastAsia" w:hAnsi="宋体" w:eastAsia="宋体"/>
                <w:color w:val="auto"/>
                <w:kern w:val="0"/>
                <w:sz w:val="21"/>
                <w:szCs w:val="21"/>
                <w:highlight w:val="none"/>
                <w:lang w:val="zh-CN" w:eastAsia="zh-CN"/>
              </w:rPr>
              <w:t>按要求建设园区隔离带、绿化防护带等设施。</w:t>
            </w:r>
          </w:p>
          <w:p w14:paraId="7EA3EC49">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（6）</w:t>
            </w:r>
            <w:r>
              <w:rPr>
                <w:rFonts w:hint="eastAsia" w:hAnsi="宋体" w:eastAsia="宋体"/>
                <w:color w:val="auto"/>
                <w:kern w:val="0"/>
                <w:sz w:val="21"/>
                <w:szCs w:val="21"/>
                <w:highlight w:val="none"/>
                <w:lang w:val="zh-CN" w:eastAsia="zh-CN"/>
              </w:rPr>
              <w:t>加强消防和风险事故防范意识和应急措施，特别是使用易燃、易爆、有毒、有害等危险化学品的企业，必须有相应的危险品管理制度。建立完备的事故废水调储系统。厂区分区防渗；建立区域土壤及地下水监测监控体系。</w:t>
            </w:r>
          </w:p>
        </w:tc>
        <w:tc>
          <w:tcPr>
            <w:tcW w:w="5971" w:type="dxa"/>
            <w:tcBorders>
              <w:tl2br w:val="nil"/>
              <w:tr2bl w:val="nil"/>
            </w:tcBorders>
            <w:noWrap w:val="0"/>
            <w:vAlign w:val="center"/>
          </w:tcPr>
          <w:p w14:paraId="4F86E9F0">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rPr>
            </w:pPr>
            <w:r>
              <w:rPr>
                <w:rFonts w:hint="eastAsia" w:hAnsi="宋体" w:eastAsia="宋体"/>
                <w:color w:val="auto"/>
                <w:kern w:val="0"/>
                <w:sz w:val="21"/>
                <w:szCs w:val="21"/>
                <w:highlight w:val="none"/>
              </w:rPr>
              <w:t>本项目</w:t>
            </w:r>
            <w:r>
              <w:rPr>
                <w:rFonts w:hint="eastAsia" w:hAnsi="宋体" w:eastAsia="宋体"/>
                <w:color w:val="auto"/>
                <w:kern w:val="0"/>
                <w:sz w:val="21"/>
                <w:szCs w:val="21"/>
                <w:highlight w:val="none"/>
                <w:lang w:val="en-US" w:eastAsia="zh-CN"/>
              </w:rPr>
              <w:t>严格按照要求采取厂区分区防渗措施，</w:t>
            </w:r>
            <w:r>
              <w:rPr>
                <w:rFonts w:hint="eastAsia" w:hAnsi="宋体" w:eastAsia="宋体"/>
                <w:color w:val="auto"/>
                <w:kern w:val="0"/>
                <w:sz w:val="21"/>
                <w:szCs w:val="21"/>
                <w:highlight w:val="none"/>
              </w:rPr>
              <w:t>制定</w:t>
            </w:r>
            <w:r>
              <w:rPr>
                <w:rFonts w:hint="eastAsia" w:hAnsi="宋体" w:eastAsia="宋体"/>
                <w:color w:val="auto"/>
                <w:kern w:val="0"/>
                <w:sz w:val="21"/>
                <w:szCs w:val="21"/>
                <w:highlight w:val="none"/>
                <w:lang w:val="en-US" w:eastAsia="zh-CN"/>
              </w:rPr>
              <w:t>突发</w:t>
            </w:r>
            <w:r>
              <w:rPr>
                <w:rFonts w:hint="eastAsia" w:hAnsi="宋体" w:eastAsia="宋体"/>
                <w:color w:val="auto"/>
                <w:kern w:val="0"/>
                <w:sz w:val="21"/>
                <w:szCs w:val="21"/>
                <w:highlight w:val="none"/>
              </w:rPr>
              <w:t>环境</w:t>
            </w:r>
            <w:r>
              <w:rPr>
                <w:rFonts w:hint="eastAsia" w:hAnsi="宋体" w:eastAsia="宋体"/>
                <w:color w:val="auto"/>
                <w:kern w:val="0"/>
                <w:sz w:val="21"/>
                <w:szCs w:val="21"/>
                <w:highlight w:val="none"/>
                <w:lang w:val="en-US" w:eastAsia="zh-CN"/>
              </w:rPr>
              <w:t>事件</w:t>
            </w:r>
            <w:r>
              <w:rPr>
                <w:rFonts w:hint="eastAsia" w:hAnsi="宋体" w:eastAsia="宋体"/>
                <w:color w:val="auto"/>
                <w:kern w:val="0"/>
                <w:sz w:val="21"/>
                <w:szCs w:val="21"/>
                <w:highlight w:val="none"/>
              </w:rPr>
              <w:t>风险应急预案，并组织应急安全人员，配备应急设施和物资；本项目将制定环境监测计划，加强对环境的管理。</w:t>
            </w:r>
          </w:p>
        </w:tc>
        <w:tc>
          <w:tcPr>
            <w:tcW w:w="0" w:type="auto"/>
            <w:tcBorders>
              <w:tl2br w:val="nil"/>
              <w:tr2bl w:val="nil"/>
            </w:tcBorders>
            <w:noWrap w:val="0"/>
            <w:vAlign w:val="center"/>
          </w:tcPr>
          <w:p w14:paraId="7D7AB953">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lang w:val="en-US" w:eastAsia="zh-CN"/>
              </w:rPr>
            </w:pPr>
            <w:r>
              <w:rPr>
                <w:rFonts w:hint="eastAsia" w:hAnsi="宋体" w:eastAsia="宋体"/>
                <w:color w:val="auto"/>
                <w:kern w:val="0"/>
                <w:sz w:val="21"/>
                <w:szCs w:val="21"/>
                <w:highlight w:val="none"/>
                <w:lang w:val="en-US" w:eastAsia="zh-CN"/>
              </w:rPr>
              <w:t>符合</w:t>
            </w:r>
          </w:p>
        </w:tc>
      </w:tr>
      <w:tr w14:paraId="62E7D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dxa"/>
            <w:tcBorders>
              <w:tl2br w:val="nil"/>
              <w:tr2bl w:val="nil"/>
            </w:tcBorders>
            <w:noWrap w:val="0"/>
            <w:vAlign w:val="center"/>
          </w:tcPr>
          <w:p w14:paraId="4C1E3CC2">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zh-CN"/>
              </w:rPr>
              <w:t>资源利用效率要求</w:t>
            </w:r>
          </w:p>
        </w:tc>
        <w:tc>
          <w:tcPr>
            <w:tcW w:w="7200" w:type="dxa"/>
            <w:tcBorders>
              <w:tl2br w:val="nil"/>
              <w:tr2bl w:val="nil"/>
            </w:tcBorders>
            <w:noWrap w:val="0"/>
            <w:vAlign w:val="center"/>
          </w:tcPr>
          <w:p w14:paraId="252C5ED4">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（1）</w:t>
            </w:r>
            <w:r>
              <w:rPr>
                <w:rFonts w:hint="eastAsia" w:hAnsi="宋体" w:eastAsia="宋体"/>
                <w:color w:val="auto"/>
                <w:kern w:val="0"/>
                <w:sz w:val="21"/>
                <w:szCs w:val="21"/>
                <w:highlight w:val="none"/>
                <w:lang w:val="zh-CN" w:eastAsia="zh-CN"/>
              </w:rPr>
              <w:t>执行锡林郭勒盟总体准入要求中第四条关于资源开发效率的准入要求。</w:t>
            </w:r>
          </w:p>
          <w:p w14:paraId="05865D63">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（2）</w:t>
            </w:r>
            <w:r>
              <w:rPr>
                <w:rFonts w:hint="eastAsia" w:hAnsi="宋体" w:eastAsia="宋体"/>
                <w:color w:val="auto"/>
                <w:kern w:val="0"/>
                <w:sz w:val="21"/>
                <w:szCs w:val="21"/>
                <w:highlight w:val="none"/>
                <w:lang w:val="zh-CN" w:eastAsia="zh-CN"/>
              </w:rPr>
              <w:t>实行地下水“五控”制度。“五控”即严格管控地下水开发利用总量、水位、用途、水质及机电井数量。</w:t>
            </w:r>
          </w:p>
          <w:p w14:paraId="292CC772">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（3）</w:t>
            </w:r>
            <w:r>
              <w:rPr>
                <w:rFonts w:hint="eastAsia" w:hAnsi="宋体" w:eastAsia="宋体"/>
                <w:color w:val="auto"/>
                <w:kern w:val="0"/>
                <w:sz w:val="21"/>
                <w:szCs w:val="21"/>
                <w:highlight w:val="none"/>
                <w:lang w:val="zh-CN" w:eastAsia="zh-CN"/>
              </w:rPr>
              <w:t>园区严禁高耗水项目入驻，合理控制产业发展规模；鼓励企业内部中水回用，并使其工艺用水重复利用率达到国家规定的要求。</w:t>
            </w:r>
          </w:p>
          <w:p w14:paraId="429A7835">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（4）</w:t>
            </w:r>
            <w:r>
              <w:rPr>
                <w:rFonts w:hint="eastAsia" w:hAnsi="宋体" w:eastAsia="宋体"/>
                <w:color w:val="auto"/>
                <w:kern w:val="0"/>
                <w:sz w:val="21"/>
                <w:szCs w:val="21"/>
                <w:highlight w:val="none"/>
                <w:lang w:val="zh-CN" w:eastAsia="zh-CN"/>
              </w:rPr>
              <w:t>加强工业取用水管理。淘汰落后产能，加快企业改造升级、提高工业用水的</w:t>
            </w:r>
          </w:p>
          <w:p w14:paraId="4A61CCC3">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（5）</w:t>
            </w:r>
            <w:r>
              <w:rPr>
                <w:rFonts w:hint="eastAsia" w:hAnsi="宋体" w:eastAsia="宋体"/>
                <w:color w:val="auto"/>
                <w:kern w:val="0"/>
                <w:sz w:val="21"/>
                <w:szCs w:val="21"/>
                <w:highlight w:val="none"/>
                <w:lang w:val="zh-CN" w:eastAsia="zh-CN"/>
              </w:rPr>
              <w:t>循环利用率，加强再生水等非常规水源利用。新建项目的用水定额必须符合《内蒙古自治区行业用水定额标准》。强化用水监控管理，对纳入取水许可管理的单位实行计划用水管理。对各类取用水户定期开展水平衡测试工作，促进取用水户节水水平和用水效率的提高。</w:t>
            </w:r>
          </w:p>
          <w:p w14:paraId="628368D4">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eastAsia" w:hAnsi="宋体" w:eastAsia="宋体"/>
                <w:color w:val="auto"/>
                <w:kern w:val="0"/>
                <w:sz w:val="21"/>
                <w:szCs w:val="21"/>
                <w:highlight w:val="none"/>
                <w:lang w:val="zh-CN"/>
              </w:rPr>
            </w:pPr>
            <w:r>
              <w:rPr>
                <w:rFonts w:hint="eastAsia" w:hAnsi="宋体" w:eastAsia="宋体"/>
                <w:color w:val="auto"/>
                <w:kern w:val="0"/>
                <w:sz w:val="21"/>
                <w:szCs w:val="21"/>
                <w:highlight w:val="none"/>
                <w:lang w:val="en-US" w:eastAsia="zh-CN"/>
              </w:rPr>
              <w:t>（6）</w:t>
            </w:r>
            <w:r>
              <w:rPr>
                <w:rFonts w:hint="eastAsia" w:hAnsi="宋体" w:eastAsia="宋体"/>
                <w:color w:val="auto"/>
                <w:kern w:val="0"/>
                <w:sz w:val="21"/>
                <w:szCs w:val="21"/>
                <w:highlight w:val="none"/>
                <w:lang w:val="zh-CN" w:eastAsia="zh-CN"/>
              </w:rPr>
              <w:t>大力推进节水企业、节水工业园区建设。</w:t>
            </w:r>
          </w:p>
        </w:tc>
        <w:tc>
          <w:tcPr>
            <w:tcW w:w="5971" w:type="dxa"/>
            <w:tcBorders>
              <w:tl2br w:val="nil"/>
              <w:tr2bl w:val="nil"/>
            </w:tcBorders>
            <w:noWrap w:val="0"/>
            <w:vAlign w:val="center"/>
          </w:tcPr>
          <w:p w14:paraId="77A3DBB2">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hAnsi="宋体" w:eastAsia="宋体"/>
                <w:color w:val="auto"/>
                <w:kern w:val="0"/>
                <w:sz w:val="21"/>
                <w:szCs w:val="21"/>
                <w:highlight w:val="none"/>
                <w:lang w:val="en-US" w:eastAsia="zh-CN"/>
              </w:rPr>
            </w:pPr>
            <w:r>
              <w:rPr>
                <w:rFonts w:hint="eastAsia" w:hAnsi="宋体" w:eastAsia="宋体"/>
                <w:color w:val="auto"/>
                <w:kern w:val="0"/>
                <w:sz w:val="21"/>
                <w:szCs w:val="21"/>
                <w:highlight w:val="none"/>
              </w:rPr>
              <w:t>本项目</w:t>
            </w:r>
            <w:r>
              <w:rPr>
                <w:rFonts w:hint="eastAsia" w:hAnsi="宋体" w:eastAsia="宋体"/>
                <w:color w:val="auto"/>
                <w:kern w:val="0"/>
                <w:sz w:val="21"/>
                <w:szCs w:val="21"/>
                <w:highlight w:val="none"/>
                <w:lang w:val="en-US" w:eastAsia="zh-CN"/>
              </w:rPr>
              <w:t>为洗选非金属矿项目，</w:t>
            </w:r>
            <w:r>
              <w:rPr>
                <w:rFonts w:hint="eastAsia" w:hAnsi="宋体" w:eastAsia="宋体"/>
                <w:color w:val="auto"/>
                <w:kern w:val="0"/>
                <w:sz w:val="21"/>
                <w:szCs w:val="21"/>
                <w:highlight w:val="none"/>
              </w:rPr>
              <w:t>不涉及采矿，萤石矿石来源为</w:t>
            </w:r>
            <w:r>
              <w:rPr>
                <w:rFonts w:hint="eastAsia" w:hAnsi="宋体" w:eastAsia="宋体"/>
                <w:color w:val="auto"/>
                <w:kern w:val="0"/>
                <w:sz w:val="21"/>
                <w:szCs w:val="21"/>
                <w:highlight w:val="none"/>
                <w:lang w:val="en-US" w:eastAsia="zh-CN"/>
              </w:rPr>
              <w:t>本公司合作开采的自备矿（多伦县长仙敖包萤石矿、阜新蒙古族自治县平安地镇少冷萤石矿业有限公司、蒙古国马利萤石矿业有限责任公司）</w:t>
            </w:r>
            <w:r>
              <w:rPr>
                <w:rFonts w:hint="eastAsia" w:hAnsi="宋体" w:eastAsia="宋体"/>
                <w:color w:val="auto"/>
                <w:kern w:val="0"/>
                <w:sz w:val="21"/>
                <w:szCs w:val="21"/>
                <w:highlight w:val="none"/>
              </w:rPr>
              <w:t>，选矿回收率达到90%</w:t>
            </w:r>
            <w:r>
              <w:rPr>
                <w:rFonts w:hint="eastAsia" w:hAnsi="宋体" w:eastAsia="宋体"/>
                <w:color w:val="auto"/>
                <w:kern w:val="0"/>
                <w:sz w:val="21"/>
                <w:szCs w:val="21"/>
                <w:highlight w:val="none"/>
                <w:lang w:val="en-US" w:eastAsia="zh-CN"/>
              </w:rPr>
              <w:t>以上</w:t>
            </w:r>
            <w:r>
              <w:rPr>
                <w:rFonts w:hint="eastAsia" w:hAnsi="宋体" w:eastAsia="宋体"/>
                <w:color w:val="auto"/>
                <w:kern w:val="0"/>
                <w:sz w:val="21"/>
                <w:szCs w:val="21"/>
                <w:highlight w:val="none"/>
              </w:rPr>
              <w:t>。</w:t>
            </w:r>
            <w:r>
              <w:rPr>
                <w:rFonts w:hint="eastAsia" w:hAnsi="宋体" w:eastAsia="宋体"/>
                <w:color w:val="auto"/>
                <w:kern w:val="0"/>
                <w:sz w:val="21"/>
                <w:szCs w:val="21"/>
                <w:highlight w:val="none"/>
                <w:lang w:val="en-US" w:eastAsia="zh-CN"/>
              </w:rPr>
              <w:t>生产所需洗选水补充水使用中水，不新增新鲜水，洗选用水循环利用，不外排。</w:t>
            </w:r>
          </w:p>
        </w:tc>
        <w:tc>
          <w:tcPr>
            <w:tcW w:w="0" w:type="auto"/>
            <w:tcBorders>
              <w:tl2br w:val="nil"/>
              <w:tr2bl w:val="nil"/>
            </w:tcBorders>
            <w:noWrap w:val="0"/>
            <w:vAlign w:val="center"/>
          </w:tcPr>
          <w:p w14:paraId="754F8C26">
            <w:pPr>
              <w:pStyle w:val="84"/>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eastAsia" w:hAnsi="宋体" w:eastAsia="宋体"/>
                <w:color w:val="auto"/>
                <w:kern w:val="0"/>
                <w:sz w:val="21"/>
                <w:szCs w:val="21"/>
                <w:highlight w:val="none"/>
                <w:lang w:val="en-US" w:eastAsia="zh-CN"/>
              </w:rPr>
            </w:pPr>
            <w:r>
              <w:rPr>
                <w:rFonts w:hint="eastAsia" w:hAnsi="宋体" w:eastAsia="宋体"/>
                <w:color w:val="auto"/>
                <w:kern w:val="0"/>
                <w:sz w:val="21"/>
                <w:szCs w:val="21"/>
                <w:highlight w:val="none"/>
                <w:lang w:val="en-US" w:eastAsia="zh-CN"/>
              </w:rPr>
              <w:t>符合</w:t>
            </w:r>
          </w:p>
        </w:tc>
      </w:tr>
    </w:tbl>
    <w:p w14:paraId="3B1D6F89">
      <w:pPr>
        <w:pStyle w:val="199"/>
        <w:spacing w:before="120"/>
        <w:rPr>
          <w:rFonts w:hint="eastAsia"/>
          <w:color w:val="auto"/>
          <w:sz w:val="24"/>
          <w:highlight w:val="none"/>
        </w:rPr>
      </w:pPr>
    </w:p>
    <w:p w14:paraId="000A7009">
      <w:pPr>
        <w:pStyle w:val="199"/>
        <w:spacing w:before="120"/>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6920230" cy="4893945"/>
            <wp:effectExtent l="0" t="0" r="13970" b="1905"/>
            <wp:docPr id="5" name="图片 32" descr="项目选址与“三线一单”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descr="项目选址与“三线一单”位置关系图"/>
                    <pic:cNvPicPr>
                      <a:picLocks noChangeAspect="1"/>
                    </pic:cNvPicPr>
                  </pic:nvPicPr>
                  <pic:blipFill>
                    <a:blip r:embed="rId28"/>
                    <a:stretch>
                      <a:fillRect/>
                    </a:stretch>
                  </pic:blipFill>
                  <pic:spPr>
                    <a:xfrm>
                      <a:off x="0" y="0"/>
                      <a:ext cx="6920230" cy="4893945"/>
                    </a:xfrm>
                    <a:prstGeom prst="rect">
                      <a:avLst/>
                    </a:prstGeom>
                    <a:noFill/>
                    <a:ln>
                      <a:noFill/>
                    </a:ln>
                  </pic:spPr>
                </pic:pic>
              </a:graphicData>
            </a:graphic>
          </wp:inline>
        </w:drawing>
      </w:r>
    </w:p>
    <w:p w14:paraId="721D53F4">
      <w:pPr>
        <w:pStyle w:val="199"/>
        <w:spacing w:before="120"/>
        <w:rPr>
          <w:rFonts w:hint="eastAsia"/>
          <w:color w:val="auto"/>
          <w:sz w:val="24"/>
          <w:highlight w:val="none"/>
        </w:rPr>
      </w:pPr>
      <w:r>
        <w:rPr>
          <w:rFonts w:hint="eastAsia"/>
          <w:b/>
          <w:bCs/>
          <w:color w:val="auto"/>
          <w:highlight w:val="none"/>
        </w:rPr>
        <w:t>图1.3-</w:t>
      </w:r>
      <w:r>
        <w:rPr>
          <w:rFonts w:hint="eastAsia"/>
          <w:b/>
          <w:bCs/>
          <w:color w:val="auto"/>
          <w:highlight w:val="none"/>
          <w:lang w:val="en-US" w:eastAsia="zh-CN"/>
        </w:rPr>
        <w:t>2</w:t>
      </w:r>
      <w:r>
        <w:rPr>
          <w:rFonts w:hint="eastAsia"/>
          <w:b/>
          <w:bCs/>
          <w:color w:val="auto"/>
          <w:highlight w:val="none"/>
        </w:rPr>
        <w:t xml:space="preserve">  </w:t>
      </w:r>
      <w:r>
        <w:rPr>
          <w:rFonts w:hint="eastAsia"/>
          <w:b/>
          <w:bCs/>
          <w:color w:val="auto"/>
          <w:highlight w:val="none"/>
          <w:lang w:val="en-US" w:eastAsia="zh-CN"/>
        </w:rPr>
        <w:t>项目选址与“三线一单”位置关系</w:t>
      </w:r>
      <w:r>
        <w:rPr>
          <w:rFonts w:hint="eastAsia"/>
          <w:b/>
          <w:bCs/>
          <w:color w:val="auto"/>
          <w:highlight w:val="none"/>
        </w:rPr>
        <w:t>图</w:t>
      </w:r>
    </w:p>
    <w:p w14:paraId="4365A949">
      <w:pPr>
        <w:ind w:firstLine="480"/>
        <w:rPr>
          <w:rFonts w:hint="eastAsia"/>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73310F9D">
      <w:pPr>
        <w:ind w:firstLine="480"/>
        <w:rPr>
          <w:rFonts w:hint="eastAsia"/>
          <w:color w:val="auto"/>
          <w:highlight w:val="none"/>
        </w:rPr>
      </w:pPr>
      <w:r>
        <w:rPr>
          <w:rFonts w:hint="eastAsia"/>
          <w:color w:val="auto"/>
          <w:highlight w:val="none"/>
        </w:rPr>
        <w:t>综上所述，本项目符合生态保护红线、环境质量底线、资源利用上线和生态环境准入清单的要求。</w:t>
      </w:r>
    </w:p>
    <w:p w14:paraId="48EC99D4">
      <w:pPr>
        <w:pStyle w:val="5"/>
        <w:rPr>
          <w:color w:val="auto"/>
          <w:highlight w:val="none"/>
        </w:rPr>
      </w:pPr>
      <w:bookmarkStart w:id="18" w:name="_Toc24447049"/>
      <w:bookmarkStart w:id="19" w:name="_Toc24447598"/>
      <w:bookmarkStart w:id="20" w:name="_Toc24340203"/>
      <w:bookmarkStart w:id="21" w:name="_Toc24447051"/>
      <w:r>
        <w:rPr>
          <w:rFonts w:hint="eastAsia"/>
          <w:color w:val="auto"/>
          <w:highlight w:val="none"/>
        </w:rPr>
        <w:t>选址合理性分析</w:t>
      </w:r>
      <w:bookmarkEnd w:id="18"/>
    </w:p>
    <w:p w14:paraId="63CF3989">
      <w:pPr>
        <w:ind w:firstLine="480"/>
        <w:rPr>
          <w:rFonts w:hint="eastAsia" w:ascii="宋体" w:hAnsi="宋体" w:eastAsia="宋体" w:cs="宋体"/>
          <w:color w:val="auto"/>
          <w:spacing w:val="5"/>
          <w:sz w:val="24"/>
          <w:szCs w:val="24"/>
          <w:highlight w:val="none"/>
          <w:lang w:eastAsia="zh-CN"/>
        </w:rPr>
      </w:pPr>
      <w:r>
        <w:rPr>
          <w:rFonts w:hint="eastAsia"/>
          <w:color w:val="auto"/>
          <w:highlight w:val="none"/>
        </w:rPr>
        <w:t>本项目拟</w:t>
      </w:r>
      <w:r>
        <w:rPr>
          <w:rFonts w:hint="eastAsia"/>
          <w:color w:val="auto"/>
          <w:highlight w:val="none"/>
          <w:lang w:val="en-US" w:eastAsia="zh-CN"/>
        </w:rPr>
        <w:t>租赁内蒙古锡林郭勒多伦经济开发区多伦县隆盛新型建材有限公司院内闲置土地25亩，用地性质为“工业用地”（用地手续见</w:t>
      </w:r>
      <w:r>
        <w:rPr>
          <w:rFonts w:hint="eastAsia"/>
          <w:color w:val="auto"/>
          <w:highlight w:val="none"/>
          <w:u w:val="single"/>
          <w:lang w:val="en-US" w:eastAsia="zh-CN"/>
        </w:rPr>
        <w:t>附件3</w:t>
      </w:r>
      <w:r>
        <w:rPr>
          <w:rFonts w:hint="eastAsia"/>
          <w:color w:val="auto"/>
          <w:highlight w:val="none"/>
          <w:lang w:val="en-US" w:eastAsia="zh-CN"/>
        </w:rPr>
        <w:t>）</w:t>
      </w:r>
      <w:r>
        <w:rPr>
          <w:rFonts w:hint="eastAsia"/>
          <w:color w:val="auto"/>
          <w:highlight w:val="none"/>
        </w:rPr>
        <w:t>，</w:t>
      </w:r>
      <w:r>
        <w:rPr>
          <w:rFonts w:hint="eastAsia"/>
          <w:color w:val="auto"/>
          <w:highlight w:val="none"/>
          <w:lang w:val="en-US" w:eastAsia="zh-CN"/>
        </w:rPr>
        <w:t>符合用地性质要求；</w:t>
      </w:r>
      <w:r>
        <w:rPr>
          <w:rFonts w:hint="eastAsia" w:ascii="宋体" w:hAnsi="宋体" w:eastAsia="宋体" w:cs="宋体"/>
          <w:color w:val="auto"/>
          <w:spacing w:val="5"/>
          <w:sz w:val="24"/>
          <w:szCs w:val="24"/>
          <w:highlight w:val="none"/>
          <w:lang w:val="en-US" w:eastAsia="zh-CN"/>
        </w:rPr>
        <w:t>本</w:t>
      </w:r>
      <w:r>
        <w:rPr>
          <w:rFonts w:hint="eastAsia"/>
          <w:color w:val="auto"/>
          <w:highlight w:val="none"/>
        </w:rPr>
        <w:t>项目</w:t>
      </w:r>
      <w:r>
        <w:rPr>
          <w:rFonts w:hint="eastAsia"/>
          <w:color w:val="auto"/>
          <w:highlight w:val="none"/>
          <w:lang w:val="en-US" w:eastAsia="zh-CN"/>
        </w:rPr>
        <w:t>选址位于园区规划</w:t>
      </w:r>
      <w:r>
        <w:rPr>
          <w:rFonts w:hint="eastAsia"/>
          <w:b w:val="0"/>
          <w:bCs w:val="0"/>
          <w:color w:val="auto"/>
          <w:highlight w:val="none"/>
          <w:u w:val="none"/>
          <w:lang w:val="en-US" w:eastAsia="zh-CN"/>
        </w:rPr>
        <w:t>“冶金及新材料产业板块”内</w:t>
      </w:r>
      <w:r>
        <w:rPr>
          <w:rFonts w:hint="eastAsia"/>
          <w:color w:val="auto"/>
          <w:highlight w:val="none"/>
        </w:rPr>
        <w:t>，符合园区总体规划</w:t>
      </w:r>
      <w:r>
        <w:rPr>
          <w:rFonts w:hint="eastAsia"/>
          <w:color w:val="auto"/>
          <w:highlight w:val="none"/>
          <w:lang w:val="en-US" w:eastAsia="zh-CN"/>
        </w:rPr>
        <w:t>产业布局要求</w:t>
      </w:r>
      <w:r>
        <w:rPr>
          <w:rFonts w:hint="eastAsia"/>
          <w:color w:val="auto"/>
          <w:highlight w:val="none"/>
          <w:lang w:eastAsia="zh-CN"/>
        </w:rPr>
        <w:t>；</w:t>
      </w:r>
      <w:r>
        <w:rPr>
          <w:rFonts w:hint="eastAsia"/>
          <w:color w:val="auto"/>
          <w:highlight w:val="none"/>
          <w:lang w:val="en-US" w:eastAsia="zh-CN"/>
        </w:rPr>
        <w:t>项目</w:t>
      </w:r>
      <w:r>
        <w:rPr>
          <w:rFonts w:ascii="宋体" w:hAnsi="宋体" w:eastAsia="宋体" w:cs="宋体"/>
          <w:color w:val="auto"/>
          <w:spacing w:val="5"/>
          <w:sz w:val="24"/>
          <w:szCs w:val="24"/>
          <w:highlight w:val="none"/>
        </w:rPr>
        <w:t>选址符合</w:t>
      </w:r>
      <w:r>
        <w:rPr>
          <w:rFonts w:ascii="Times New Roman" w:hAnsi="Times New Roman" w:eastAsia="Times New Roman" w:cs="Times New Roman"/>
          <w:color w:val="auto"/>
          <w:spacing w:val="5"/>
          <w:sz w:val="24"/>
          <w:szCs w:val="24"/>
          <w:highlight w:val="none"/>
        </w:rPr>
        <w:t>“</w:t>
      </w:r>
      <w:r>
        <w:rPr>
          <w:rFonts w:ascii="宋体" w:hAnsi="宋体" w:eastAsia="宋体" w:cs="宋体"/>
          <w:color w:val="auto"/>
          <w:spacing w:val="5"/>
          <w:sz w:val="24"/>
          <w:szCs w:val="24"/>
          <w:highlight w:val="none"/>
        </w:rPr>
        <w:t>三线一单</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管控</w:t>
      </w:r>
      <w:r>
        <w:rPr>
          <w:rFonts w:ascii="宋体" w:hAnsi="宋体" w:eastAsia="宋体" w:cs="宋体"/>
          <w:color w:val="auto"/>
          <w:spacing w:val="5"/>
          <w:sz w:val="24"/>
          <w:szCs w:val="24"/>
          <w:highlight w:val="none"/>
        </w:rPr>
        <w:t>要求。</w:t>
      </w:r>
      <w:r>
        <w:rPr>
          <w:rFonts w:ascii="宋体" w:hAnsi="宋体" w:eastAsia="宋体" w:cs="宋体"/>
          <w:color w:val="auto"/>
          <w:spacing w:val="4"/>
          <w:sz w:val="24"/>
          <w:szCs w:val="24"/>
          <w:highlight w:val="none"/>
        </w:rPr>
        <w:t>项目所采取的环保措</w:t>
      </w:r>
      <w:r>
        <w:rPr>
          <w:rFonts w:ascii="宋体" w:hAnsi="宋体" w:eastAsia="宋体" w:cs="宋体"/>
          <w:color w:val="auto"/>
          <w:spacing w:val="5"/>
          <w:sz w:val="24"/>
          <w:szCs w:val="24"/>
          <w:highlight w:val="none"/>
        </w:rPr>
        <w:t>施能够满足污染防治要求，不会降低该区域现有环境功能。本项</w:t>
      </w:r>
      <w:r>
        <w:rPr>
          <w:rFonts w:ascii="宋体" w:hAnsi="宋体" w:eastAsia="宋体" w:cs="宋体"/>
          <w:color w:val="auto"/>
          <w:spacing w:val="4"/>
          <w:sz w:val="24"/>
          <w:szCs w:val="24"/>
          <w:highlight w:val="none"/>
        </w:rPr>
        <w:t>目所在区域环境质量</w:t>
      </w:r>
      <w:r>
        <w:rPr>
          <w:rFonts w:ascii="宋体" w:hAnsi="宋体" w:eastAsia="宋体" w:cs="宋体"/>
          <w:color w:val="auto"/>
          <w:spacing w:val="-2"/>
          <w:sz w:val="24"/>
          <w:szCs w:val="24"/>
          <w:highlight w:val="none"/>
        </w:rPr>
        <w:t>现状较好，评价区域有一定的环境容量。</w:t>
      </w:r>
      <w:r>
        <w:rPr>
          <w:rFonts w:hint="eastAsia"/>
          <w:color w:val="auto"/>
          <w:highlight w:val="none"/>
          <w:lang w:val="en-US" w:eastAsia="zh-CN"/>
        </w:rPr>
        <w:t>项目选址</w:t>
      </w:r>
      <w:r>
        <w:rPr>
          <w:rFonts w:ascii="宋体" w:hAnsi="宋体" w:eastAsia="宋体" w:cs="宋体"/>
          <w:color w:val="auto"/>
          <w:spacing w:val="-2"/>
          <w:sz w:val="24"/>
          <w:szCs w:val="24"/>
          <w:highlight w:val="none"/>
        </w:rPr>
        <w:t>不涉及永久基本农田，</w:t>
      </w:r>
      <w:r>
        <w:rPr>
          <w:rFonts w:ascii="宋体" w:hAnsi="宋体" w:eastAsia="宋体" w:cs="宋体"/>
          <w:color w:val="auto"/>
          <w:spacing w:val="5"/>
          <w:sz w:val="24"/>
          <w:szCs w:val="24"/>
          <w:highlight w:val="none"/>
        </w:rPr>
        <w:t>亦不在风景名胜区、自然保护区</w:t>
      </w:r>
      <w:r>
        <w:rPr>
          <w:rFonts w:hint="eastAsia" w:ascii="宋体" w:hAnsi="宋体" w:cs="宋体"/>
          <w:color w:val="auto"/>
          <w:spacing w:val="5"/>
          <w:sz w:val="24"/>
          <w:szCs w:val="24"/>
          <w:highlight w:val="none"/>
          <w:lang w:val="en-US" w:eastAsia="zh-CN"/>
        </w:rPr>
        <w:t>范围</w:t>
      </w:r>
      <w:r>
        <w:rPr>
          <w:rFonts w:ascii="宋体" w:hAnsi="宋体" w:eastAsia="宋体" w:cs="宋体"/>
          <w:color w:val="auto"/>
          <w:spacing w:val="5"/>
          <w:sz w:val="24"/>
          <w:szCs w:val="24"/>
          <w:highlight w:val="none"/>
        </w:rPr>
        <w:t>内</w:t>
      </w:r>
      <w:r>
        <w:rPr>
          <w:rFonts w:hint="eastAsia" w:ascii="宋体" w:hAnsi="宋体" w:cs="宋体"/>
          <w:color w:val="auto"/>
          <w:spacing w:val="5"/>
          <w:sz w:val="24"/>
          <w:szCs w:val="24"/>
          <w:highlight w:val="none"/>
          <w:lang w:eastAsia="zh-CN"/>
        </w:rPr>
        <w:t>。</w:t>
      </w:r>
    </w:p>
    <w:p w14:paraId="4043222A">
      <w:pPr>
        <w:ind w:firstLine="480"/>
        <w:rPr>
          <w:color w:val="auto"/>
          <w:highlight w:val="none"/>
        </w:rPr>
      </w:pPr>
      <w:r>
        <w:rPr>
          <w:rFonts w:hint="eastAsia"/>
          <w:color w:val="auto"/>
          <w:highlight w:val="none"/>
        </w:rPr>
        <w:t>本次评价过程中建设单位对本项目环境影响评价内容进行了首次公示和二次公示。在两次公示的公示期内，建设单位未收到反对本项目建设的反馈意见。</w:t>
      </w:r>
    </w:p>
    <w:p w14:paraId="3C600396">
      <w:pPr>
        <w:ind w:firstLine="480"/>
        <w:rPr>
          <w:color w:val="auto"/>
          <w:highlight w:val="none"/>
        </w:rPr>
      </w:pPr>
      <w:r>
        <w:rPr>
          <w:rFonts w:hint="eastAsia"/>
          <w:color w:val="auto"/>
          <w:highlight w:val="none"/>
        </w:rPr>
        <w:t>综合上述分析，本项目的选址总体可行。</w:t>
      </w:r>
    </w:p>
    <w:p w14:paraId="2633A090">
      <w:pPr>
        <w:pStyle w:val="5"/>
        <w:rPr>
          <w:rFonts w:hint="eastAsia"/>
          <w:color w:val="auto"/>
          <w:highlight w:val="none"/>
          <w:lang w:val="en-US" w:eastAsia="zh-CN"/>
        </w:rPr>
      </w:pPr>
      <w:r>
        <w:rPr>
          <w:rFonts w:hint="eastAsia"/>
          <w:color w:val="auto"/>
          <w:highlight w:val="none"/>
          <w:lang w:val="en-US" w:eastAsia="zh-CN"/>
        </w:rPr>
        <w:t>与《萤石行业准入标准》符合性分析</w:t>
      </w:r>
    </w:p>
    <w:p w14:paraId="404AB316">
      <w:pPr>
        <w:pStyle w:val="169"/>
        <w:snapToGrid w:val="0"/>
        <w:spacing w:line="360" w:lineRule="auto"/>
        <w:ind w:firstLine="480" w:firstLineChars="200"/>
        <w:rPr>
          <w:rFonts w:hint="eastAsia" w:ascii="Times New Roman" w:eastAsia="Calibri" w:cs="Times New Roman"/>
          <w:color w:val="auto"/>
          <w:highlight w:val="none"/>
          <w:lang w:val="en-US" w:eastAsia="zh-CN"/>
        </w:rPr>
      </w:pPr>
      <w:r>
        <w:rPr>
          <w:rFonts w:hint="eastAsia" w:ascii="Times New Roman" w:eastAsia="Calibri" w:cs="Times New Roman"/>
          <w:color w:val="auto"/>
          <w:highlight w:val="none"/>
          <w:lang w:val="en-US" w:eastAsia="zh-CN"/>
        </w:rPr>
        <w:t>2010年2月24日，工业和信息化部等7部门联合发布《萤石行业准入标准公告》，要求各有关部门在对萤石建设项目核准(备案)管理、国土资源管理、环境影响评价、信贷融资、产品生产和出口、质量认证、工商注册登记、安全监管等工作中要以本准入标准为依据。</w:t>
      </w:r>
    </w:p>
    <w:p w14:paraId="2F2FAEE6">
      <w:pPr>
        <w:pStyle w:val="169"/>
        <w:snapToGrid w:val="0"/>
        <w:spacing w:line="360" w:lineRule="auto"/>
        <w:ind w:firstLine="480" w:firstLineChars="200"/>
        <w:rPr>
          <w:rFonts w:hint="eastAsia" w:ascii="Times New Roman" w:eastAsia="Calibri" w:cs="Times New Roman"/>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eastAsia="Calibri" w:cs="Times New Roman"/>
          <w:color w:val="auto"/>
          <w:highlight w:val="none"/>
          <w:lang w:val="en-US" w:eastAsia="zh-CN"/>
        </w:rPr>
        <w:t>本次分析仅摘录《萤石行业准入标准》中与本项目相关的条例规定进行分析比较，相符性对照分析见表1.3-2。</w:t>
      </w:r>
    </w:p>
    <w:p w14:paraId="65201DBA">
      <w:pPr>
        <w:pStyle w:val="199"/>
        <w:spacing w:before="120"/>
        <w:rPr>
          <w:rFonts w:hint="eastAsia"/>
          <w:color w:val="auto"/>
          <w:sz w:val="24"/>
          <w:highlight w:val="none"/>
        </w:rPr>
      </w:pPr>
      <w:r>
        <w:rPr>
          <w:rFonts w:hint="eastAsia"/>
          <w:color w:val="auto"/>
          <w:sz w:val="24"/>
          <w:highlight w:val="none"/>
        </w:rPr>
        <w:t>表1.</w:t>
      </w:r>
      <w:r>
        <w:rPr>
          <w:rFonts w:hint="eastAsia"/>
          <w:color w:val="auto"/>
          <w:sz w:val="24"/>
          <w:highlight w:val="none"/>
          <w:lang w:val="en-US" w:eastAsia="zh-CN"/>
        </w:rPr>
        <w:t>3-2</w:t>
      </w:r>
      <w:r>
        <w:rPr>
          <w:rFonts w:hint="eastAsia"/>
          <w:color w:val="auto"/>
          <w:sz w:val="24"/>
          <w:highlight w:val="none"/>
        </w:rPr>
        <w:t>《萤石行业准入标准》符合性分析</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5"/>
        <w:gridCol w:w="6242"/>
        <w:gridCol w:w="5965"/>
        <w:gridCol w:w="1152"/>
      </w:tblGrid>
      <w:tr w14:paraId="40252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6FF77D1B">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序号</w:t>
            </w:r>
          </w:p>
        </w:tc>
        <w:tc>
          <w:tcPr>
            <w:tcW w:w="4065" w:type="dxa"/>
            <w:tcBorders>
              <w:tl2br w:val="nil"/>
              <w:tr2bl w:val="nil"/>
            </w:tcBorders>
            <w:noWrap w:val="0"/>
            <w:vAlign w:val="center"/>
          </w:tcPr>
          <w:p w14:paraId="2EED8CAC">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auto"/>
                <w:highlight w:val="none"/>
                <w:lang w:val="en-US" w:eastAsia="zh-CN"/>
              </w:rPr>
            </w:pPr>
            <w:r>
              <w:rPr>
                <w:rFonts w:hint="default"/>
                <w:color w:val="auto"/>
                <w:highlight w:val="none"/>
              </w:rPr>
              <w:t>《萤石行业准入标准》要求</w:t>
            </w:r>
            <w:r>
              <w:rPr>
                <w:rFonts w:hint="eastAsia"/>
                <w:color w:val="auto"/>
                <w:highlight w:val="none"/>
                <w:lang w:val="en-US" w:eastAsia="zh-CN"/>
              </w:rPr>
              <w:t>内容</w:t>
            </w:r>
          </w:p>
        </w:tc>
        <w:tc>
          <w:tcPr>
            <w:tcW w:w="3885" w:type="dxa"/>
            <w:tcBorders>
              <w:tl2br w:val="nil"/>
              <w:tr2bl w:val="nil"/>
            </w:tcBorders>
            <w:noWrap w:val="0"/>
            <w:vAlign w:val="center"/>
          </w:tcPr>
          <w:p w14:paraId="48D6701F">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lang w:val="en-US" w:eastAsia="zh-CN"/>
              </w:rPr>
              <w:t>变更</w:t>
            </w:r>
            <w:r>
              <w:rPr>
                <w:rFonts w:hint="default"/>
                <w:color w:val="auto"/>
                <w:highlight w:val="none"/>
              </w:rPr>
              <w:t>项目</w:t>
            </w:r>
          </w:p>
        </w:tc>
        <w:tc>
          <w:tcPr>
            <w:tcW w:w="750" w:type="dxa"/>
            <w:tcBorders>
              <w:tl2br w:val="nil"/>
              <w:tr2bl w:val="nil"/>
            </w:tcBorders>
            <w:noWrap w:val="0"/>
            <w:vAlign w:val="center"/>
          </w:tcPr>
          <w:p w14:paraId="24B965ED">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highlight w:val="none"/>
                <w:lang w:val="en-US" w:eastAsia="zh-CN"/>
              </w:rPr>
            </w:pPr>
            <w:r>
              <w:rPr>
                <w:rFonts w:hint="eastAsia"/>
                <w:color w:val="auto"/>
                <w:highlight w:val="none"/>
                <w:lang w:val="en-US" w:eastAsia="zh-CN"/>
              </w:rPr>
              <w:t>符合性</w:t>
            </w:r>
          </w:p>
        </w:tc>
      </w:tr>
      <w:tr w14:paraId="5E3A3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2C3D5B3E">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一</w:t>
            </w:r>
          </w:p>
        </w:tc>
        <w:tc>
          <w:tcPr>
            <w:tcW w:w="8700" w:type="dxa"/>
            <w:gridSpan w:val="3"/>
            <w:tcBorders>
              <w:tl2br w:val="nil"/>
              <w:tr2bl w:val="nil"/>
            </w:tcBorders>
            <w:noWrap w:val="0"/>
            <w:vAlign w:val="center"/>
          </w:tcPr>
          <w:p w14:paraId="71E8FB67">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生产布局</w:t>
            </w:r>
          </w:p>
        </w:tc>
      </w:tr>
      <w:tr w14:paraId="63FCB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0669F68B">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1</w:t>
            </w:r>
          </w:p>
        </w:tc>
        <w:tc>
          <w:tcPr>
            <w:tcW w:w="4065" w:type="dxa"/>
            <w:tcBorders>
              <w:tl2br w:val="nil"/>
              <w:tr2bl w:val="nil"/>
            </w:tcBorders>
            <w:noWrap w:val="0"/>
            <w:vAlign w:val="center"/>
          </w:tcPr>
          <w:p w14:paraId="606F99D6">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萤石矿开采、选矿生产企业必须符合国家产业政策、矿产资源规划和产业规划，符合各省（自治区、直辖市）萤石行业发展规划、城市建设规划、土地利用总体规划、矿产资源规划、环境保护和污染防治规划要求</w:t>
            </w:r>
          </w:p>
        </w:tc>
        <w:tc>
          <w:tcPr>
            <w:tcW w:w="3885" w:type="dxa"/>
            <w:tcBorders>
              <w:tl2br w:val="nil"/>
              <w:tr2bl w:val="nil"/>
            </w:tcBorders>
            <w:noWrap w:val="0"/>
            <w:vAlign w:val="center"/>
          </w:tcPr>
          <w:p w14:paraId="7A75B8CF">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lang w:val="en-US" w:eastAsia="zh-CN"/>
              </w:rPr>
            </w:pPr>
            <w:r>
              <w:rPr>
                <w:rFonts w:hint="eastAsia"/>
                <w:color w:val="auto"/>
                <w:highlight w:val="none"/>
                <w:lang w:val="en-US" w:eastAsia="zh-CN"/>
              </w:rPr>
              <w:t>本</w:t>
            </w:r>
            <w:r>
              <w:rPr>
                <w:rFonts w:hint="default"/>
                <w:color w:val="auto"/>
                <w:highlight w:val="none"/>
              </w:rPr>
              <w:t>项目为萤石选矿项目，</w:t>
            </w:r>
            <w:r>
              <w:rPr>
                <w:rFonts w:hint="eastAsia"/>
                <w:color w:val="auto"/>
                <w:highlight w:val="none"/>
                <w:lang w:val="en-US" w:eastAsia="zh-CN"/>
              </w:rPr>
              <w:t>不</w:t>
            </w:r>
            <w:r>
              <w:rPr>
                <w:rFonts w:hint="default"/>
                <w:color w:val="auto"/>
                <w:highlight w:val="none"/>
              </w:rPr>
              <w:t>新建矿山，利用</w:t>
            </w:r>
            <w:r>
              <w:rPr>
                <w:rFonts w:hint="eastAsia"/>
                <w:color w:val="auto"/>
                <w:highlight w:val="none"/>
                <w:lang w:val="en-US" w:eastAsia="zh-CN"/>
              </w:rPr>
              <w:t>本公司合作开采的自备矿（多伦县长仙敖包萤石矿、阜新蒙古族自治县平安地镇少冷萤石矿业有限公司、蒙古国马利萤石矿业有限责任公司）</w:t>
            </w:r>
            <w:r>
              <w:rPr>
                <w:rFonts w:hint="default"/>
                <w:color w:val="auto"/>
                <w:highlight w:val="none"/>
              </w:rPr>
              <w:t>萤石矿</w:t>
            </w:r>
            <w:r>
              <w:rPr>
                <w:rFonts w:hint="eastAsia"/>
                <w:color w:val="auto"/>
                <w:highlight w:val="none"/>
                <w:lang w:val="en-US" w:eastAsia="zh-CN"/>
              </w:rPr>
              <w:t>作为原料</w:t>
            </w:r>
            <w:r>
              <w:rPr>
                <w:rFonts w:hint="eastAsia"/>
                <w:color w:val="auto"/>
                <w:highlight w:val="none"/>
                <w:lang w:eastAsia="zh-CN"/>
              </w:rPr>
              <w:t>。</w:t>
            </w:r>
          </w:p>
        </w:tc>
        <w:tc>
          <w:tcPr>
            <w:tcW w:w="750" w:type="dxa"/>
            <w:tcBorders>
              <w:tl2br w:val="nil"/>
              <w:tr2bl w:val="nil"/>
            </w:tcBorders>
            <w:noWrap w:val="0"/>
            <w:vAlign w:val="center"/>
          </w:tcPr>
          <w:p w14:paraId="21D6DBA6">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7358C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36089B2D">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2</w:t>
            </w:r>
          </w:p>
        </w:tc>
        <w:tc>
          <w:tcPr>
            <w:tcW w:w="4065" w:type="dxa"/>
            <w:tcBorders>
              <w:tl2br w:val="nil"/>
              <w:tr2bl w:val="nil"/>
            </w:tcBorders>
            <w:noWrap w:val="0"/>
            <w:vAlign w:val="center"/>
          </w:tcPr>
          <w:p w14:paraId="110AC2E7">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严格限制在国家和地方规定的限采区新设开采矿山。禁止在禁采区内新设开采矿山，已建矿山应按照矿产资源规划和国家有关规定进行处置</w:t>
            </w:r>
          </w:p>
        </w:tc>
        <w:tc>
          <w:tcPr>
            <w:tcW w:w="3885" w:type="dxa"/>
            <w:tcBorders>
              <w:tl2br w:val="nil"/>
              <w:tr2bl w:val="nil"/>
            </w:tcBorders>
            <w:noWrap w:val="0"/>
            <w:vAlign w:val="center"/>
          </w:tcPr>
          <w:p w14:paraId="470E1CB1">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olor w:val="auto"/>
                <w:highlight w:val="none"/>
                <w:lang w:val="en-US" w:eastAsia="zh-CN"/>
              </w:rPr>
            </w:pPr>
            <w:r>
              <w:rPr>
                <w:rFonts w:hint="eastAsia"/>
                <w:color w:val="auto"/>
                <w:highlight w:val="none"/>
                <w:lang w:val="en-US" w:eastAsia="zh-CN"/>
              </w:rPr>
              <w:t>本</w:t>
            </w:r>
            <w:r>
              <w:rPr>
                <w:rFonts w:hint="default"/>
                <w:color w:val="auto"/>
                <w:highlight w:val="none"/>
              </w:rPr>
              <w:t>项目选矿项目，</w:t>
            </w:r>
            <w:r>
              <w:rPr>
                <w:rFonts w:hint="eastAsia"/>
                <w:color w:val="auto"/>
                <w:highlight w:val="none"/>
                <w:lang w:val="en-US" w:eastAsia="zh-CN"/>
              </w:rPr>
              <w:t>不新增</w:t>
            </w:r>
            <w:r>
              <w:rPr>
                <w:rFonts w:hint="default"/>
                <w:color w:val="auto"/>
                <w:highlight w:val="none"/>
              </w:rPr>
              <w:t>采区</w:t>
            </w:r>
            <w:r>
              <w:rPr>
                <w:rFonts w:hint="eastAsia"/>
                <w:color w:val="auto"/>
                <w:highlight w:val="none"/>
                <w:lang w:eastAsia="zh-CN"/>
              </w:rPr>
              <w:t>。</w:t>
            </w:r>
          </w:p>
        </w:tc>
        <w:tc>
          <w:tcPr>
            <w:tcW w:w="750" w:type="dxa"/>
            <w:tcBorders>
              <w:tl2br w:val="nil"/>
              <w:tr2bl w:val="nil"/>
            </w:tcBorders>
            <w:noWrap w:val="0"/>
            <w:vAlign w:val="center"/>
          </w:tcPr>
          <w:p w14:paraId="534BD236">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11611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61F36ECC">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3</w:t>
            </w:r>
          </w:p>
        </w:tc>
        <w:tc>
          <w:tcPr>
            <w:tcW w:w="4065" w:type="dxa"/>
            <w:tcBorders>
              <w:tl2br w:val="nil"/>
              <w:tr2bl w:val="nil"/>
            </w:tcBorders>
            <w:noWrap w:val="0"/>
            <w:vAlign w:val="center"/>
          </w:tcPr>
          <w:p w14:paraId="4BD49EED">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color w:val="auto"/>
                <w:highlight w:val="none"/>
                <w:lang w:eastAsia="zh-CN"/>
              </w:rPr>
            </w:pPr>
            <w:r>
              <w:rPr>
                <w:rFonts w:hint="default"/>
                <w:color w:val="auto"/>
                <w:highlight w:val="none"/>
              </w:rPr>
              <w:t>在饮用水水源保护区、自然保护区、风景名胜区、生态功能保护区和基本农田保护区等需要特殊保护的地区，大中城市及其近郊，居民集中区、学校与托幼机构、疗养地、医院和食品、药品、电子等对环境质量要求高的企业周边1公里内，主要河流两岸、公路、铁路干线两侧一定范围，不得新建萤石生产加工企业</w:t>
            </w:r>
            <w:r>
              <w:rPr>
                <w:rFonts w:hint="eastAsia"/>
                <w:color w:val="auto"/>
                <w:highlight w:val="none"/>
                <w:lang w:eastAsia="zh-CN"/>
              </w:rPr>
              <w:t>。</w:t>
            </w:r>
          </w:p>
        </w:tc>
        <w:tc>
          <w:tcPr>
            <w:tcW w:w="3885" w:type="dxa"/>
            <w:tcBorders>
              <w:tl2br w:val="nil"/>
              <w:tr2bl w:val="nil"/>
            </w:tcBorders>
            <w:noWrap w:val="0"/>
            <w:vAlign w:val="center"/>
          </w:tcPr>
          <w:p w14:paraId="75ADCE49">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highlight w:val="none"/>
                <w:lang w:val="en-US" w:eastAsia="zh-CN"/>
              </w:rPr>
            </w:pPr>
            <w:r>
              <w:rPr>
                <w:rFonts w:hint="eastAsia" w:hAnsi="宋体"/>
                <w:color w:val="auto"/>
                <w:kern w:val="0"/>
                <w:sz w:val="21"/>
                <w:szCs w:val="21"/>
                <w:highlight w:val="none"/>
                <w:lang w:val="en-US" w:eastAsia="zh-CN"/>
              </w:rPr>
              <w:t>本</w:t>
            </w:r>
            <w:r>
              <w:rPr>
                <w:rFonts w:hint="eastAsia" w:hAnsi="宋体" w:eastAsia="宋体"/>
                <w:color w:val="auto"/>
                <w:kern w:val="0"/>
                <w:sz w:val="21"/>
                <w:szCs w:val="21"/>
                <w:highlight w:val="none"/>
                <w:lang w:val="it-IT" w:eastAsia="it-IT"/>
              </w:rPr>
              <w:t>项目选址</w:t>
            </w:r>
            <w:r>
              <w:rPr>
                <w:rFonts w:hint="eastAsia" w:hAnsi="宋体"/>
                <w:color w:val="auto"/>
                <w:kern w:val="0"/>
                <w:sz w:val="21"/>
                <w:szCs w:val="21"/>
                <w:highlight w:val="none"/>
                <w:lang w:val="en-US" w:eastAsia="zh-CN"/>
              </w:rPr>
              <w:t>在</w:t>
            </w:r>
            <w:r>
              <w:rPr>
                <w:rFonts w:hint="eastAsia"/>
                <w:color w:val="auto"/>
                <w:highlight w:val="none"/>
              </w:rPr>
              <w:t>内蒙古锡林郭勒多伦经济开发区</w:t>
            </w:r>
            <w:r>
              <w:rPr>
                <w:rFonts w:hint="eastAsia"/>
                <w:color w:val="auto"/>
                <w:highlight w:val="none"/>
                <w:lang w:val="en-US" w:eastAsia="zh-CN"/>
              </w:rPr>
              <w:t>内，</w:t>
            </w:r>
            <w:r>
              <w:rPr>
                <w:rFonts w:hint="eastAsia" w:hAnsi="宋体" w:eastAsia="宋体"/>
                <w:color w:val="auto"/>
                <w:kern w:val="0"/>
                <w:sz w:val="21"/>
                <w:szCs w:val="21"/>
                <w:highlight w:val="none"/>
                <w:lang w:val="it-IT" w:eastAsia="it-IT"/>
              </w:rPr>
              <w:t>不在需要特殊保护区</w:t>
            </w:r>
            <w:r>
              <w:rPr>
                <w:rFonts w:hint="eastAsia" w:hAnsi="宋体" w:eastAsia="宋体"/>
                <w:color w:val="auto"/>
                <w:kern w:val="0"/>
                <w:sz w:val="21"/>
                <w:szCs w:val="21"/>
                <w:highlight w:val="none"/>
                <w:lang w:val="en-US" w:eastAsia="zh-CN"/>
              </w:rPr>
              <w:t>范围内</w:t>
            </w:r>
            <w:r>
              <w:rPr>
                <w:rFonts w:hint="eastAsia" w:hAnsi="宋体" w:eastAsia="宋体"/>
                <w:color w:val="auto"/>
                <w:kern w:val="0"/>
                <w:sz w:val="21"/>
                <w:szCs w:val="21"/>
                <w:highlight w:val="none"/>
                <w:lang w:val="it-IT" w:eastAsia="it-IT"/>
              </w:rPr>
              <w:t>，</w:t>
            </w:r>
            <w:r>
              <w:rPr>
                <w:rFonts w:hint="eastAsia" w:hAnsi="宋体" w:eastAsia="宋体"/>
                <w:color w:val="auto"/>
                <w:kern w:val="0"/>
                <w:sz w:val="21"/>
                <w:szCs w:val="21"/>
                <w:highlight w:val="none"/>
                <w:lang w:val="en-US" w:eastAsia="zh-CN"/>
              </w:rPr>
              <w:t>选址</w:t>
            </w:r>
            <w:r>
              <w:rPr>
                <w:rFonts w:hint="eastAsia" w:hAnsi="宋体" w:eastAsia="宋体"/>
                <w:color w:val="auto"/>
                <w:kern w:val="0"/>
                <w:sz w:val="21"/>
                <w:szCs w:val="21"/>
                <w:highlight w:val="none"/>
                <w:lang w:val="it-IT" w:eastAsia="it-IT"/>
              </w:rPr>
              <w:t>周边</w:t>
            </w:r>
            <w:r>
              <w:rPr>
                <w:rFonts w:hint="eastAsia" w:hAnsi="宋体" w:eastAsia="宋体"/>
                <w:color w:val="auto"/>
                <w:kern w:val="0"/>
                <w:sz w:val="21"/>
                <w:szCs w:val="21"/>
                <w:highlight w:val="none"/>
                <w:lang w:val="en-US" w:eastAsia="zh-CN"/>
              </w:rPr>
              <w:t>1</w:t>
            </w:r>
            <w:r>
              <w:rPr>
                <w:rFonts w:hint="eastAsia" w:hAnsi="宋体" w:eastAsia="宋体"/>
                <w:color w:val="auto"/>
                <w:kern w:val="0"/>
                <w:sz w:val="21"/>
                <w:szCs w:val="21"/>
                <w:highlight w:val="none"/>
                <w:lang w:val="it-IT" w:eastAsia="it-IT"/>
              </w:rPr>
              <w:t>km内无居民集中区、学校与托幼机构、疗养地、医院和食品、药品、电子等对环境质量要求高的企业。</w:t>
            </w:r>
            <w:r>
              <w:rPr>
                <w:rFonts w:hint="eastAsia" w:hAnsi="宋体"/>
                <w:color w:val="auto"/>
                <w:kern w:val="0"/>
                <w:sz w:val="21"/>
                <w:szCs w:val="21"/>
                <w:highlight w:val="none"/>
                <w:lang w:val="en-US" w:eastAsia="zh-CN"/>
              </w:rPr>
              <w:t>选址周边不涉及主要河流、公路、铁路干线。</w:t>
            </w:r>
          </w:p>
        </w:tc>
        <w:tc>
          <w:tcPr>
            <w:tcW w:w="750" w:type="dxa"/>
            <w:tcBorders>
              <w:tl2br w:val="nil"/>
              <w:tr2bl w:val="nil"/>
            </w:tcBorders>
            <w:noWrap w:val="0"/>
            <w:vAlign w:val="center"/>
          </w:tcPr>
          <w:p w14:paraId="76B8604C">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244C3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3CF26A76">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二</w:t>
            </w:r>
          </w:p>
        </w:tc>
        <w:tc>
          <w:tcPr>
            <w:tcW w:w="8700" w:type="dxa"/>
            <w:gridSpan w:val="3"/>
            <w:tcBorders>
              <w:tl2br w:val="nil"/>
              <w:tr2bl w:val="nil"/>
            </w:tcBorders>
            <w:noWrap w:val="0"/>
            <w:vAlign w:val="center"/>
          </w:tcPr>
          <w:p w14:paraId="39B12286">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生产规模、工艺与装备</w:t>
            </w:r>
          </w:p>
        </w:tc>
      </w:tr>
      <w:tr w14:paraId="4708B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03E8EA2C">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4</w:t>
            </w:r>
          </w:p>
        </w:tc>
        <w:tc>
          <w:tcPr>
            <w:tcW w:w="4065" w:type="dxa"/>
            <w:tcBorders>
              <w:tl2br w:val="nil"/>
              <w:tr2bl w:val="nil"/>
            </w:tcBorders>
            <w:noWrap w:val="0"/>
            <w:vAlign w:val="center"/>
          </w:tcPr>
          <w:p w14:paraId="74550D04">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新建和改（扩）建萤石选矿厂，必须具备相匹配的自备矿山、尾矿库、污水（物）处理设施，不得新建“三无”萤石浮选厂</w:t>
            </w:r>
          </w:p>
        </w:tc>
        <w:tc>
          <w:tcPr>
            <w:tcW w:w="3885" w:type="dxa"/>
            <w:tcBorders>
              <w:tl2br w:val="nil"/>
              <w:tr2bl w:val="nil"/>
            </w:tcBorders>
            <w:noWrap w:val="0"/>
            <w:vAlign w:val="center"/>
          </w:tcPr>
          <w:p w14:paraId="4B5D69E1">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olor w:val="auto"/>
                <w:highlight w:val="none"/>
                <w:lang w:val="en-US" w:eastAsia="zh-CN"/>
              </w:rPr>
            </w:pPr>
            <w:r>
              <w:rPr>
                <w:rFonts w:hint="eastAsia"/>
                <w:color w:val="auto"/>
                <w:highlight w:val="none"/>
                <w:lang w:val="en-US" w:eastAsia="zh-CN"/>
              </w:rPr>
              <w:t>本公司具备合作开采的自备矿三处，分别为多伦县长仙敖包萤石矿（附件5），开采规模10万吨/年，该矿山目前正在编制《多伦县长仙敖包萤石矿10万吨/年开采项目环境影响报告书》，；阜新蒙古族自治县平安地镇少冷萤石矿业有限公司（附件6），开采规模3万吨/年，该矿山环评手续，于2014年7月8日以阜环发【2014】30号批复，2021年6月7日完成竣工环境保护竣工验收；蒙古国马利萤石矿业有限责任公司（附件7），开采规模25万吨/年，合计开采规模38万吨/年。</w:t>
            </w:r>
          </w:p>
          <w:p w14:paraId="241586F5">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lang w:val="en-US" w:eastAsia="zh-CN"/>
              </w:rPr>
            </w:pPr>
            <w:r>
              <w:rPr>
                <w:rFonts w:hint="eastAsia"/>
                <w:color w:val="auto"/>
                <w:highlight w:val="none"/>
                <w:lang w:val="en-US" w:eastAsia="zh-CN"/>
              </w:rPr>
              <w:t>本项目厂区内配套建设1座800m</w:t>
            </w:r>
            <w:r>
              <w:rPr>
                <w:rFonts w:hint="eastAsia"/>
                <w:color w:val="auto"/>
                <w:highlight w:val="none"/>
                <w:vertAlign w:val="superscript"/>
                <w:lang w:val="en-US" w:eastAsia="zh-CN"/>
              </w:rPr>
              <w:t>2</w:t>
            </w:r>
            <w:r>
              <w:rPr>
                <w:rFonts w:hint="eastAsia"/>
                <w:color w:val="auto"/>
                <w:highlight w:val="none"/>
                <w:lang w:val="en-US" w:eastAsia="zh-CN"/>
              </w:rPr>
              <w:t>尾矿砂临时贮存库，</w:t>
            </w:r>
            <w:r>
              <w:rPr>
                <w:rFonts w:hint="default"/>
                <w:color w:val="auto"/>
                <w:highlight w:val="none"/>
                <w:lang w:val="en-US" w:eastAsia="zh-CN"/>
              </w:rPr>
              <w:t>选矿厂产生的尾矿全部供</w:t>
            </w:r>
            <w:r>
              <w:rPr>
                <w:rFonts w:hint="eastAsia"/>
                <w:color w:val="auto"/>
                <w:highlight w:val="none"/>
                <w:lang w:val="en-US" w:eastAsia="zh-CN"/>
              </w:rPr>
              <w:t>给</w:t>
            </w:r>
            <w:r>
              <w:rPr>
                <w:rFonts w:hint="default"/>
                <w:color w:val="auto"/>
                <w:highlight w:val="yellow"/>
              </w:rPr>
              <w:t>河北围场满族蒙古族自治县联玉墙体材料厂</w:t>
            </w:r>
            <w:r>
              <w:rPr>
                <w:rFonts w:hint="eastAsia"/>
                <w:color w:val="auto"/>
                <w:highlight w:val="yellow"/>
                <w:lang w:val="en-US" w:eastAsia="zh-CN"/>
              </w:rPr>
              <w:t>（附件8）和隆化县皓诚新型节能砖厂（附件9）</w:t>
            </w:r>
            <w:r>
              <w:rPr>
                <w:rFonts w:hint="eastAsia"/>
                <w:color w:val="auto"/>
                <w:highlight w:val="none"/>
                <w:lang w:val="en-US" w:eastAsia="zh-CN"/>
              </w:rPr>
              <w:t>作制砖原材料，可实现资源化综合利用。</w:t>
            </w:r>
            <w:r>
              <w:rPr>
                <w:rFonts w:hint="eastAsia" w:cs="Times New Roman"/>
                <w:color w:val="auto"/>
                <w:highlight w:val="none"/>
                <w:lang w:val="en-US" w:eastAsia="zh-CN"/>
              </w:rPr>
              <w:t>因接纳砖厂市场原因利用不畅时，做周边矿区采空坑填充料。</w:t>
            </w:r>
            <w:r>
              <w:rPr>
                <w:rFonts w:hint="eastAsia"/>
                <w:color w:val="auto"/>
                <w:highlight w:val="none"/>
                <w:lang w:val="en-US" w:eastAsia="zh-CN"/>
              </w:rPr>
              <w:t>故项目</w:t>
            </w:r>
            <w:r>
              <w:rPr>
                <w:rFonts w:hint="default"/>
                <w:color w:val="auto"/>
                <w:highlight w:val="none"/>
                <w:lang w:val="en-US" w:eastAsia="zh-CN"/>
              </w:rPr>
              <w:t>无需建设尾矿库。因此</w:t>
            </w:r>
            <w:r>
              <w:rPr>
                <w:rFonts w:hint="eastAsia"/>
                <w:color w:val="auto"/>
                <w:highlight w:val="none"/>
                <w:lang w:val="en-US" w:eastAsia="zh-CN"/>
              </w:rPr>
              <w:t>符合要求。</w:t>
            </w:r>
          </w:p>
          <w:p w14:paraId="5E9581D1">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lang w:val="en-US" w:eastAsia="zh-CN"/>
              </w:rPr>
            </w:pPr>
            <w:r>
              <w:rPr>
                <w:rFonts w:hint="eastAsia"/>
                <w:color w:val="auto"/>
                <w:highlight w:val="none"/>
                <w:lang w:val="en-US" w:eastAsia="zh-CN"/>
              </w:rPr>
              <w:t>本</w:t>
            </w:r>
            <w:r>
              <w:rPr>
                <w:rFonts w:hint="default"/>
                <w:color w:val="auto"/>
                <w:highlight w:val="none"/>
              </w:rPr>
              <w:t>项目</w:t>
            </w:r>
            <w:r>
              <w:rPr>
                <w:rFonts w:hint="eastAsia"/>
                <w:color w:val="auto"/>
                <w:highlight w:val="none"/>
                <w:lang w:val="en-US" w:eastAsia="zh-CN"/>
              </w:rPr>
              <w:t>生产废水经沉淀处理后循环使用</w:t>
            </w:r>
            <w:r>
              <w:rPr>
                <w:rFonts w:hint="eastAsia"/>
                <w:color w:val="auto"/>
                <w:highlight w:val="none"/>
                <w:lang w:eastAsia="zh-CN"/>
              </w:rPr>
              <w:t>，</w:t>
            </w:r>
            <w:r>
              <w:rPr>
                <w:rFonts w:hint="eastAsia"/>
                <w:color w:val="auto"/>
                <w:highlight w:val="none"/>
                <w:lang w:val="en-US" w:eastAsia="zh-CN"/>
              </w:rPr>
              <w:t>生活污水排入化粪池，定期抽运到诺尔镇污水处理厂委托处理</w:t>
            </w:r>
            <w:r>
              <w:rPr>
                <w:rFonts w:hint="default"/>
                <w:color w:val="auto"/>
                <w:highlight w:val="none"/>
                <w:lang w:eastAsia="zh-CN"/>
              </w:rPr>
              <w:t>；</w:t>
            </w:r>
          </w:p>
        </w:tc>
        <w:tc>
          <w:tcPr>
            <w:tcW w:w="750" w:type="dxa"/>
            <w:tcBorders>
              <w:tl2br w:val="nil"/>
              <w:tr2bl w:val="nil"/>
            </w:tcBorders>
            <w:noWrap w:val="0"/>
            <w:vAlign w:val="center"/>
          </w:tcPr>
          <w:p w14:paraId="6CA956F1">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08C49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1E982553">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5</w:t>
            </w:r>
          </w:p>
        </w:tc>
        <w:tc>
          <w:tcPr>
            <w:tcW w:w="4065" w:type="dxa"/>
            <w:tcBorders>
              <w:tl2br w:val="nil"/>
              <w:tr2bl w:val="nil"/>
            </w:tcBorders>
            <w:noWrap w:val="0"/>
            <w:vAlign w:val="center"/>
          </w:tcPr>
          <w:p w14:paraId="5E94C4CC">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萤石选矿单条生产线日处理矿石能力应≥100吨（每年按300天计算）</w:t>
            </w:r>
          </w:p>
        </w:tc>
        <w:tc>
          <w:tcPr>
            <w:tcW w:w="3885" w:type="dxa"/>
            <w:tcBorders>
              <w:tl2br w:val="nil"/>
              <w:tr2bl w:val="nil"/>
            </w:tcBorders>
            <w:noWrap w:val="0"/>
            <w:vAlign w:val="center"/>
          </w:tcPr>
          <w:p w14:paraId="18E2D1D8">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color w:val="auto"/>
                <w:highlight w:val="none"/>
                <w:lang w:eastAsia="zh-CN"/>
              </w:rPr>
            </w:pPr>
            <w:r>
              <w:rPr>
                <w:rFonts w:hint="eastAsia"/>
                <w:color w:val="auto"/>
                <w:highlight w:val="none"/>
                <w:lang w:val="en-US" w:eastAsia="zh-CN"/>
              </w:rPr>
              <w:t>本</w:t>
            </w:r>
            <w:r>
              <w:rPr>
                <w:rFonts w:hint="default"/>
                <w:color w:val="auto"/>
                <w:highlight w:val="none"/>
              </w:rPr>
              <w:t>项目年处理</w:t>
            </w:r>
            <w:r>
              <w:rPr>
                <w:rFonts w:hint="eastAsia"/>
                <w:color w:val="auto"/>
                <w:highlight w:val="none"/>
                <w:lang w:val="en-US" w:eastAsia="zh-CN"/>
              </w:rPr>
              <w:t>萤石矿30</w:t>
            </w:r>
            <w:r>
              <w:rPr>
                <w:rFonts w:hint="default"/>
                <w:color w:val="auto"/>
                <w:highlight w:val="none"/>
              </w:rPr>
              <w:t>万t，</w:t>
            </w:r>
            <w:r>
              <w:rPr>
                <w:rFonts w:hint="eastAsia"/>
                <w:color w:val="auto"/>
                <w:highlight w:val="none"/>
                <w:lang w:val="en-US" w:eastAsia="zh-CN"/>
              </w:rPr>
              <w:t>设计年运行300d，</w:t>
            </w:r>
            <w:r>
              <w:rPr>
                <w:rFonts w:hint="default"/>
                <w:color w:val="auto"/>
                <w:highlight w:val="none"/>
              </w:rPr>
              <w:t>平均日处理矿石能力为</w:t>
            </w:r>
            <w:r>
              <w:rPr>
                <w:rFonts w:hint="eastAsia"/>
                <w:color w:val="auto"/>
                <w:highlight w:val="none"/>
                <w:lang w:val="en-US" w:eastAsia="zh-CN"/>
              </w:rPr>
              <w:t>10</w:t>
            </w:r>
            <w:r>
              <w:rPr>
                <w:rFonts w:hint="default"/>
                <w:color w:val="auto"/>
                <w:highlight w:val="none"/>
              </w:rPr>
              <w:t>00t，符合要求</w:t>
            </w:r>
            <w:r>
              <w:rPr>
                <w:rFonts w:hint="eastAsia"/>
                <w:color w:val="auto"/>
                <w:highlight w:val="none"/>
                <w:lang w:eastAsia="zh-CN"/>
              </w:rPr>
              <w:t>。</w:t>
            </w:r>
          </w:p>
        </w:tc>
        <w:tc>
          <w:tcPr>
            <w:tcW w:w="750" w:type="dxa"/>
            <w:tcBorders>
              <w:tl2br w:val="nil"/>
              <w:tr2bl w:val="nil"/>
            </w:tcBorders>
            <w:noWrap w:val="0"/>
            <w:vAlign w:val="center"/>
          </w:tcPr>
          <w:p w14:paraId="7D3252CD">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1263F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59C04045">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三</w:t>
            </w:r>
          </w:p>
        </w:tc>
        <w:tc>
          <w:tcPr>
            <w:tcW w:w="8700" w:type="dxa"/>
            <w:gridSpan w:val="3"/>
            <w:tcBorders>
              <w:tl2br w:val="nil"/>
              <w:tr2bl w:val="nil"/>
            </w:tcBorders>
            <w:noWrap w:val="0"/>
            <w:vAlign w:val="center"/>
          </w:tcPr>
          <w:p w14:paraId="2D7A88D7">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资源综合利用</w:t>
            </w:r>
          </w:p>
        </w:tc>
      </w:tr>
      <w:tr w14:paraId="20C39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464988B8">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6</w:t>
            </w:r>
          </w:p>
        </w:tc>
        <w:tc>
          <w:tcPr>
            <w:tcW w:w="4065" w:type="dxa"/>
            <w:tcBorders>
              <w:tl2br w:val="nil"/>
              <w:tr2bl w:val="nil"/>
            </w:tcBorders>
            <w:noWrap w:val="0"/>
            <w:vAlign w:val="center"/>
          </w:tcPr>
          <w:p w14:paraId="430DA740">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选矿回收率应达到80%以上（伴生矿、尾矿利用除外），企业应制定尾矿综合利用和治理方案。</w:t>
            </w:r>
          </w:p>
        </w:tc>
        <w:tc>
          <w:tcPr>
            <w:tcW w:w="3885" w:type="dxa"/>
            <w:tcBorders>
              <w:tl2br w:val="nil"/>
              <w:tr2bl w:val="nil"/>
            </w:tcBorders>
            <w:noWrap w:val="0"/>
            <w:vAlign w:val="center"/>
          </w:tcPr>
          <w:p w14:paraId="5949634B">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eastAsia"/>
                <w:color w:val="auto"/>
                <w:highlight w:val="none"/>
                <w:lang w:val="en-US" w:eastAsia="zh-CN"/>
              </w:rPr>
              <w:t>本</w:t>
            </w:r>
            <w:r>
              <w:rPr>
                <w:rFonts w:hint="default"/>
                <w:color w:val="auto"/>
                <w:highlight w:val="none"/>
              </w:rPr>
              <w:t>项目选矿回收率为</w:t>
            </w:r>
            <w:r>
              <w:rPr>
                <w:rFonts w:hint="eastAsia"/>
                <w:color w:val="auto"/>
                <w:highlight w:val="none"/>
                <w:lang w:val="en-US" w:eastAsia="zh-CN"/>
              </w:rPr>
              <w:t>90.4</w:t>
            </w:r>
            <w:r>
              <w:rPr>
                <w:rFonts w:hint="default"/>
                <w:color w:val="auto"/>
                <w:highlight w:val="none"/>
              </w:rPr>
              <w:t>%</w:t>
            </w:r>
            <w:r>
              <w:rPr>
                <w:rFonts w:hint="default"/>
                <w:color w:val="auto"/>
                <w:highlight w:val="none"/>
                <w:lang w:eastAsia="zh-CN"/>
              </w:rPr>
              <w:t>。</w:t>
            </w:r>
            <w:r>
              <w:rPr>
                <w:rFonts w:hint="default"/>
                <w:color w:val="auto"/>
                <w:highlight w:val="none"/>
                <w:lang w:val="en-US" w:eastAsia="zh-CN"/>
              </w:rPr>
              <w:t>选矿厂产生的尾矿</w:t>
            </w:r>
            <w:r>
              <w:rPr>
                <w:rFonts w:hint="eastAsia"/>
                <w:color w:val="auto"/>
                <w:highlight w:val="none"/>
                <w:lang w:val="en-US" w:eastAsia="zh-CN"/>
              </w:rPr>
              <w:t>砂全部</w:t>
            </w:r>
            <w:r>
              <w:rPr>
                <w:rFonts w:hint="default"/>
                <w:color w:val="auto"/>
                <w:highlight w:val="none"/>
                <w:lang w:val="en-US" w:eastAsia="zh-CN"/>
              </w:rPr>
              <w:t>供</w:t>
            </w:r>
            <w:r>
              <w:rPr>
                <w:rFonts w:hint="eastAsia"/>
                <w:color w:val="auto"/>
                <w:highlight w:val="none"/>
                <w:lang w:val="en-US" w:eastAsia="zh-CN"/>
              </w:rPr>
              <w:t>给</w:t>
            </w:r>
            <w:r>
              <w:rPr>
                <w:rFonts w:hint="default"/>
                <w:color w:val="auto"/>
                <w:highlight w:val="yellow"/>
              </w:rPr>
              <w:t>河北围场满族蒙古族自治县联玉墙体材料厂</w:t>
            </w:r>
            <w:r>
              <w:rPr>
                <w:rFonts w:hint="eastAsia"/>
                <w:color w:val="auto"/>
                <w:highlight w:val="yellow"/>
                <w:lang w:val="en-US" w:eastAsia="zh-CN"/>
              </w:rPr>
              <w:t>和隆化县皓诚新型节能砖厂</w:t>
            </w:r>
            <w:r>
              <w:rPr>
                <w:rFonts w:hint="eastAsia"/>
                <w:color w:val="auto"/>
                <w:highlight w:val="none"/>
                <w:lang w:val="en-US" w:eastAsia="zh-CN"/>
              </w:rPr>
              <w:t>作制砖原材料，综合利用</w:t>
            </w:r>
            <w:r>
              <w:rPr>
                <w:rFonts w:hint="default"/>
                <w:color w:val="auto"/>
                <w:highlight w:val="none"/>
                <w:lang w:val="en-US" w:eastAsia="zh-CN"/>
              </w:rPr>
              <w:t>。</w:t>
            </w:r>
          </w:p>
        </w:tc>
        <w:tc>
          <w:tcPr>
            <w:tcW w:w="750" w:type="dxa"/>
            <w:tcBorders>
              <w:tl2br w:val="nil"/>
              <w:tr2bl w:val="nil"/>
            </w:tcBorders>
            <w:noWrap w:val="0"/>
            <w:vAlign w:val="center"/>
          </w:tcPr>
          <w:p w14:paraId="37839620">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3203D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28151CBB">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7</w:t>
            </w:r>
          </w:p>
        </w:tc>
        <w:tc>
          <w:tcPr>
            <w:tcW w:w="4065" w:type="dxa"/>
            <w:tcBorders>
              <w:tl2br w:val="nil"/>
              <w:tr2bl w:val="nil"/>
            </w:tcBorders>
            <w:noWrap w:val="0"/>
            <w:vAlign w:val="center"/>
          </w:tcPr>
          <w:p w14:paraId="57698809">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鼓励对低品位萤石矿进行选矿加工提纯，分级选别、分级使用，实现资源综合利用</w:t>
            </w:r>
          </w:p>
        </w:tc>
        <w:tc>
          <w:tcPr>
            <w:tcW w:w="3885" w:type="dxa"/>
            <w:tcBorders>
              <w:tl2br w:val="nil"/>
              <w:tr2bl w:val="nil"/>
            </w:tcBorders>
            <w:noWrap w:val="0"/>
            <w:vAlign w:val="center"/>
          </w:tcPr>
          <w:p w14:paraId="4A970352">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olor w:val="auto"/>
                <w:highlight w:val="none"/>
                <w:lang w:eastAsia="zh-CN"/>
              </w:rPr>
            </w:pPr>
            <w:r>
              <w:rPr>
                <w:rFonts w:hint="eastAsia"/>
                <w:color w:val="auto"/>
                <w:highlight w:val="none"/>
                <w:lang w:val="en-US" w:eastAsia="zh-CN"/>
              </w:rPr>
              <w:t>本</w:t>
            </w:r>
            <w:r>
              <w:rPr>
                <w:rFonts w:hint="default"/>
                <w:color w:val="auto"/>
                <w:highlight w:val="none"/>
              </w:rPr>
              <w:t>项目采用</w:t>
            </w:r>
            <w:r>
              <w:rPr>
                <w:rFonts w:hint="eastAsia"/>
                <w:color w:val="auto"/>
                <w:highlight w:val="none"/>
                <w:lang w:val="en-US" w:eastAsia="zh-CN"/>
              </w:rPr>
              <w:t>“</w:t>
            </w:r>
            <w:r>
              <w:rPr>
                <w:rFonts w:hint="default"/>
                <w:color w:val="auto"/>
                <w:highlight w:val="none"/>
                <w:lang w:val="en-US" w:eastAsia="zh-CN"/>
              </w:rPr>
              <w:t>粗、三扫、八精</w:t>
            </w:r>
            <w:r>
              <w:rPr>
                <w:rFonts w:hint="eastAsia"/>
                <w:color w:val="auto"/>
                <w:highlight w:val="none"/>
                <w:lang w:val="en-US" w:eastAsia="zh-CN"/>
              </w:rPr>
              <w:t>”</w:t>
            </w:r>
            <w:r>
              <w:rPr>
                <w:rFonts w:hint="default"/>
                <w:color w:val="auto"/>
                <w:highlight w:val="none"/>
                <w:lang w:val="en-US" w:eastAsia="zh-CN"/>
              </w:rPr>
              <w:t>一</w:t>
            </w:r>
            <w:r>
              <w:rPr>
                <w:rFonts w:hint="default"/>
                <w:color w:val="auto"/>
                <w:highlight w:val="none"/>
              </w:rPr>
              <w:t>的工艺流程，浮选出精矿品位97.</w:t>
            </w:r>
            <w:r>
              <w:rPr>
                <w:rFonts w:hint="eastAsia"/>
                <w:color w:val="auto"/>
                <w:highlight w:val="none"/>
                <w:lang w:val="en-US" w:eastAsia="zh-CN"/>
              </w:rPr>
              <w:t>66</w:t>
            </w:r>
            <w:r>
              <w:rPr>
                <w:rFonts w:hint="default"/>
                <w:color w:val="auto"/>
                <w:highlight w:val="none"/>
              </w:rPr>
              <w:t>%</w:t>
            </w:r>
            <w:r>
              <w:rPr>
                <w:rFonts w:hint="eastAsia"/>
                <w:color w:val="auto"/>
                <w:highlight w:val="none"/>
                <w:lang w:eastAsia="zh-CN"/>
              </w:rPr>
              <w:t>。</w:t>
            </w:r>
          </w:p>
        </w:tc>
        <w:tc>
          <w:tcPr>
            <w:tcW w:w="750" w:type="dxa"/>
            <w:tcBorders>
              <w:tl2br w:val="nil"/>
              <w:tr2bl w:val="nil"/>
            </w:tcBorders>
            <w:noWrap w:val="0"/>
            <w:vAlign w:val="center"/>
          </w:tcPr>
          <w:p w14:paraId="0657ACA9">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45D80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03A39A4F">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四</w:t>
            </w:r>
          </w:p>
        </w:tc>
        <w:tc>
          <w:tcPr>
            <w:tcW w:w="8700" w:type="dxa"/>
            <w:gridSpan w:val="3"/>
            <w:tcBorders>
              <w:tl2br w:val="nil"/>
              <w:tr2bl w:val="nil"/>
            </w:tcBorders>
            <w:noWrap w:val="0"/>
            <w:vAlign w:val="center"/>
          </w:tcPr>
          <w:p w14:paraId="0B4D5EF9">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主要产品质量</w:t>
            </w:r>
          </w:p>
        </w:tc>
      </w:tr>
      <w:tr w14:paraId="03FED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4BAA6462">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8</w:t>
            </w:r>
          </w:p>
        </w:tc>
        <w:tc>
          <w:tcPr>
            <w:tcW w:w="4065" w:type="dxa"/>
            <w:tcBorders>
              <w:tl2br w:val="nil"/>
              <w:tr2bl w:val="nil"/>
            </w:tcBorders>
            <w:noWrap w:val="0"/>
            <w:vAlign w:val="center"/>
          </w:tcPr>
          <w:p w14:paraId="175E1857">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萤石产品质量应满足《萤石》（YB/T5217</w:t>
            </w:r>
          </w:p>
          <w:p w14:paraId="14CA0272">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-2005）标准要求</w:t>
            </w:r>
          </w:p>
        </w:tc>
        <w:tc>
          <w:tcPr>
            <w:tcW w:w="3885" w:type="dxa"/>
            <w:tcBorders>
              <w:tl2br w:val="nil"/>
              <w:tr2bl w:val="nil"/>
            </w:tcBorders>
            <w:noWrap w:val="0"/>
            <w:vAlign w:val="center"/>
          </w:tcPr>
          <w:p w14:paraId="129A4EE0">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eastAsia"/>
                <w:color w:val="auto"/>
                <w:highlight w:val="none"/>
                <w:lang w:val="en-US" w:eastAsia="zh-CN"/>
              </w:rPr>
              <w:t>本</w:t>
            </w:r>
            <w:r>
              <w:rPr>
                <w:rFonts w:hint="default"/>
                <w:color w:val="auto"/>
                <w:highlight w:val="none"/>
              </w:rPr>
              <w:t>项目萤石精矿CaF</w:t>
            </w:r>
            <w:r>
              <w:rPr>
                <w:rFonts w:hint="default"/>
                <w:color w:val="auto"/>
                <w:highlight w:val="none"/>
                <w:vertAlign w:val="subscript"/>
              </w:rPr>
              <w:t>2</w:t>
            </w:r>
            <w:r>
              <w:rPr>
                <w:rFonts w:hint="default"/>
                <w:color w:val="auto"/>
                <w:highlight w:val="none"/>
              </w:rPr>
              <w:t>品位97.</w:t>
            </w:r>
            <w:r>
              <w:rPr>
                <w:rFonts w:hint="eastAsia"/>
                <w:color w:val="auto"/>
                <w:highlight w:val="none"/>
                <w:lang w:val="en-US" w:eastAsia="zh-CN"/>
              </w:rPr>
              <w:t>66</w:t>
            </w:r>
            <w:r>
              <w:rPr>
                <w:rFonts w:hint="default"/>
                <w:color w:val="auto"/>
                <w:highlight w:val="none"/>
              </w:rPr>
              <w:t>%，</w:t>
            </w:r>
            <w:r>
              <w:rPr>
                <w:rFonts w:hint="eastAsia"/>
                <w:color w:val="auto"/>
                <w:highlight w:val="none"/>
                <w:lang w:val="en-US" w:eastAsia="zh-CN"/>
              </w:rPr>
              <w:t>满足</w:t>
            </w:r>
            <w:r>
              <w:rPr>
                <w:rFonts w:hint="default"/>
                <w:color w:val="auto"/>
                <w:highlight w:val="none"/>
              </w:rPr>
              <w:t>《萤石》（YB/T5217-20</w:t>
            </w:r>
            <w:r>
              <w:rPr>
                <w:rFonts w:hint="eastAsia"/>
                <w:color w:val="auto"/>
                <w:highlight w:val="none"/>
                <w:lang w:val="en-US" w:eastAsia="zh-CN"/>
              </w:rPr>
              <w:t>19</w:t>
            </w:r>
            <w:r>
              <w:rPr>
                <w:rFonts w:hint="default"/>
                <w:color w:val="auto"/>
                <w:highlight w:val="none"/>
              </w:rPr>
              <w:t>）中牌号FC-97质量要求</w:t>
            </w:r>
          </w:p>
        </w:tc>
        <w:tc>
          <w:tcPr>
            <w:tcW w:w="750" w:type="dxa"/>
            <w:tcBorders>
              <w:tl2br w:val="nil"/>
              <w:tr2bl w:val="nil"/>
            </w:tcBorders>
            <w:noWrap w:val="0"/>
            <w:vAlign w:val="center"/>
          </w:tcPr>
          <w:p w14:paraId="22C3328E">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62AFD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7C8AC877">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五</w:t>
            </w:r>
          </w:p>
        </w:tc>
        <w:tc>
          <w:tcPr>
            <w:tcW w:w="8700" w:type="dxa"/>
            <w:gridSpan w:val="3"/>
            <w:tcBorders>
              <w:tl2br w:val="nil"/>
              <w:tr2bl w:val="nil"/>
            </w:tcBorders>
            <w:noWrap w:val="0"/>
            <w:vAlign w:val="center"/>
          </w:tcPr>
          <w:p w14:paraId="2F0129C2">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环境保护</w:t>
            </w:r>
          </w:p>
        </w:tc>
      </w:tr>
      <w:tr w14:paraId="0BB9F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7B0B7487">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9</w:t>
            </w:r>
          </w:p>
        </w:tc>
        <w:tc>
          <w:tcPr>
            <w:tcW w:w="4065" w:type="dxa"/>
            <w:tcBorders>
              <w:tl2br w:val="nil"/>
              <w:tr2bl w:val="nil"/>
            </w:tcBorders>
            <w:noWrap w:val="0"/>
            <w:vAlign w:val="center"/>
          </w:tcPr>
          <w:p w14:paraId="282D5275">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highlight w:val="none"/>
              </w:rPr>
            </w:pPr>
            <w:r>
              <w:rPr>
                <w:rFonts w:hint="default"/>
                <w:color w:val="auto"/>
                <w:highlight w:val="none"/>
              </w:rPr>
              <w:t>采选生产过程中应实施清洁生产，保护环境。污染物排放要符合国家《大气污染物综合排放标准》（GB16297-1996）、《污水综合排放标准》（GB8978-1996）、《一般工业固体废物贮存、处置场污染控制标准》（GB 18599-2001）的有关要求和有关地方标准的规定</w:t>
            </w:r>
          </w:p>
        </w:tc>
        <w:tc>
          <w:tcPr>
            <w:tcW w:w="3885" w:type="dxa"/>
            <w:tcBorders>
              <w:tl2br w:val="nil"/>
              <w:tr2bl w:val="nil"/>
            </w:tcBorders>
            <w:noWrap w:val="0"/>
            <w:vAlign w:val="center"/>
          </w:tcPr>
          <w:p w14:paraId="01AACA7B">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olor w:val="auto"/>
                <w:highlight w:val="none"/>
                <w:lang w:val="en-US" w:eastAsia="zh-CN"/>
              </w:rPr>
            </w:pPr>
            <w:r>
              <w:rPr>
                <w:rFonts w:hint="eastAsia" w:hAnsi="宋体"/>
                <w:color w:val="auto"/>
                <w:kern w:val="0"/>
                <w:sz w:val="21"/>
                <w:szCs w:val="21"/>
                <w:highlight w:val="none"/>
                <w:lang w:val="en-US" w:eastAsia="zh-CN"/>
              </w:rPr>
              <w:t>本</w:t>
            </w:r>
            <w:r>
              <w:rPr>
                <w:rFonts w:hint="eastAsia" w:hAnsi="宋体" w:eastAsia="宋体"/>
                <w:color w:val="auto"/>
                <w:kern w:val="0"/>
                <w:sz w:val="21"/>
                <w:szCs w:val="21"/>
                <w:highlight w:val="none"/>
                <w:lang w:val="it-IT" w:eastAsia="it-IT"/>
              </w:rPr>
              <w:t>项目生产过程中原料库、破碎厂房无组织粉尘和破碎筛分有组织粉尘排放满足《大气污染物综合排放标准》（GB 16297-1996）中表2 新污染源大气污染物排放限值二级要求；生产废水经混凝沉淀处理后全部回用，不外排，生活污水经化粪池处理达到《污水综合排放标准》（GB8978-1996）中三级标准后，定期抽运至</w:t>
            </w:r>
            <w:r>
              <w:rPr>
                <w:rFonts w:hint="eastAsia" w:hAnsi="宋体" w:eastAsia="宋体"/>
                <w:color w:val="auto"/>
                <w:kern w:val="0"/>
                <w:sz w:val="21"/>
                <w:szCs w:val="21"/>
                <w:highlight w:val="none"/>
                <w:lang w:val="en-US" w:eastAsia="zh-CN"/>
              </w:rPr>
              <w:t>诺尔镇</w:t>
            </w:r>
            <w:r>
              <w:rPr>
                <w:rFonts w:hint="eastAsia" w:hAnsi="宋体" w:eastAsia="宋体"/>
                <w:color w:val="auto"/>
                <w:kern w:val="0"/>
                <w:sz w:val="21"/>
                <w:szCs w:val="21"/>
                <w:highlight w:val="none"/>
                <w:lang w:val="it-IT" w:eastAsia="it-IT"/>
              </w:rPr>
              <w:t>污水处理厂处理；本次评价建议企业生产运营期开展清洁生产审核工作。</w:t>
            </w:r>
          </w:p>
        </w:tc>
        <w:tc>
          <w:tcPr>
            <w:tcW w:w="750" w:type="dxa"/>
            <w:tcBorders>
              <w:tl2br w:val="nil"/>
              <w:tr2bl w:val="nil"/>
            </w:tcBorders>
            <w:noWrap w:val="0"/>
            <w:vAlign w:val="center"/>
          </w:tcPr>
          <w:p w14:paraId="23B6A235">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r w14:paraId="39CCD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27" w:type="dxa"/>
            <w:tcBorders>
              <w:tl2br w:val="nil"/>
              <w:tr2bl w:val="nil"/>
            </w:tcBorders>
            <w:noWrap w:val="0"/>
            <w:vAlign w:val="center"/>
          </w:tcPr>
          <w:p w14:paraId="49B40FE4">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10</w:t>
            </w:r>
          </w:p>
        </w:tc>
        <w:tc>
          <w:tcPr>
            <w:tcW w:w="4065" w:type="dxa"/>
            <w:tcBorders>
              <w:tl2br w:val="nil"/>
              <w:tr2bl w:val="nil"/>
            </w:tcBorders>
            <w:noWrap w:val="0"/>
            <w:vAlign w:val="center"/>
          </w:tcPr>
          <w:p w14:paraId="2FFFF3B7">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eastAsia="宋体"/>
                <w:color w:val="auto"/>
                <w:highlight w:val="none"/>
                <w:lang w:eastAsia="zh-CN"/>
              </w:rPr>
            </w:pPr>
            <w:r>
              <w:rPr>
                <w:rFonts w:hint="default"/>
                <w:color w:val="auto"/>
                <w:highlight w:val="none"/>
              </w:rPr>
              <w:t>企业必须按照环保、水土保持和耕地保护等要求，严格执行相关法律法规和标准规范，防止土壤污染，保护生态环境，严格执行土地复垦和生态恢复规定，履行土地复垦与生态恢复义务</w:t>
            </w:r>
            <w:r>
              <w:rPr>
                <w:rFonts w:hint="eastAsia"/>
                <w:color w:val="auto"/>
                <w:highlight w:val="none"/>
                <w:lang w:eastAsia="zh-CN"/>
              </w:rPr>
              <w:t>。</w:t>
            </w:r>
          </w:p>
        </w:tc>
        <w:tc>
          <w:tcPr>
            <w:tcW w:w="3885" w:type="dxa"/>
            <w:tcBorders>
              <w:tl2br w:val="nil"/>
              <w:tr2bl w:val="nil"/>
            </w:tcBorders>
            <w:noWrap w:val="0"/>
            <w:vAlign w:val="center"/>
          </w:tcPr>
          <w:p w14:paraId="711D1073">
            <w:pPr>
              <w:pStyle w:val="330"/>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highlight w:val="none"/>
                <w:lang w:val="en-US" w:eastAsia="zh-CN"/>
              </w:rPr>
            </w:pPr>
            <w:r>
              <w:rPr>
                <w:rFonts w:hint="eastAsia"/>
                <w:color w:val="auto"/>
                <w:highlight w:val="none"/>
                <w:lang w:val="en-US" w:eastAsia="zh-CN"/>
              </w:rPr>
              <w:t>本</w:t>
            </w:r>
            <w:r>
              <w:rPr>
                <w:rFonts w:hint="default"/>
                <w:color w:val="auto"/>
                <w:highlight w:val="none"/>
              </w:rPr>
              <w:t>项目</w:t>
            </w:r>
            <w:r>
              <w:rPr>
                <w:rFonts w:hint="eastAsia"/>
                <w:color w:val="auto"/>
                <w:highlight w:val="none"/>
                <w:lang w:val="en-US" w:eastAsia="zh-CN"/>
              </w:rPr>
              <w:t>为萤石选厂项目，采取防渗等措施防止对土壤环境的影响。厂区加强绿化工作。</w:t>
            </w:r>
          </w:p>
        </w:tc>
        <w:tc>
          <w:tcPr>
            <w:tcW w:w="750" w:type="dxa"/>
            <w:tcBorders>
              <w:tl2br w:val="nil"/>
              <w:tr2bl w:val="nil"/>
            </w:tcBorders>
            <w:noWrap w:val="0"/>
            <w:vAlign w:val="center"/>
          </w:tcPr>
          <w:p w14:paraId="4195EE09">
            <w:pPr>
              <w:pStyle w:val="330"/>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highlight w:val="none"/>
              </w:rPr>
            </w:pPr>
            <w:r>
              <w:rPr>
                <w:rFonts w:hint="default"/>
                <w:color w:val="auto"/>
                <w:highlight w:val="none"/>
              </w:rPr>
              <w:t>符合</w:t>
            </w:r>
          </w:p>
        </w:tc>
      </w:tr>
    </w:tbl>
    <w:p w14:paraId="463F9C4E">
      <w:pPr>
        <w:pStyle w:val="169"/>
        <w:snapToGrid w:val="0"/>
        <w:spacing w:line="360" w:lineRule="auto"/>
        <w:ind w:firstLine="480" w:firstLineChars="200"/>
        <w:rPr>
          <w:rFonts w:hint="eastAsia" w:ascii="Times New Roman" w:eastAsia="Calibri" w:cs="Times New Roman"/>
          <w:color w:val="auto"/>
          <w:highlight w:val="none"/>
          <w:lang w:val="en-US" w:eastAsia="zh-CN"/>
        </w:rPr>
      </w:pPr>
    </w:p>
    <w:p w14:paraId="08853820">
      <w:pPr>
        <w:pStyle w:val="169"/>
        <w:snapToGrid w:val="0"/>
        <w:spacing w:line="360" w:lineRule="auto"/>
        <w:ind w:firstLine="480" w:firstLineChars="200"/>
        <w:rPr>
          <w:rFonts w:hint="eastAsia" w:ascii="Times New Roman" w:eastAsia="Calibri" w:cs="Times New Roman"/>
          <w:color w:val="auto"/>
          <w:highlight w:val="none"/>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eastAsia="Calibri" w:cs="Times New Roman"/>
          <w:color w:val="auto"/>
          <w:highlight w:val="none"/>
          <w:lang w:val="en-US" w:eastAsia="zh-CN"/>
        </w:rPr>
        <w:t>综上分析，本项目建设符合行业准入条件。</w:t>
      </w:r>
    </w:p>
    <w:p w14:paraId="522D4580">
      <w:pPr>
        <w:pStyle w:val="4"/>
        <w:spacing w:before="120" w:after="120"/>
        <w:rPr>
          <w:color w:val="auto"/>
          <w:highlight w:val="none"/>
        </w:rPr>
      </w:pPr>
      <w:bookmarkStart w:id="22" w:name="_Toc24453"/>
      <w:r>
        <w:rPr>
          <w:rFonts w:hint="eastAsia"/>
          <w:color w:val="auto"/>
          <w:highlight w:val="none"/>
        </w:rPr>
        <w:t>关注的主要环境问题</w:t>
      </w:r>
      <w:bookmarkEnd w:id="19"/>
      <w:bookmarkEnd w:id="20"/>
      <w:bookmarkEnd w:id="21"/>
      <w:bookmarkEnd w:id="22"/>
    </w:p>
    <w:p w14:paraId="1E14D3EB">
      <w:pPr>
        <w:ind w:firstLine="480"/>
        <w:rPr>
          <w:rFonts w:hint="eastAsia"/>
          <w:color w:val="auto"/>
          <w:highlight w:val="none"/>
        </w:rPr>
      </w:pPr>
      <w:r>
        <w:rPr>
          <w:rFonts w:hint="eastAsia"/>
          <w:color w:val="auto"/>
          <w:highlight w:val="none"/>
        </w:rPr>
        <w:t>（1）施工期：施工过程会给周围局部环境带来粉尘、废水、固体废物等环境污染，永久及临时占地会破坏占地范围内的生态环境，但经采取有效防治措施后，可有效避免或减少这些不利影响。</w:t>
      </w:r>
    </w:p>
    <w:p w14:paraId="0C3727AB">
      <w:pPr>
        <w:ind w:firstLine="480"/>
        <w:rPr>
          <w:rFonts w:hint="eastAsia"/>
          <w:color w:val="auto"/>
          <w:highlight w:val="none"/>
        </w:rPr>
      </w:pPr>
      <w:r>
        <w:rPr>
          <w:rFonts w:hint="eastAsia"/>
          <w:color w:val="auto"/>
          <w:highlight w:val="none"/>
        </w:rPr>
        <w:t>（2）运营期：本次评价主要针对选矿运营期对环境产生的不利影响进行分析，并提出减缓措施。本项目运营期对环境影响主要关注以下几个方面：</w:t>
      </w:r>
    </w:p>
    <w:p w14:paraId="63DE33DD">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1 \* GB3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大气环境：堆场扬尘</w:t>
      </w:r>
      <w:r>
        <w:rPr>
          <w:rFonts w:hint="eastAsia"/>
          <w:color w:val="auto"/>
          <w:highlight w:val="none"/>
          <w:lang w:eastAsia="zh-CN"/>
        </w:rPr>
        <w:t>、</w:t>
      </w:r>
      <w:r>
        <w:rPr>
          <w:rFonts w:hint="eastAsia"/>
          <w:color w:val="auto"/>
          <w:highlight w:val="none"/>
        </w:rPr>
        <w:t>道路运输扬尘</w:t>
      </w:r>
      <w:r>
        <w:rPr>
          <w:rFonts w:hint="eastAsia"/>
          <w:color w:val="auto"/>
          <w:highlight w:val="none"/>
          <w:lang w:val="en-US" w:eastAsia="zh-CN"/>
        </w:rPr>
        <w:t>及</w:t>
      </w:r>
      <w:r>
        <w:rPr>
          <w:rFonts w:hint="eastAsia"/>
          <w:color w:val="auto"/>
          <w:highlight w:val="none"/>
        </w:rPr>
        <w:t>破碎</w:t>
      </w:r>
      <w:r>
        <w:rPr>
          <w:rFonts w:hint="eastAsia"/>
          <w:color w:val="auto"/>
          <w:highlight w:val="none"/>
          <w:lang w:eastAsia="zh-CN"/>
        </w:rPr>
        <w:t>、</w:t>
      </w:r>
      <w:r>
        <w:rPr>
          <w:rFonts w:hint="eastAsia"/>
          <w:color w:val="auto"/>
          <w:highlight w:val="none"/>
        </w:rPr>
        <w:t>筛分</w:t>
      </w:r>
      <w:r>
        <w:rPr>
          <w:rFonts w:hint="eastAsia"/>
          <w:color w:val="auto"/>
          <w:highlight w:val="none"/>
          <w:lang w:val="en-US" w:eastAsia="zh-CN"/>
        </w:rPr>
        <w:t>产生粉尘颗粒物</w:t>
      </w:r>
      <w:r>
        <w:rPr>
          <w:rFonts w:hint="eastAsia"/>
          <w:color w:val="auto"/>
          <w:highlight w:val="none"/>
        </w:rPr>
        <w:t>等对大气环境的影响；</w:t>
      </w:r>
    </w:p>
    <w:p w14:paraId="208CDD5F">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2 \* GB3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水环境：包括选矿废水以及生活污水对水环境的影响</w:t>
      </w:r>
      <w:r>
        <w:rPr>
          <w:rFonts w:hint="eastAsia"/>
          <w:color w:val="auto"/>
          <w:highlight w:val="none"/>
          <w:lang w:eastAsia="zh-CN"/>
        </w:rPr>
        <w:t>，</w:t>
      </w:r>
      <w:r>
        <w:rPr>
          <w:rFonts w:hint="eastAsia"/>
          <w:color w:val="auto"/>
          <w:highlight w:val="none"/>
        </w:rPr>
        <w:t>选矿废水回用可行性分析；</w:t>
      </w:r>
    </w:p>
    <w:p w14:paraId="6EF3A27E">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3 \* GB3 </w:instrText>
      </w:r>
      <w:r>
        <w:rPr>
          <w:rFonts w:hint="eastAsia"/>
          <w:color w:val="auto"/>
          <w:highlight w:val="none"/>
        </w:rPr>
        <w:fldChar w:fldCharType="separate"/>
      </w:r>
      <w:r>
        <w:rPr>
          <w:rFonts w:hint="eastAsia"/>
          <w:color w:val="auto"/>
          <w:highlight w:val="none"/>
        </w:rPr>
        <w:t>③</w:t>
      </w:r>
      <w:r>
        <w:rPr>
          <w:rFonts w:hint="eastAsia"/>
          <w:color w:val="auto"/>
          <w:highlight w:val="none"/>
        </w:rPr>
        <w:fldChar w:fldCharType="end"/>
      </w:r>
      <w:r>
        <w:rPr>
          <w:rFonts w:hint="eastAsia"/>
          <w:color w:val="auto"/>
          <w:highlight w:val="none"/>
        </w:rPr>
        <w:t>声环境：选矿生产设备和运输道路交通噪声对声环境的影响；</w:t>
      </w:r>
    </w:p>
    <w:p w14:paraId="02AA35AF">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4 \* GB3 </w:instrText>
      </w:r>
      <w:r>
        <w:rPr>
          <w:rFonts w:hint="eastAsia"/>
          <w:color w:val="auto"/>
          <w:highlight w:val="none"/>
        </w:rPr>
        <w:fldChar w:fldCharType="separate"/>
      </w:r>
      <w:r>
        <w:rPr>
          <w:rFonts w:hint="eastAsia"/>
          <w:color w:val="auto"/>
          <w:highlight w:val="none"/>
        </w:rPr>
        <w:t>④</w:t>
      </w:r>
      <w:r>
        <w:rPr>
          <w:rFonts w:hint="eastAsia"/>
          <w:color w:val="auto"/>
          <w:highlight w:val="none"/>
        </w:rPr>
        <w:fldChar w:fldCharType="end"/>
      </w:r>
      <w:r>
        <w:rPr>
          <w:rFonts w:hint="eastAsia"/>
          <w:color w:val="auto"/>
          <w:highlight w:val="none"/>
        </w:rPr>
        <w:t>土壤环境：项目选矿废水</w:t>
      </w:r>
      <w:r>
        <w:rPr>
          <w:rFonts w:hint="eastAsia"/>
          <w:color w:val="auto"/>
          <w:highlight w:val="none"/>
          <w:lang w:val="en-US" w:eastAsia="zh-CN"/>
        </w:rPr>
        <w:t>垂直</w:t>
      </w:r>
      <w:r>
        <w:rPr>
          <w:rFonts w:hint="eastAsia"/>
          <w:color w:val="auto"/>
          <w:highlight w:val="none"/>
        </w:rPr>
        <w:t>下渗</w:t>
      </w:r>
      <w:r>
        <w:rPr>
          <w:rFonts w:hint="eastAsia"/>
          <w:color w:val="auto"/>
          <w:highlight w:val="none"/>
          <w:lang w:val="en-US" w:eastAsia="zh-CN"/>
        </w:rPr>
        <w:t>污染途径</w:t>
      </w:r>
      <w:r>
        <w:rPr>
          <w:rFonts w:hint="eastAsia"/>
          <w:color w:val="auto"/>
          <w:highlight w:val="none"/>
        </w:rPr>
        <w:t>对土壤环境的影响；</w:t>
      </w:r>
    </w:p>
    <w:p w14:paraId="45D3EEF8">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5 \* GB3 </w:instrText>
      </w:r>
      <w:r>
        <w:rPr>
          <w:rFonts w:hint="eastAsia"/>
          <w:color w:val="auto"/>
          <w:highlight w:val="none"/>
        </w:rPr>
        <w:fldChar w:fldCharType="separate"/>
      </w:r>
      <w:r>
        <w:rPr>
          <w:rFonts w:hint="eastAsia"/>
          <w:color w:val="auto"/>
          <w:highlight w:val="none"/>
        </w:rPr>
        <w:t>⑤</w:t>
      </w:r>
      <w:r>
        <w:rPr>
          <w:rFonts w:hint="eastAsia"/>
          <w:color w:val="auto"/>
          <w:highlight w:val="none"/>
        </w:rPr>
        <w:fldChar w:fldCharType="end"/>
      </w:r>
      <w:r>
        <w:rPr>
          <w:rFonts w:hint="eastAsia"/>
          <w:color w:val="auto"/>
          <w:highlight w:val="none"/>
        </w:rPr>
        <w:t>固体废物：主要关注尾矿砂的处置方式及去向</w:t>
      </w:r>
      <w:r>
        <w:rPr>
          <w:rFonts w:hint="eastAsia"/>
          <w:color w:val="auto"/>
          <w:highlight w:val="none"/>
          <w:lang w:eastAsia="zh-CN"/>
        </w:rPr>
        <w:t>；</w:t>
      </w:r>
      <w:r>
        <w:rPr>
          <w:rFonts w:hint="eastAsia"/>
          <w:color w:val="auto"/>
          <w:highlight w:val="none"/>
          <w:lang w:val="en-US" w:eastAsia="zh-CN"/>
        </w:rPr>
        <w:t>危险废物废矿物油的厂内贮存及处置</w:t>
      </w:r>
      <w:r>
        <w:rPr>
          <w:rFonts w:hint="eastAsia"/>
          <w:color w:val="auto"/>
          <w:highlight w:val="none"/>
        </w:rPr>
        <w:t>；</w:t>
      </w:r>
    </w:p>
    <w:p w14:paraId="7A6D11CF">
      <w:pPr>
        <w:pStyle w:val="4"/>
        <w:spacing w:before="120" w:after="120"/>
        <w:rPr>
          <w:color w:val="auto"/>
          <w:highlight w:val="none"/>
        </w:rPr>
      </w:pPr>
      <w:bookmarkStart w:id="23" w:name="_Toc28782"/>
      <w:bookmarkStart w:id="24" w:name="_Toc24340204"/>
      <w:bookmarkStart w:id="25" w:name="_Toc24447052"/>
      <w:bookmarkStart w:id="26" w:name="_Toc24447599"/>
      <w:r>
        <w:rPr>
          <w:rFonts w:hint="eastAsia"/>
          <w:color w:val="auto"/>
          <w:highlight w:val="none"/>
        </w:rPr>
        <w:t>环境影响评价的主要结论</w:t>
      </w:r>
      <w:bookmarkEnd w:id="23"/>
      <w:bookmarkEnd w:id="24"/>
      <w:bookmarkEnd w:id="25"/>
      <w:bookmarkEnd w:id="26"/>
    </w:p>
    <w:p w14:paraId="5AD4B24C">
      <w:pPr>
        <w:ind w:firstLine="480"/>
        <w:rPr>
          <w:rFonts w:hint="eastAsia"/>
          <w:color w:val="auto"/>
          <w:highlight w:val="none"/>
        </w:rPr>
      </w:pPr>
      <w:r>
        <w:rPr>
          <w:rFonts w:hint="eastAsia"/>
          <w:color w:val="auto"/>
          <w:highlight w:val="none"/>
          <w:lang w:val="en-US" w:eastAsia="zh-CN"/>
        </w:rPr>
        <w:t>本</w:t>
      </w:r>
      <w:r>
        <w:rPr>
          <w:rFonts w:hint="eastAsia"/>
          <w:color w:val="auto"/>
          <w:highlight w:val="none"/>
        </w:rPr>
        <w:t>项目建设符合国家产业政策，符合园区规划和规划环评及其审查意见的相关要求。</w:t>
      </w:r>
      <w:r>
        <w:rPr>
          <w:rFonts w:hint="eastAsia"/>
          <w:color w:val="auto"/>
          <w:highlight w:val="none"/>
          <w:lang w:val="en-US" w:eastAsia="zh-CN"/>
        </w:rPr>
        <w:t>项目按照相关规定</w:t>
      </w:r>
      <w:r>
        <w:rPr>
          <w:rFonts w:hint="eastAsia"/>
          <w:color w:val="auto"/>
          <w:highlight w:val="none"/>
        </w:rPr>
        <w:t>采取措施后，运营期废气、废水、噪声均能达标排放，固废均能合理处置，</w:t>
      </w:r>
      <w:r>
        <w:rPr>
          <w:rFonts w:hint="eastAsia"/>
          <w:color w:val="auto"/>
          <w:highlight w:val="none"/>
          <w:lang w:val="en-US" w:eastAsia="zh-CN"/>
        </w:rPr>
        <w:t>对</w:t>
      </w:r>
      <w:r>
        <w:rPr>
          <w:rFonts w:hint="eastAsia"/>
          <w:color w:val="auto"/>
          <w:highlight w:val="none"/>
        </w:rPr>
        <w:t>区域环境质量不会有明显变化，对区域环境影响较小；项目采取了完善的环境风险防范措施，环境风险能够控制；项目建设具有较好的环境效益、经济效益和社会效益。本项目在公示期间，</w:t>
      </w:r>
      <w:r>
        <w:rPr>
          <w:rFonts w:hint="eastAsia"/>
          <w:color w:val="auto"/>
          <w:highlight w:val="none"/>
          <w:lang w:val="en-US" w:eastAsia="zh-CN"/>
        </w:rPr>
        <w:t>未接到</w:t>
      </w:r>
      <w:r>
        <w:rPr>
          <w:rFonts w:hint="eastAsia"/>
          <w:color w:val="auto"/>
          <w:highlight w:val="none"/>
        </w:rPr>
        <w:t>当地居民及团体的反对意见。</w:t>
      </w:r>
    </w:p>
    <w:p w14:paraId="1DAA9849">
      <w:pPr>
        <w:ind w:firstLine="480"/>
        <w:rPr>
          <w:color w:val="auto"/>
          <w:highlight w:val="none"/>
        </w:rPr>
      </w:pPr>
      <w:r>
        <w:rPr>
          <w:rFonts w:hint="eastAsia"/>
          <w:color w:val="auto"/>
          <w:highlight w:val="none"/>
        </w:rPr>
        <w:t>综上所述，项目在设计、建设、运营过程中，认真落实各项环保措施，从环境保护角度分析，</w:t>
      </w:r>
      <w:r>
        <w:rPr>
          <w:rFonts w:hint="eastAsia"/>
          <w:color w:val="auto"/>
          <w:highlight w:val="none"/>
          <w:lang w:val="en-US" w:eastAsia="zh-CN"/>
        </w:rPr>
        <w:t>本项目建设</w:t>
      </w:r>
      <w:r>
        <w:rPr>
          <w:rFonts w:hint="eastAsia"/>
          <w:color w:val="auto"/>
          <w:highlight w:val="none"/>
        </w:rPr>
        <w:t>是可行的。</w:t>
      </w:r>
    </w:p>
    <w:p w14:paraId="60A0417B">
      <w:pPr>
        <w:pStyle w:val="3"/>
        <w:spacing w:before="120" w:after="120"/>
        <w:rPr>
          <w:color w:val="auto"/>
          <w:highlight w:val="none"/>
        </w:rPr>
      </w:pPr>
      <w:bookmarkStart w:id="27" w:name="_Toc14904"/>
      <w:bookmarkStart w:id="28" w:name="_Toc24447600"/>
      <w:bookmarkStart w:id="29" w:name="_Toc24447053"/>
      <w:bookmarkStart w:id="30" w:name="_Toc24340205"/>
      <w:r>
        <w:rPr>
          <w:rFonts w:hint="eastAsia"/>
          <w:color w:val="auto"/>
          <w:highlight w:val="none"/>
        </w:rPr>
        <w:t>总则</w:t>
      </w:r>
      <w:bookmarkEnd w:id="27"/>
      <w:bookmarkEnd w:id="28"/>
      <w:bookmarkEnd w:id="29"/>
      <w:bookmarkEnd w:id="30"/>
    </w:p>
    <w:p w14:paraId="00272276">
      <w:pPr>
        <w:pStyle w:val="4"/>
        <w:spacing w:before="120" w:after="120"/>
        <w:rPr>
          <w:color w:val="auto"/>
          <w:highlight w:val="none"/>
        </w:rPr>
      </w:pPr>
      <w:bookmarkStart w:id="31" w:name="_Toc24340206"/>
      <w:bookmarkStart w:id="32" w:name="_Toc24447054"/>
      <w:bookmarkStart w:id="33" w:name="_Toc24447601"/>
      <w:bookmarkStart w:id="34" w:name="_Toc11190"/>
      <w:r>
        <w:rPr>
          <w:rFonts w:hint="eastAsia"/>
          <w:color w:val="auto"/>
          <w:highlight w:val="none"/>
        </w:rPr>
        <w:t>评价依据</w:t>
      </w:r>
      <w:bookmarkEnd w:id="31"/>
      <w:bookmarkEnd w:id="32"/>
      <w:bookmarkEnd w:id="33"/>
      <w:bookmarkEnd w:id="34"/>
    </w:p>
    <w:p w14:paraId="2F711048">
      <w:pPr>
        <w:pStyle w:val="5"/>
        <w:rPr>
          <w:color w:val="auto"/>
          <w:highlight w:val="none"/>
        </w:rPr>
      </w:pPr>
      <w:bookmarkStart w:id="35" w:name="_Toc24447056"/>
      <w:r>
        <w:rPr>
          <w:rFonts w:hint="eastAsia"/>
          <w:color w:val="auto"/>
          <w:highlight w:val="none"/>
        </w:rPr>
        <w:t>国家法律、法规及政策性依据</w:t>
      </w:r>
      <w:bookmarkEnd w:id="35"/>
    </w:p>
    <w:p w14:paraId="4789F5FA">
      <w:pPr>
        <w:ind w:firstLine="480"/>
        <w:rPr>
          <w:color w:val="auto"/>
          <w:highlight w:val="none"/>
        </w:rPr>
      </w:pPr>
      <w:r>
        <w:rPr>
          <w:rFonts w:hint="eastAsia"/>
          <w:color w:val="auto"/>
          <w:highlight w:val="none"/>
        </w:rPr>
        <w:t>（1）《中华人民共和国环境保护法》（</w:t>
      </w:r>
      <w:r>
        <w:rPr>
          <w:color w:val="auto"/>
          <w:highlight w:val="none"/>
        </w:rPr>
        <w:t>2015</w:t>
      </w:r>
      <w:r>
        <w:rPr>
          <w:rFonts w:hint="eastAsia"/>
          <w:color w:val="auto"/>
          <w:highlight w:val="none"/>
        </w:rPr>
        <w:t>年</w:t>
      </w:r>
      <w:r>
        <w:rPr>
          <w:color w:val="auto"/>
          <w:highlight w:val="none"/>
        </w:rPr>
        <w:t>1</w:t>
      </w:r>
      <w:r>
        <w:rPr>
          <w:rFonts w:hint="eastAsia"/>
          <w:color w:val="auto"/>
          <w:highlight w:val="none"/>
        </w:rPr>
        <w:t>月</w:t>
      </w:r>
      <w:r>
        <w:rPr>
          <w:color w:val="auto"/>
          <w:highlight w:val="none"/>
        </w:rPr>
        <w:t>1</w:t>
      </w:r>
      <w:r>
        <w:rPr>
          <w:rFonts w:hint="eastAsia"/>
          <w:color w:val="auto"/>
          <w:highlight w:val="none"/>
        </w:rPr>
        <w:t>日）；</w:t>
      </w:r>
    </w:p>
    <w:p w14:paraId="69F91790">
      <w:pPr>
        <w:ind w:firstLine="480"/>
        <w:rPr>
          <w:color w:val="auto"/>
          <w:highlight w:val="none"/>
        </w:rPr>
      </w:pPr>
      <w:r>
        <w:rPr>
          <w:rFonts w:hint="eastAsia"/>
          <w:color w:val="auto"/>
          <w:highlight w:val="none"/>
        </w:rPr>
        <w:t>（2）《中华人民共和国环境影响评价法》（</w:t>
      </w:r>
      <w:r>
        <w:rPr>
          <w:color w:val="auto"/>
          <w:highlight w:val="none"/>
        </w:rPr>
        <w:t>2018</w:t>
      </w:r>
      <w:r>
        <w:rPr>
          <w:rFonts w:hint="eastAsia"/>
          <w:color w:val="auto"/>
          <w:highlight w:val="none"/>
        </w:rPr>
        <w:t>年</w:t>
      </w:r>
      <w:r>
        <w:rPr>
          <w:color w:val="auto"/>
          <w:highlight w:val="none"/>
        </w:rPr>
        <w:t>12</w:t>
      </w:r>
      <w:r>
        <w:rPr>
          <w:rFonts w:hint="eastAsia"/>
          <w:color w:val="auto"/>
          <w:highlight w:val="none"/>
        </w:rPr>
        <w:t>月</w:t>
      </w:r>
      <w:r>
        <w:rPr>
          <w:color w:val="auto"/>
          <w:highlight w:val="none"/>
        </w:rPr>
        <w:t>29</w:t>
      </w:r>
      <w:r>
        <w:rPr>
          <w:rFonts w:hint="eastAsia"/>
          <w:color w:val="auto"/>
          <w:highlight w:val="none"/>
        </w:rPr>
        <w:t>日）；</w:t>
      </w:r>
    </w:p>
    <w:p w14:paraId="00704378">
      <w:pP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）《中华人民共和国大气污染防治法》（</w:t>
      </w:r>
      <w:r>
        <w:rPr>
          <w:color w:val="auto"/>
          <w:highlight w:val="none"/>
        </w:rPr>
        <w:t>2018</w:t>
      </w:r>
      <w:r>
        <w:rPr>
          <w:rFonts w:hint="eastAsia"/>
          <w:color w:val="auto"/>
          <w:highlight w:val="none"/>
        </w:rPr>
        <w:t>年</w:t>
      </w:r>
      <w:r>
        <w:rPr>
          <w:color w:val="auto"/>
          <w:highlight w:val="none"/>
        </w:rPr>
        <w:t>10</w:t>
      </w:r>
      <w:r>
        <w:rPr>
          <w:rFonts w:hint="eastAsia"/>
          <w:color w:val="auto"/>
          <w:highlight w:val="none"/>
        </w:rPr>
        <w:t>月</w:t>
      </w:r>
      <w:r>
        <w:rPr>
          <w:color w:val="auto"/>
          <w:highlight w:val="none"/>
        </w:rPr>
        <w:t>26</w:t>
      </w:r>
      <w:r>
        <w:rPr>
          <w:rFonts w:hint="eastAsia"/>
          <w:color w:val="auto"/>
          <w:highlight w:val="none"/>
        </w:rPr>
        <w:t>日）；</w:t>
      </w:r>
    </w:p>
    <w:p w14:paraId="6893FCFE">
      <w:pPr>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）《中华人民共和国水污染防治法》（</w:t>
      </w:r>
      <w:r>
        <w:rPr>
          <w:color w:val="auto"/>
          <w:highlight w:val="none"/>
        </w:rPr>
        <w:t>2018</w:t>
      </w:r>
      <w:r>
        <w:rPr>
          <w:rFonts w:hint="eastAsia"/>
          <w:color w:val="auto"/>
          <w:highlight w:val="none"/>
        </w:rPr>
        <w:t>年</w:t>
      </w:r>
      <w:r>
        <w:rPr>
          <w:color w:val="auto"/>
          <w:highlight w:val="none"/>
        </w:rPr>
        <w:t>1</w:t>
      </w:r>
      <w:r>
        <w:rPr>
          <w:rFonts w:hint="eastAsia"/>
          <w:color w:val="auto"/>
          <w:highlight w:val="none"/>
        </w:rPr>
        <w:t>月</w:t>
      </w:r>
      <w:r>
        <w:rPr>
          <w:color w:val="auto"/>
          <w:highlight w:val="none"/>
        </w:rPr>
        <w:t>1</w:t>
      </w:r>
      <w:r>
        <w:rPr>
          <w:rFonts w:hint="eastAsia"/>
          <w:color w:val="auto"/>
          <w:highlight w:val="none"/>
        </w:rPr>
        <w:t>日）；</w:t>
      </w:r>
    </w:p>
    <w:p w14:paraId="39B80DA7">
      <w:pPr>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）《中华人民共和国固体废物污染环境防治法》（2020年9月1日）；</w:t>
      </w:r>
    </w:p>
    <w:p w14:paraId="7A9C3CF2">
      <w:pPr>
        <w:ind w:firstLine="480"/>
        <w:rPr>
          <w:color w:val="auto"/>
          <w:highlight w:val="none"/>
        </w:rPr>
      </w:pPr>
      <w:r>
        <w:rPr>
          <w:rFonts w:hint="eastAsia"/>
          <w:color w:val="auto"/>
          <w:highlight w:val="none"/>
        </w:rPr>
        <w:t>（</w:t>
      </w:r>
      <w:r>
        <w:rPr>
          <w:color w:val="auto"/>
          <w:highlight w:val="none"/>
        </w:rPr>
        <w:t>6</w:t>
      </w:r>
      <w:r>
        <w:rPr>
          <w:rFonts w:hint="eastAsia"/>
          <w:color w:val="auto"/>
          <w:highlight w:val="none"/>
        </w:rPr>
        <w:t>）《中华人民共和国环境噪声污染防治法》，（202</w:t>
      </w:r>
      <w:r>
        <w:rPr>
          <w:rFonts w:hint="eastAsia"/>
          <w:color w:val="auto"/>
          <w:highlight w:val="none"/>
          <w:lang w:val="en-US" w:eastAsia="zh-CN"/>
        </w:rPr>
        <w:t>2</w:t>
      </w:r>
      <w:r>
        <w:rPr>
          <w:rFonts w:hint="eastAsia"/>
          <w:color w:val="auto"/>
          <w:highlight w:val="none"/>
        </w:rPr>
        <w:t>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5</w:t>
      </w:r>
      <w:r>
        <w:rPr>
          <w:rFonts w:hint="eastAsia"/>
          <w:color w:val="auto"/>
          <w:highlight w:val="none"/>
        </w:rPr>
        <w:t>日）；</w:t>
      </w:r>
    </w:p>
    <w:p w14:paraId="132F3424">
      <w:pPr>
        <w:ind w:firstLine="480"/>
        <w:rPr>
          <w:color w:val="auto"/>
          <w:highlight w:val="none"/>
        </w:rPr>
      </w:pPr>
      <w:r>
        <w:rPr>
          <w:rFonts w:hint="eastAsia"/>
          <w:color w:val="auto"/>
          <w:highlight w:val="none"/>
        </w:rPr>
        <w:t>（</w:t>
      </w:r>
      <w:r>
        <w:rPr>
          <w:color w:val="auto"/>
          <w:highlight w:val="none"/>
        </w:rPr>
        <w:t>7</w:t>
      </w:r>
      <w:r>
        <w:rPr>
          <w:rFonts w:hint="eastAsia"/>
          <w:color w:val="auto"/>
          <w:highlight w:val="none"/>
        </w:rPr>
        <w:t>）《中华人民共和国土壤污染防治法》（</w:t>
      </w:r>
      <w:r>
        <w:rPr>
          <w:color w:val="auto"/>
          <w:highlight w:val="none"/>
        </w:rPr>
        <w:t>2019</w:t>
      </w:r>
      <w:r>
        <w:rPr>
          <w:rFonts w:hint="eastAsia"/>
          <w:color w:val="auto"/>
          <w:highlight w:val="none"/>
        </w:rPr>
        <w:t>年</w:t>
      </w:r>
      <w:r>
        <w:rPr>
          <w:color w:val="auto"/>
          <w:highlight w:val="none"/>
        </w:rPr>
        <w:t>1</w:t>
      </w:r>
      <w:r>
        <w:rPr>
          <w:rFonts w:hint="eastAsia"/>
          <w:color w:val="auto"/>
          <w:highlight w:val="none"/>
        </w:rPr>
        <w:t>月</w:t>
      </w:r>
      <w:r>
        <w:rPr>
          <w:color w:val="auto"/>
          <w:highlight w:val="none"/>
        </w:rPr>
        <w:t>1</w:t>
      </w:r>
      <w:r>
        <w:rPr>
          <w:rFonts w:hint="eastAsia"/>
          <w:color w:val="auto"/>
          <w:highlight w:val="none"/>
        </w:rPr>
        <w:t>日）。</w:t>
      </w:r>
    </w:p>
    <w:p w14:paraId="6147A04D">
      <w:pPr>
        <w:ind w:firstLine="480"/>
        <w:rPr>
          <w:color w:val="auto"/>
          <w:highlight w:val="none"/>
        </w:rPr>
      </w:pPr>
      <w:r>
        <w:rPr>
          <w:rFonts w:hint="eastAsia"/>
          <w:color w:val="auto"/>
          <w:highlight w:val="none"/>
        </w:rPr>
        <w:t>（</w:t>
      </w:r>
      <w:r>
        <w:rPr>
          <w:color w:val="auto"/>
          <w:highlight w:val="none"/>
        </w:rPr>
        <w:t>8</w:t>
      </w:r>
      <w:r>
        <w:rPr>
          <w:rFonts w:hint="eastAsia"/>
          <w:color w:val="auto"/>
          <w:highlight w:val="none"/>
        </w:rPr>
        <w:t>）《建设项目环境保护管理条例》（</w:t>
      </w:r>
      <w:r>
        <w:rPr>
          <w:color w:val="auto"/>
          <w:highlight w:val="none"/>
        </w:rPr>
        <w:t>2017</w:t>
      </w:r>
      <w:r>
        <w:rPr>
          <w:rFonts w:hint="eastAsia"/>
          <w:color w:val="auto"/>
          <w:highlight w:val="none"/>
        </w:rPr>
        <w:t>年</w:t>
      </w:r>
      <w:r>
        <w:rPr>
          <w:color w:val="auto"/>
          <w:highlight w:val="none"/>
        </w:rPr>
        <w:t>10</w:t>
      </w:r>
      <w:r>
        <w:rPr>
          <w:rFonts w:hint="eastAsia"/>
          <w:color w:val="auto"/>
          <w:highlight w:val="none"/>
        </w:rPr>
        <w:t>月</w:t>
      </w:r>
      <w:r>
        <w:rPr>
          <w:color w:val="auto"/>
          <w:highlight w:val="none"/>
        </w:rPr>
        <w:t>1</w:t>
      </w:r>
      <w:r>
        <w:rPr>
          <w:rFonts w:hint="eastAsia"/>
          <w:color w:val="auto"/>
          <w:highlight w:val="none"/>
        </w:rPr>
        <w:t>日）；</w:t>
      </w:r>
    </w:p>
    <w:p w14:paraId="28084C65">
      <w:pPr>
        <w:ind w:firstLine="480"/>
        <w:rPr>
          <w:color w:val="auto"/>
          <w:highlight w:val="none"/>
        </w:rPr>
      </w:pPr>
      <w:r>
        <w:rPr>
          <w:rFonts w:hint="eastAsia"/>
          <w:color w:val="auto"/>
          <w:highlight w:val="none"/>
        </w:rPr>
        <w:t>（</w:t>
      </w:r>
      <w:r>
        <w:rPr>
          <w:color w:val="auto"/>
          <w:highlight w:val="none"/>
        </w:rPr>
        <w:t>9</w:t>
      </w:r>
      <w:r>
        <w:rPr>
          <w:rFonts w:hint="eastAsia"/>
          <w:color w:val="auto"/>
          <w:highlight w:val="none"/>
        </w:rPr>
        <w:t>）《建设项目环境影响评价分类管理名录》（</w:t>
      </w:r>
      <w:r>
        <w:rPr>
          <w:color w:val="auto"/>
          <w:highlight w:val="none"/>
        </w:rPr>
        <w:t>20</w:t>
      </w:r>
      <w:r>
        <w:rPr>
          <w:rFonts w:hint="eastAsia"/>
          <w:color w:val="auto"/>
          <w:highlight w:val="none"/>
          <w:lang w:val="en-US" w:eastAsia="zh-CN"/>
        </w:rPr>
        <w:t>21年版</w:t>
      </w:r>
      <w:r>
        <w:rPr>
          <w:rFonts w:hint="eastAsia"/>
          <w:color w:val="auto"/>
          <w:highlight w:val="none"/>
        </w:rPr>
        <w:t>）；</w:t>
      </w:r>
    </w:p>
    <w:p w14:paraId="64278C52">
      <w:pPr>
        <w:ind w:firstLine="480"/>
        <w:rPr>
          <w:color w:val="auto"/>
          <w:highlight w:val="none"/>
        </w:rPr>
      </w:pPr>
      <w:r>
        <w:rPr>
          <w:rFonts w:hint="eastAsia"/>
          <w:color w:val="auto"/>
          <w:highlight w:val="none"/>
        </w:rPr>
        <w:t>（</w:t>
      </w:r>
      <w:r>
        <w:rPr>
          <w:color w:val="auto"/>
          <w:highlight w:val="none"/>
        </w:rPr>
        <w:t>10</w:t>
      </w:r>
      <w:r>
        <w:rPr>
          <w:rFonts w:hint="eastAsia"/>
          <w:color w:val="auto"/>
          <w:highlight w:val="none"/>
        </w:rPr>
        <w:t>）《产业结构调整指导目录》（</w:t>
      </w:r>
      <w:r>
        <w:rPr>
          <w:color w:val="auto"/>
          <w:highlight w:val="none"/>
        </w:rPr>
        <w:t>20</w:t>
      </w:r>
      <w:r>
        <w:rPr>
          <w:rFonts w:hint="eastAsia"/>
          <w:color w:val="auto"/>
          <w:highlight w:val="none"/>
          <w:lang w:val="en-US" w:eastAsia="zh-CN"/>
        </w:rPr>
        <w:t>24</w:t>
      </w:r>
      <w:r>
        <w:rPr>
          <w:rFonts w:hint="eastAsia"/>
          <w:color w:val="auto"/>
          <w:highlight w:val="none"/>
        </w:rPr>
        <w:t xml:space="preserve">年本）； </w:t>
      </w:r>
    </w:p>
    <w:p w14:paraId="688C95A5">
      <w:pPr>
        <w:ind w:firstLine="480"/>
        <w:rPr>
          <w:color w:val="auto"/>
          <w:highlight w:val="none"/>
        </w:rPr>
      </w:pPr>
      <w:r>
        <w:rPr>
          <w:rFonts w:hint="eastAsia"/>
          <w:color w:val="auto"/>
          <w:highlight w:val="none"/>
        </w:rPr>
        <w:t>（</w:t>
      </w:r>
      <w:r>
        <w:rPr>
          <w:color w:val="auto"/>
          <w:highlight w:val="none"/>
        </w:rPr>
        <w:t>11</w:t>
      </w:r>
      <w:r>
        <w:rPr>
          <w:rFonts w:hint="eastAsia"/>
          <w:color w:val="auto"/>
          <w:highlight w:val="none"/>
        </w:rPr>
        <w:t>）《水污染防治行动计划》（</w:t>
      </w:r>
      <w:r>
        <w:rPr>
          <w:color w:val="auto"/>
          <w:highlight w:val="none"/>
        </w:rPr>
        <w:t>2015</w:t>
      </w:r>
      <w:r>
        <w:rPr>
          <w:rFonts w:hint="eastAsia"/>
          <w:color w:val="auto"/>
          <w:highlight w:val="none"/>
        </w:rPr>
        <w:t>年</w:t>
      </w:r>
      <w:r>
        <w:rPr>
          <w:color w:val="auto"/>
          <w:highlight w:val="none"/>
        </w:rPr>
        <w:t>4</w:t>
      </w:r>
      <w:r>
        <w:rPr>
          <w:rFonts w:hint="eastAsia"/>
          <w:color w:val="auto"/>
          <w:highlight w:val="none"/>
        </w:rPr>
        <w:t>月</w:t>
      </w:r>
      <w:r>
        <w:rPr>
          <w:color w:val="auto"/>
          <w:highlight w:val="none"/>
        </w:rPr>
        <w:t>2</w:t>
      </w:r>
      <w:r>
        <w:rPr>
          <w:rFonts w:hint="eastAsia"/>
          <w:color w:val="auto"/>
          <w:highlight w:val="none"/>
        </w:rPr>
        <w:t>日）；</w:t>
      </w:r>
    </w:p>
    <w:p w14:paraId="41B3BA90">
      <w:pPr>
        <w:ind w:firstLine="480"/>
        <w:rPr>
          <w:color w:val="auto"/>
          <w:highlight w:val="none"/>
        </w:rPr>
      </w:pPr>
      <w:r>
        <w:rPr>
          <w:rFonts w:hint="eastAsia"/>
          <w:color w:val="auto"/>
          <w:highlight w:val="none"/>
        </w:rPr>
        <w:t>（</w:t>
      </w:r>
      <w:r>
        <w:rPr>
          <w:color w:val="auto"/>
          <w:highlight w:val="none"/>
        </w:rPr>
        <w:t>12</w:t>
      </w:r>
      <w:r>
        <w:rPr>
          <w:rFonts w:hint="eastAsia"/>
          <w:color w:val="auto"/>
          <w:highlight w:val="none"/>
        </w:rPr>
        <w:t>）</w:t>
      </w:r>
      <w:r>
        <w:rPr>
          <w:rFonts w:hint="eastAsia"/>
          <w:color w:val="auto"/>
          <w:highlight w:val="none"/>
          <w:lang w:eastAsia="zh-CN"/>
        </w:rPr>
        <w:t>《</w:t>
      </w:r>
      <w:r>
        <w:rPr>
          <w:rFonts w:hint="eastAsia"/>
          <w:color w:val="auto"/>
          <w:highlight w:val="none"/>
        </w:rPr>
        <w:t>大气污染防治行动计划》（</w:t>
      </w:r>
      <w:r>
        <w:rPr>
          <w:color w:val="auto"/>
          <w:highlight w:val="none"/>
        </w:rPr>
        <w:t>2013</w:t>
      </w:r>
      <w:r>
        <w:rPr>
          <w:rFonts w:hint="eastAsia"/>
          <w:color w:val="auto"/>
          <w:highlight w:val="none"/>
        </w:rPr>
        <w:t>年</w:t>
      </w:r>
      <w:r>
        <w:rPr>
          <w:color w:val="auto"/>
          <w:highlight w:val="none"/>
        </w:rPr>
        <w:t>9</w:t>
      </w:r>
      <w:r>
        <w:rPr>
          <w:rFonts w:hint="eastAsia"/>
          <w:color w:val="auto"/>
          <w:highlight w:val="none"/>
        </w:rPr>
        <w:t>月</w:t>
      </w:r>
      <w:r>
        <w:rPr>
          <w:color w:val="auto"/>
          <w:highlight w:val="none"/>
        </w:rPr>
        <w:t>10</w:t>
      </w:r>
      <w:r>
        <w:rPr>
          <w:rFonts w:hint="eastAsia"/>
          <w:color w:val="auto"/>
          <w:highlight w:val="none"/>
        </w:rPr>
        <w:t>日）；</w:t>
      </w:r>
    </w:p>
    <w:p w14:paraId="55254134">
      <w:pPr>
        <w:ind w:firstLine="480"/>
        <w:rPr>
          <w:color w:val="auto"/>
          <w:highlight w:val="none"/>
        </w:rPr>
      </w:pPr>
      <w:r>
        <w:rPr>
          <w:rFonts w:hint="eastAsia"/>
          <w:color w:val="auto"/>
          <w:highlight w:val="none"/>
        </w:rPr>
        <w:t>（</w:t>
      </w:r>
      <w:r>
        <w:rPr>
          <w:color w:val="auto"/>
          <w:highlight w:val="none"/>
        </w:rPr>
        <w:t>13</w:t>
      </w:r>
      <w:r>
        <w:rPr>
          <w:rFonts w:hint="eastAsia"/>
          <w:color w:val="auto"/>
          <w:highlight w:val="none"/>
        </w:rPr>
        <w:t>）《土壤污染防治行动计划》（</w:t>
      </w:r>
      <w:r>
        <w:rPr>
          <w:color w:val="auto"/>
          <w:highlight w:val="none"/>
        </w:rPr>
        <w:t>2016</w:t>
      </w:r>
      <w:r>
        <w:rPr>
          <w:rFonts w:hint="eastAsia"/>
          <w:color w:val="auto"/>
          <w:highlight w:val="none"/>
        </w:rPr>
        <w:t>年</w:t>
      </w:r>
      <w:r>
        <w:rPr>
          <w:color w:val="auto"/>
          <w:highlight w:val="none"/>
        </w:rPr>
        <w:t>5</w:t>
      </w:r>
      <w:r>
        <w:rPr>
          <w:rFonts w:hint="eastAsia"/>
          <w:color w:val="auto"/>
          <w:highlight w:val="none"/>
        </w:rPr>
        <w:t>月</w:t>
      </w:r>
      <w:r>
        <w:rPr>
          <w:color w:val="auto"/>
          <w:highlight w:val="none"/>
        </w:rPr>
        <w:t>28</w:t>
      </w:r>
      <w:r>
        <w:rPr>
          <w:rFonts w:hint="eastAsia"/>
          <w:color w:val="auto"/>
          <w:highlight w:val="none"/>
        </w:rPr>
        <w:t>日）；</w:t>
      </w:r>
    </w:p>
    <w:p w14:paraId="39EFB34D">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lang w:val="en-US" w:eastAsia="zh-CN"/>
        </w:rPr>
        <w:t>4</w:t>
      </w:r>
      <w:r>
        <w:rPr>
          <w:rFonts w:hint="eastAsia"/>
          <w:color w:val="auto"/>
          <w:highlight w:val="none"/>
        </w:rPr>
        <w:t>）《关于印发</w:t>
      </w:r>
      <w:r>
        <w:rPr>
          <w:color w:val="auto"/>
          <w:highlight w:val="none"/>
        </w:rPr>
        <w:t>&lt;</w:t>
      </w:r>
      <w:r>
        <w:rPr>
          <w:rFonts w:hint="eastAsia"/>
          <w:color w:val="auto"/>
          <w:highlight w:val="none"/>
        </w:rPr>
        <w:t>突发环境事件应急预案管理暂行办法</w:t>
      </w:r>
      <w:r>
        <w:rPr>
          <w:color w:val="auto"/>
          <w:highlight w:val="none"/>
        </w:rPr>
        <w:t>&gt;</w:t>
      </w:r>
      <w:r>
        <w:rPr>
          <w:rFonts w:hint="eastAsia"/>
          <w:color w:val="auto"/>
          <w:highlight w:val="none"/>
        </w:rPr>
        <w:t>的通知》（</w:t>
      </w:r>
      <w:r>
        <w:rPr>
          <w:color w:val="auto"/>
          <w:highlight w:val="none"/>
        </w:rPr>
        <w:t>2010</w:t>
      </w:r>
      <w:r>
        <w:rPr>
          <w:rFonts w:hint="eastAsia"/>
          <w:color w:val="auto"/>
          <w:highlight w:val="none"/>
        </w:rPr>
        <w:t>年</w:t>
      </w:r>
      <w:r>
        <w:rPr>
          <w:color w:val="auto"/>
          <w:highlight w:val="none"/>
        </w:rPr>
        <w:t>9</w:t>
      </w:r>
      <w:r>
        <w:rPr>
          <w:rFonts w:hint="eastAsia"/>
          <w:color w:val="auto"/>
          <w:highlight w:val="none"/>
        </w:rPr>
        <w:t>月</w:t>
      </w:r>
      <w:r>
        <w:rPr>
          <w:color w:val="auto"/>
          <w:highlight w:val="none"/>
        </w:rPr>
        <w:t>28</w:t>
      </w:r>
      <w:r>
        <w:rPr>
          <w:rFonts w:hint="eastAsia"/>
          <w:color w:val="auto"/>
          <w:highlight w:val="none"/>
        </w:rPr>
        <w:t>日）；</w:t>
      </w:r>
    </w:p>
    <w:p w14:paraId="27004B0C">
      <w:pPr>
        <w:ind w:firstLine="480"/>
        <w:rPr>
          <w:color w:val="auto"/>
          <w:highlight w:val="none"/>
        </w:rPr>
      </w:pPr>
      <w:r>
        <w:rPr>
          <w:rFonts w:hint="eastAsia"/>
          <w:color w:val="auto"/>
          <w:highlight w:val="none"/>
        </w:rPr>
        <w:t>（</w:t>
      </w:r>
      <w:r>
        <w:rPr>
          <w:rFonts w:hint="eastAsia"/>
          <w:color w:val="auto"/>
          <w:highlight w:val="none"/>
          <w:lang w:val="en-US" w:eastAsia="zh-CN"/>
        </w:rPr>
        <w:t>15</w:t>
      </w:r>
      <w:r>
        <w:rPr>
          <w:rFonts w:hint="eastAsia"/>
          <w:color w:val="auto"/>
          <w:highlight w:val="none"/>
        </w:rPr>
        <w:t>）</w:t>
      </w:r>
      <w:r>
        <w:rPr>
          <w:rFonts w:hint="eastAsia"/>
          <w:color w:val="auto"/>
          <w:spacing w:val="-8"/>
          <w:szCs w:val="21"/>
          <w:highlight w:val="none"/>
        </w:rPr>
        <w:t>《</w:t>
      </w:r>
      <w:r>
        <w:rPr>
          <w:rFonts w:hint="eastAsia"/>
          <w:snapToGrid w:val="0"/>
          <w:color w:val="auto"/>
          <w:szCs w:val="21"/>
          <w:highlight w:val="none"/>
        </w:rPr>
        <w:t>建设项目环境影响评价信息公开机制方案》，</w:t>
      </w:r>
      <w:r>
        <w:rPr>
          <w:rFonts w:hint="eastAsia"/>
          <w:snapToGrid w:val="0"/>
          <w:color w:val="auto"/>
          <w:szCs w:val="21"/>
          <w:highlight w:val="none"/>
          <w:lang w:eastAsia="zh-CN"/>
        </w:rPr>
        <w:t>（</w:t>
      </w:r>
      <w:r>
        <w:rPr>
          <w:snapToGrid w:val="0"/>
          <w:color w:val="auto"/>
          <w:szCs w:val="21"/>
          <w:highlight w:val="none"/>
        </w:rPr>
        <w:t>2015</w:t>
      </w:r>
      <w:r>
        <w:rPr>
          <w:rFonts w:hint="eastAsia"/>
          <w:snapToGrid w:val="0"/>
          <w:color w:val="auto"/>
          <w:szCs w:val="21"/>
          <w:highlight w:val="none"/>
        </w:rPr>
        <w:t>年</w:t>
      </w:r>
      <w:r>
        <w:rPr>
          <w:snapToGrid w:val="0"/>
          <w:color w:val="auto"/>
          <w:szCs w:val="21"/>
          <w:highlight w:val="none"/>
        </w:rPr>
        <w:t>12</w:t>
      </w:r>
      <w:r>
        <w:rPr>
          <w:rFonts w:hint="eastAsia"/>
          <w:snapToGrid w:val="0"/>
          <w:color w:val="auto"/>
          <w:szCs w:val="21"/>
          <w:highlight w:val="none"/>
        </w:rPr>
        <w:t>月</w:t>
      </w:r>
      <w:r>
        <w:rPr>
          <w:snapToGrid w:val="0"/>
          <w:color w:val="auto"/>
          <w:szCs w:val="21"/>
          <w:highlight w:val="none"/>
        </w:rPr>
        <w:t>10</w:t>
      </w:r>
      <w:r>
        <w:rPr>
          <w:rFonts w:hint="eastAsia"/>
          <w:snapToGrid w:val="0"/>
          <w:color w:val="auto"/>
          <w:szCs w:val="21"/>
          <w:highlight w:val="none"/>
        </w:rPr>
        <w:t>日</w:t>
      </w:r>
      <w:r>
        <w:rPr>
          <w:rFonts w:hint="eastAsia"/>
          <w:snapToGrid w:val="0"/>
          <w:color w:val="auto"/>
          <w:szCs w:val="21"/>
          <w:highlight w:val="none"/>
          <w:lang w:eastAsia="zh-CN"/>
        </w:rPr>
        <w:t>）</w:t>
      </w:r>
      <w:r>
        <w:rPr>
          <w:rFonts w:hint="eastAsia" w:hAnsi="宋体"/>
          <w:color w:val="auto"/>
          <w:highlight w:val="none"/>
        </w:rPr>
        <w:t>；</w:t>
      </w:r>
    </w:p>
    <w:p w14:paraId="4D093B1C">
      <w:pPr>
        <w:ind w:firstLine="480"/>
        <w:rPr>
          <w:rFonts w:hint="eastAsia" w:hAnsi="宋体"/>
          <w:color w:val="auto"/>
          <w:highlight w:val="none"/>
        </w:rPr>
      </w:pPr>
      <w:r>
        <w:rPr>
          <w:rFonts w:hint="eastAsia"/>
          <w:color w:val="auto"/>
          <w:highlight w:val="none"/>
        </w:rPr>
        <w:t>（</w:t>
      </w:r>
      <w:r>
        <w:rPr>
          <w:rFonts w:hint="eastAsia"/>
          <w:color w:val="auto"/>
          <w:highlight w:val="none"/>
          <w:lang w:val="en-US" w:eastAsia="zh-CN"/>
        </w:rPr>
        <w:t>16</w:t>
      </w:r>
      <w:r>
        <w:rPr>
          <w:rFonts w:hint="eastAsia"/>
          <w:color w:val="auto"/>
          <w:highlight w:val="none"/>
        </w:rPr>
        <w:t>）</w:t>
      </w:r>
      <w:r>
        <w:rPr>
          <w:rFonts w:hint="eastAsia" w:hAnsi="宋体"/>
          <w:color w:val="auto"/>
          <w:highlight w:val="none"/>
        </w:rPr>
        <w:t>《环境影响评价公众参与办法》（</w:t>
      </w:r>
      <w:r>
        <w:rPr>
          <w:rFonts w:hAnsi="宋体"/>
          <w:color w:val="auto"/>
          <w:highlight w:val="none"/>
        </w:rPr>
        <w:t>2019</w:t>
      </w:r>
      <w:r>
        <w:rPr>
          <w:rFonts w:hint="eastAsia" w:hAnsi="宋体"/>
          <w:color w:val="auto"/>
          <w:highlight w:val="none"/>
        </w:rPr>
        <w:t>年</w:t>
      </w:r>
      <w:r>
        <w:rPr>
          <w:rFonts w:hAnsi="宋体"/>
          <w:color w:val="auto"/>
          <w:highlight w:val="none"/>
        </w:rPr>
        <w:t>1</w:t>
      </w:r>
      <w:r>
        <w:rPr>
          <w:rFonts w:hint="eastAsia" w:hAnsi="宋体"/>
          <w:color w:val="auto"/>
          <w:highlight w:val="none"/>
        </w:rPr>
        <w:t>月</w:t>
      </w:r>
      <w:r>
        <w:rPr>
          <w:rFonts w:hAnsi="宋体"/>
          <w:color w:val="auto"/>
          <w:highlight w:val="none"/>
        </w:rPr>
        <w:t>1</w:t>
      </w:r>
      <w:r>
        <w:rPr>
          <w:rFonts w:hint="eastAsia" w:hAnsi="宋体"/>
          <w:color w:val="auto"/>
          <w:highlight w:val="none"/>
        </w:rPr>
        <w:t>日）。</w:t>
      </w:r>
    </w:p>
    <w:p w14:paraId="579E1008">
      <w:pPr>
        <w:ind w:firstLine="480"/>
        <w:rPr>
          <w:rFonts w:hint="eastAsia"/>
          <w:color w:val="auto"/>
          <w:highlight w:val="none"/>
        </w:rPr>
      </w:pPr>
      <w:r>
        <w:rPr>
          <w:rFonts w:hint="eastAsia"/>
          <w:color w:val="auto"/>
          <w:highlight w:val="none"/>
        </w:rPr>
        <w:t>（</w:t>
      </w:r>
      <w:r>
        <w:rPr>
          <w:rFonts w:hint="eastAsia"/>
          <w:color w:val="auto"/>
          <w:highlight w:val="none"/>
          <w:lang w:val="en-US" w:eastAsia="zh-CN"/>
        </w:rPr>
        <w:t>17</w:t>
      </w:r>
      <w:r>
        <w:rPr>
          <w:rFonts w:hint="eastAsia"/>
          <w:color w:val="auto"/>
          <w:highlight w:val="none"/>
        </w:rPr>
        <w:t>）《关于进一步加强环境影响评价管理防范环境风险的通知》，环发[2012]77号；</w:t>
      </w:r>
    </w:p>
    <w:p w14:paraId="4DAC1966">
      <w:pPr>
        <w:ind w:firstLine="480"/>
        <w:rPr>
          <w:rFonts w:hint="eastAsia"/>
          <w:color w:val="auto"/>
          <w:highlight w:val="none"/>
        </w:rPr>
      </w:pPr>
      <w:r>
        <w:rPr>
          <w:rFonts w:hint="eastAsia"/>
          <w:color w:val="auto"/>
          <w:highlight w:val="none"/>
        </w:rPr>
        <w:t>（</w:t>
      </w:r>
      <w:r>
        <w:rPr>
          <w:rFonts w:hint="eastAsia"/>
          <w:color w:val="auto"/>
          <w:highlight w:val="none"/>
          <w:lang w:val="en-US" w:eastAsia="zh-CN"/>
        </w:rPr>
        <w:t>18</w:t>
      </w:r>
      <w:r>
        <w:rPr>
          <w:rFonts w:hint="eastAsia"/>
          <w:color w:val="auto"/>
          <w:highlight w:val="none"/>
        </w:rPr>
        <w:t>）《关于切实加强风险防范严格环境影响评价管理的通知》，环发[2012]98号；</w:t>
      </w:r>
    </w:p>
    <w:p w14:paraId="422E9CB2">
      <w:pPr>
        <w:ind w:firstLine="480"/>
        <w:rPr>
          <w:rFonts w:hint="eastAsia"/>
          <w:color w:val="auto"/>
          <w:highlight w:val="none"/>
        </w:rPr>
      </w:pPr>
      <w:r>
        <w:rPr>
          <w:rFonts w:hint="eastAsia"/>
          <w:color w:val="auto"/>
          <w:highlight w:val="none"/>
        </w:rPr>
        <w:t>（</w:t>
      </w:r>
      <w:r>
        <w:rPr>
          <w:rFonts w:hint="eastAsia"/>
          <w:color w:val="auto"/>
          <w:highlight w:val="none"/>
          <w:lang w:val="en-US" w:eastAsia="zh-CN"/>
        </w:rPr>
        <w:t>19</w:t>
      </w:r>
      <w:r>
        <w:rPr>
          <w:rFonts w:hint="eastAsia"/>
          <w:color w:val="auto"/>
          <w:highlight w:val="none"/>
        </w:rPr>
        <w:t>）《生态环境部关于进一步完善建设项目环境保护“三同时”及竣工环境保护自主验收监管工作机制的意见》，环执法[2021]70号；</w:t>
      </w:r>
    </w:p>
    <w:p w14:paraId="3A81D9F6">
      <w:pPr>
        <w:ind w:firstLine="480"/>
        <w:rPr>
          <w:rFonts w:hint="eastAsia"/>
          <w:color w:val="auto"/>
          <w:highlight w:val="none"/>
        </w:rPr>
      </w:pPr>
      <w:r>
        <w:rPr>
          <w:rFonts w:hint="eastAsia"/>
          <w:color w:val="auto"/>
          <w:highlight w:val="none"/>
        </w:rPr>
        <w:t>（</w:t>
      </w:r>
      <w:r>
        <w:rPr>
          <w:rFonts w:hint="eastAsia"/>
          <w:color w:val="auto"/>
          <w:highlight w:val="none"/>
          <w:lang w:val="en-US" w:eastAsia="zh-CN"/>
        </w:rPr>
        <w:t>20</w:t>
      </w:r>
      <w:r>
        <w:rPr>
          <w:rFonts w:hint="eastAsia"/>
          <w:color w:val="auto"/>
          <w:highlight w:val="none"/>
        </w:rPr>
        <w:t>）《萤石行业准入标准公告》（工联原[2010]87号）。</w:t>
      </w:r>
    </w:p>
    <w:p w14:paraId="1CF10654">
      <w:pPr>
        <w:ind w:firstLine="480"/>
        <w:rPr>
          <w:rFonts w:hint="eastAsia"/>
          <w:color w:val="auto"/>
          <w:highlight w:val="none"/>
        </w:rPr>
      </w:pPr>
      <w:r>
        <w:rPr>
          <w:rFonts w:hint="eastAsia"/>
          <w:color w:val="auto"/>
          <w:highlight w:val="none"/>
        </w:rPr>
        <w:t>（</w:t>
      </w:r>
      <w:r>
        <w:rPr>
          <w:rFonts w:hint="eastAsia"/>
          <w:color w:val="auto"/>
          <w:highlight w:val="none"/>
          <w:lang w:val="en-US" w:eastAsia="zh-CN"/>
        </w:rPr>
        <w:t>21</w:t>
      </w:r>
      <w:r>
        <w:rPr>
          <w:rFonts w:hint="eastAsia"/>
          <w:color w:val="auto"/>
          <w:highlight w:val="none"/>
        </w:rPr>
        <w:t>）关于印发《“十四五”环境影响评价与排污许可工作实施方案》的通知，环环评[2022]26号；</w:t>
      </w:r>
    </w:p>
    <w:p w14:paraId="00FAFB2F">
      <w:pPr>
        <w:ind w:firstLine="480"/>
        <w:rPr>
          <w:rFonts w:hint="eastAsia"/>
          <w:color w:val="auto"/>
          <w:highlight w:val="none"/>
        </w:rPr>
      </w:pPr>
      <w:r>
        <w:rPr>
          <w:rFonts w:hint="eastAsia"/>
          <w:color w:val="auto"/>
          <w:highlight w:val="none"/>
        </w:rPr>
        <w:t>（</w:t>
      </w:r>
      <w:r>
        <w:rPr>
          <w:rFonts w:hint="eastAsia"/>
          <w:color w:val="auto"/>
          <w:highlight w:val="none"/>
          <w:lang w:val="en-US" w:eastAsia="zh-CN"/>
        </w:rPr>
        <w:t>22</w:t>
      </w:r>
      <w:r>
        <w:rPr>
          <w:rFonts w:hint="eastAsia"/>
          <w:color w:val="auto"/>
          <w:highlight w:val="none"/>
        </w:rPr>
        <w:t>）《中共中央国务院关于深入打好污染防治攻坚战的意见》，2021年11月2日。</w:t>
      </w:r>
    </w:p>
    <w:p w14:paraId="228BE8D5">
      <w:pPr>
        <w:pStyle w:val="5"/>
        <w:rPr>
          <w:color w:val="auto"/>
          <w:highlight w:val="none"/>
        </w:rPr>
      </w:pPr>
      <w:bookmarkStart w:id="36" w:name="_Toc24447057"/>
      <w:r>
        <w:rPr>
          <w:rFonts w:hint="eastAsia"/>
          <w:color w:val="auto"/>
          <w:highlight w:val="none"/>
        </w:rPr>
        <w:t>地方相关政策及规划</w:t>
      </w:r>
      <w:bookmarkEnd w:id="36"/>
    </w:p>
    <w:p w14:paraId="0EEBD3B1">
      <w:pPr>
        <w:ind w:firstLine="480"/>
        <w:rPr>
          <w:rFonts w:hint="eastAsia"/>
          <w:color w:val="auto"/>
          <w:highlight w:val="none"/>
        </w:rPr>
      </w:pPr>
      <w:r>
        <w:rPr>
          <w:rFonts w:hint="eastAsia"/>
          <w:color w:val="auto"/>
          <w:highlight w:val="none"/>
        </w:rPr>
        <w:t>（1）《〈内蒙古自治区人民政府关于贯彻落实大气污染防治行动计划的意见〉重点工作部门分工方案》，内政办发[2014]46号；</w:t>
      </w:r>
    </w:p>
    <w:p w14:paraId="4D86009D">
      <w:pPr>
        <w:ind w:firstLine="480"/>
        <w:rPr>
          <w:rFonts w:hint="eastAsia"/>
          <w:color w:val="auto"/>
          <w:highlight w:val="none"/>
        </w:rPr>
      </w:pPr>
      <w:r>
        <w:rPr>
          <w:rFonts w:hint="eastAsia"/>
          <w:color w:val="auto"/>
          <w:highlight w:val="none"/>
        </w:rPr>
        <w:t>（2）《内蒙古自治区人民政府关于印发自治区国家重点生态功能区产业准入负面清单（试行）的通知》，内政发[2018]11号；</w:t>
      </w:r>
    </w:p>
    <w:p w14:paraId="6D9C662E">
      <w:pPr>
        <w:ind w:firstLine="480"/>
        <w:rPr>
          <w:rFonts w:hint="eastAsia"/>
          <w:color w:val="auto"/>
          <w:highlight w:val="none"/>
        </w:rPr>
      </w:pPr>
      <w:r>
        <w:rPr>
          <w:rFonts w:hint="eastAsia"/>
          <w:color w:val="auto"/>
          <w:highlight w:val="none"/>
        </w:rPr>
        <w:t>（3）《内蒙古自治区环境保护条例》，2018年12月6日第五次修正；</w:t>
      </w:r>
    </w:p>
    <w:p w14:paraId="47AE03AC">
      <w:pPr>
        <w:ind w:firstLine="480"/>
        <w:rPr>
          <w:rFonts w:hint="eastAsia"/>
          <w:color w:val="auto"/>
          <w:highlight w:val="none"/>
        </w:rPr>
      </w:pPr>
      <w:r>
        <w:rPr>
          <w:rFonts w:hint="eastAsia"/>
          <w:color w:val="auto"/>
          <w:highlight w:val="none"/>
        </w:rPr>
        <w:t>（4）《内蒙古自治区大气污染防治条例》，2019年3月1日起施行；</w:t>
      </w:r>
    </w:p>
    <w:p w14:paraId="1230C81A">
      <w:pPr>
        <w:ind w:firstLine="480"/>
        <w:rPr>
          <w:rFonts w:hint="eastAsia"/>
          <w:color w:val="auto"/>
          <w:highlight w:val="none"/>
        </w:rPr>
      </w:pPr>
      <w:r>
        <w:rPr>
          <w:rFonts w:hint="eastAsia"/>
          <w:color w:val="auto"/>
          <w:highlight w:val="none"/>
        </w:rPr>
        <w:t>（5）《内蒙古自治区人民政府关于贯彻落实土壤污染防治行动计划的实施意见》，内政发[2016]127号；</w:t>
      </w:r>
    </w:p>
    <w:p w14:paraId="302447BC">
      <w:pPr>
        <w:ind w:firstLine="480"/>
        <w:rPr>
          <w:rFonts w:hint="eastAsia"/>
          <w:color w:val="auto"/>
          <w:highlight w:val="none"/>
        </w:rPr>
      </w:pPr>
      <w:r>
        <w:rPr>
          <w:rFonts w:hint="eastAsia"/>
          <w:color w:val="auto"/>
          <w:highlight w:val="none"/>
        </w:rPr>
        <w:t>（6）《内蒙古自治区人民政府关于水污染防治行动计划的实施意见》，内政发[2015]119号；</w:t>
      </w:r>
    </w:p>
    <w:p w14:paraId="53025B17">
      <w:pPr>
        <w:ind w:firstLine="480"/>
        <w:rPr>
          <w:rFonts w:hint="eastAsia"/>
          <w:color w:val="auto"/>
          <w:highlight w:val="none"/>
        </w:rPr>
      </w:pPr>
      <w:r>
        <w:rPr>
          <w:rFonts w:hint="eastAsia"/>
          <w:color w:val="auto"/>
          <w:highlight w:val="none"/>
        </w:rPr>
        <w:t>（7）《内蒙古自治区主体功能区规划的通知》，内政发[2012]85号；</w:t>
      </w:r>
    </w:p>
    <w:p w14:paraId="089AB6DD">
      <w:pPr>
        <w:ind w:firstLine="480"/>
        <w:rPr>
          <w:rFonts w:hint="eastAsia"/>
          <w:color w:val="auto"/>
          <w:highlight w:val="none"/>
          <w:lang w:val="en-US"/>
        </w:rPr>
      </w:pPr>
      <w:r>
        <w:rPr>
          <w:rFonts w:hint="eastAsia"/>
          <w:color w:val="auto"/>
          <w:highlight w:val="none"/>
          <w:lang w:val="en-US"/>
        </w:rPr>
        <w:t>（8）《内蒙古自治区水污染防治条例》，2020年1月1日起施行；</w:t>
      </w:r>
    </w:p>
    <w:p w14:paraId="397721F4">
      <w:pPr>
        <w:ind w:firstLine="480"/>
        <w:rPr>
          <w:rFonts w:hint="eastAsia"/>
          <w:color w:val="auto"/>
          <w:highlight w:val="none"/>
          <w:lang w:val="en-US"/>
        </w:rPr>
      </w:pPr>
      <w:r>
        <w:rPr>
          <w:rFonts w:hint="eastAsia"/>
          <w:color w:val="auto"/>
          <w:highlight w:val="none"/>
          <w:lang w:val="en-US"/>
        </w:rPr>
        <w:t>（9）《内蒙古自治区土壤污染防治条例》，2021年1月1日起施行；</w:t>
      </w:r>
    </w:p>
    <w:p w14:paraId="01752585">
      <w:pPr>
        <w:ind w:firstLine="480"/>
        <w:rPr>
          <w:rFonts w:hint="eastAsia"/>
          <w:color w:val="auto"/>
          <w:highlight w:val="none"/>
        </w:rPr>
      </w:pPr>
      <w:r>
        <w:rPr>
          <w:rFonts w:hint="eastAsia"/>
          <w:color w:val="auto"/>
          <w:highlight w:val="none"/>
        </w:rPr>
        <w:t>（10）《关于认真做好建设项目清理工作的通知》，内蒙古自治区环境保护局[2007]114号；</w:t>
      </w:r>
    </w:p>
    <w:p w14:paraId="0B36747C">
      <w:pPr>
        <w:ind w:firstLine="480"/>
        <w:rPr>
          <w:rFonts w:hint="eastAsia"/>
          <w:color w:val="auto"/>
          <w:highlight w:val="none"/>
        </w:rPr>
      </w:pPr>
      <w:r>
        <w:rPr>
          <w:rFonts w:hint="eastAsia"/>
          <w:color w:val="auto"/>
          <w:highlight w:val="none"/>
        </w:rPr>
        <w:t>（11）《内蒙古自治区党委自治区人民政府关于全面加强生态环境保护坚决打好污染防治攻坚战的实施意见》，2018年8月22日；</w:t>
      </w:r>
    </w:p>
    <w:p w14:paraId="46C7E7EB">
      <w:pPr>
        <w:ind w:firstLine="480"/>
        <w:rPr>
          <w:rFonts w:hint="eastAsia"/>
          <w:color w:val="auto"/>
          <w:highlight w:val="none"/>
        </w:rPr>
      </w:pPr>
      <w:r>
        <w:rPr>
          <w:rFonts w:hint="eastAsia"/>
          <w:color w:val="auto"/>
          <w:highlight w:val="none"/>
        </w:rPr>
        <w:t>（</w:t>
      </w:r>
      <w:r>
        <w:rPr>
          <w:rFonts w:hint="eastAsia"/>
          <w:color w:val="auto"/>
          <w:highlight w:val="none"/>
          <w:lang w:val="en-US" w:eastAsia="zh-CN"/>
        </w:rPr>
        <w:t>12</w:t>
      </w:r>
      <w:r>
        <w:rPr>
          <w:rFonts w:hint="eastAsia"/>
          <w:color w:val="auto"/>
          <w:highlight w:val="none"/>
        </w:rPr>
        <w:t>）《内蒙古自治区人民政府关于实施“三线一单”生态环境分区管控的意见》，内政发[2020]24号；</w:t>
      </w:r>
    </w:p>
    <w:p w14:paraId="01D9D86A">
      <w:pPr>
        <w:ind w:firstLine="480"/>
        <w:rPr>
          <w:rFonts w:hint="eastAsia"/>
          <w:color w:val="auto"/>
          <w:highlight w:val="none"/>
        </w:rPr>
      </w:pPr>
      <w:r>
        <w:rPr>
          <w:rFonts w:hint="eastAsia"/>
          <w:color w:val="auto"/>
          <w:highlight w:val="none"/>
        </w:rPr>
        <w:t>（1</w:t>
      </w:r>
      <w:r>
        <w:rPr>
          <w:rFonts w:hint="eastAsia"/>
          <w:color w:val="auto"/>
          <w:highlight w:val="none"/>
          <w:lang w:val="en-US" w:eastAsia="zh-CN"/>
        </w:rPr>
        <w:t>3</w:t>
      </w:r>
      <w:r>
        <w:rPr>
          <w:rFonts w:hint="eastAsia"/>
          <w:color w:val="auto"/>
          <w:highlight w:val="none"/>
        </w:rPr>
        <w:t>）《内蒙古自治区“十四五”生态环境保护规划》，2021年9月；</w:t>
      </w:r>
    </w:p>
    <w:p w14:paraId="5D3444AD">
      <w:pPr>
        <w:ind w:firstLine="480"/>
        <w:rPr>
          <w:rFonts w:hint="eastAsia"/>
          <w:color w:val="auto"/>
          <w:highlight w:val="none"/>
        </w:rPr>
      </w:pPr>
      <w:r>
        <w:rPr>
          <w:rFonts w:hint="eastAsia"/>
          <w:color w:val="auto"/>
          <w:highlight w:val="none"/>
        </w:rPr>
        <w:t>（1</w:t>
      </w:r>
      <w:r>
        <w:rPr>
          <w:rFonts w:hint="eastAsia"/>
          <w:color w:val="auto"/>
          <w:highlight w:val="none"/>
          <w:lang w:val="en-US" w:eastAsia="zh-CN"/>
        </w:rPr>
        <w:t>4</w:t>
      </w:r>
      <w:r>
        <w:rPr>
          <w:rFonts w:hint="eastAsia"/>
          <w:color w:val="auto"/>
          <w:highlight w:val="none"/>
        </w:rPr>
        <w:t>）《内蒙古自治区固体废物污染环境防治条例》，2022年9月28日；</w:t>
      </w:r>
    </w:p>
    <w:p w14:paraId="6F70FC97">
      <w:pPr>
        <w:ind w:firstLine="480"/>
        <w:rPr>
          <w:rFonts w:hint="eastAsia"/>
          <w:color w:val="auto"/>
          <w:highlight w:val="none"/>
        </w:rPr>
      </w:pPr>
      <w:r>
        <w:rPr>
          <w:rFonts w:hint="eastAsia"/>
          <w:color w:val="auto"/>
          <w:highlight w:val="none"/>
        </w:rPr>
        <w:t>（</w:t>
      </w:r>
      <w:r>
        <w:rPr>
          <w:rFonts w:hint="eastAsia"/>
          <w:color w:val="auto"/>
          <w:highlight w:val="none"/>
          <w:lang w:val="en-US" w:eastAsia="zh-CN"/>
        </w:rPr>
        <w:t>15</w:t>
      </w:r>
      <w:r>
        <w:rPr>
          <w:rFonts w:hint="eastAsia"/>
          <w:color w:val="auto"/>
          <w:highlight w:val="none"/>
        </w:rPr>
        <w:t>）《锡林郭勒盟“十四五”生态环境保护规划》，2021年7月；</w:t>
      </w:r>
    </w:p>
    <w:p w14:paraId="33B5542D">
      <w:pPr>
        <w:pStyle w:val="5"/>
        <w:rPr>
          <w:color w:val="auto"/>
          <w:highlight w:val="none"/>
        </w:rPr>
      </w:pPr>
      <w:bookmarkStart w:id="37" w:name="_Toc24447058"/>
      <w:r>
        <w:rPr>
          <w:rFonts w:hint="eastAsia"/>
          <w:color w:val="auto"/>
          <w:highlight w:val="none"/>
        </w:rPr>
        <w:t>编制技术依据</w:t>
      </w:r>
      <w:bookmarkEnd w:id="37"/>
    </w:p>
    <w:p w14:paraId="272E132C">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《建设项目环境影响评价技术导则 总纲》（HJ2.1-2016）；</w:t>
      </w:r>
    </w:p>
    <w:p w14:paraId="6E320166">
      <w:pPr>
        <w:ind w:firstLine="480"/>
        <w:rPr>
          <w:rFonts w:hint="eastAsia"/>
          <w:color w:val="auto"/>
          <w:highlight w:val="none"/>
        </w:rPr>
      </w:pPr>
      <w:r>
        <w:rPr>
          <w:rFonts w:hint="eastAsia"/>
          <w:color w:val="auto"/>
          <w:highlight w:val="none"/>
        </w:rPr>
        <w:t>（2）《环境影响评价技术导则</w:t>
      </w:r>
      <w:r>
        <w:rPr>
          <w:rFonts w:hint="eastAsia"/>
          <w:color w:val="auto"/>
          <w:highlight w:val="none"/>
          <w:lang w:val="en-US" w:eastAsia="zh-CN"/>
        </w:rPr>
        <w:t>-</w:t>
      </w:r>
      <w:r>
        <w:rPr>
          <w:rFonts w:hint="eastAsia"/>
          <w:color w:val="auto"/>
          <w:highlight w:val="none"/>
        </w:rPr>
        <w:t>大气环境》（HJ2.2-2018）；</w:t>
      </w:r>
    </w:p>
    <w:p w14:paraId="77DCA8A4">
      <w:pPr>
        <w:ind w:firstLine="480"/>
        <w:rPr>
          <w:rFonts w:hint="eastAsia"/>
          <w:color w:val="auto"/>
          <w:highlight w:val="none"/>
        </w:rPr>
      </w:pPr>
      <w:r>
        <w:rPr>
          <w:rFonts w:hint="eastAsia"/>
          <w:color w:val="auto"/>
          <w:highlight w:val="none"/>
        </w:rPr>
        <w:t>（3）《环境影响评价技术导则</w:t>
      </w:r>
      <w:r>
        <w:rPr>
          <w:rFonts w:hint="eastAsia"/>
          <w:color w:val="auto"/>
          <w:highlight w:val="none"/>
          <w:lang w:val="en-US" w:eastAsia="zh-CN"/>
        </w:rPr>
        <w:t>-</w:t>
      </w:r>
      <w:r>
        <w:rPr>
          <w:rFonts w:hint="eastAsia"/>
          <w:color w:val="auto"/>
          <w:highlight w:val="none"/>
        </w:rPr>
        <w:t>地</w:t>
      </w:r>
      <w:r>
        <w:rPr>
          <w:rFonts w:hint="eastAsia"/>
          <w:color w:val="auto"/>
          <w:highlight w:val="none"/>
          <w:lang w:val="en-US" w:eastAsia="zh-CN"/>
        </w:rPr>
        <w:t>表</w:t>
      </w:r>
      <w:r>
        <w:rPr>
          <w:rFonts w:hint="eastAsia"/>
          <w:color w:val="auto"/>
          <w:highlight w:val="none"/>
        </w:rPr>
        <w:t>水环境》（HJ/T2.3-2018）；</w:t>
      </w:r>
    </w:p>
    <w:p w14:paraId="6A70293E">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4 \* GB2 </w:instrText>
      </w:r>
      <w:r>
        <w:rPr>
          <w:rFonts w:hint="eastAsia"/>
          <w:color w:val="auto"/>
          <w:highlight w:val="none"/>
        </w:rPr>
        <w:fldChar w:fldCharType="separate"/>
      </w:r>
      <w:r>
        <w:rPr>
          <w:rFonts w:hint="eastAsia"/>
          <w:color w:val="auto"/>
          <w:highlight w:val="none"/>
        </w:rPr>
        <w:t>（4）</w:t>
      </w:r>
      <w:r>
        <w:rPr>
          <w:rFonts w:hint="eastAsia"/>
          <w:color w:val="auto"/>
          <w:highlight w:val="none"/>
        </w:rPr>
        <w:fldChar w:fldCharType="end"/>
      </w:r>
      <w:r>
        <w:rPr>
          <w:rFonts w:hint="eastAsia"/>
          <w:color w:val="auto"/>
          <w:highlight w:val="none"/>
        </w:rPr>
        <w:t>《环境影响评价技术导则</w:t>
      </w:r>
      <w:r>
        <w:rPr>
          <w:rFonts w:hint="eastAsia"/>
          <w:color w:val="auto"/>
          <w:highlight w:val="none"/>
          <w:lang w:val="en-US" w:eastAsia="zh-CN"/>
        </w:rPr>
        <w:t>-</w:t>
      </w:r>
      <w:r>
        <w:rPr>
          <w:rFonts w:hint="eastAsia"/>
          <w:color w:val="auto"/>
          <w:highlight w:val="none"/>
        </w:rPr>
        <w:t>声环境》（HJ2.4-20</w:t>
      </w:r>
      <w:r>
        <w:rPr>
          <w:rFonts w:hint="eastAsia"/>
          <w:color w:val="auto"/>
          <w:highlight w:val="none"/>
          <w:lang w:val="en-US" w:eastAsia="zh-CN"/>
        </w:rPr>
        <w:t>21</w:t>
      </w:r>
      <w:r>
        <w:rPr>
          <w:rFonts w:hint="eastAsia"/>
          <w:color w:val="auto"/>
          <w:highlight w:val="none"/>
        </w:rPr>
        <w:t>）；</w:t>
      </w:r>
    </w:p>
    <w:p w14:paraId="0DAFC55B">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5 \* GB2 </w:instrText>
      </w:r>
      <w:r>
        <w:rPr>
          <w:rFonts w:hint="eastAsia"/>
          <w:color w:val="auto"/>
          <w:highlight w:val="none"/>
        </w:rPr>
        <w:fldChar w:fldCharType="separate"/>
      </w:r>
      <w:r>
        <w:rPr>
          <w:rFonts w:hint="eastAsia"/>
          <w:color w:val="auto"/>
          <w:highlight w:val="none"/>
        </w:rPr>
        <w:t>（5）</w:t>
      </w:r>
      <w:r>
        <w:rPr>
          <w:rFonts w:hint="eastAsia"/>
          <w:color w:val="auto"/>
          <w:highlight w:val="none"/>
        </w:rPr>
        <w:fldChar w:fldCharType="end"/>
      </w:r>
      <w:r>
        <w:rPr>
          <w:rFonts w:hint="eastAsia"/>
          <w:color w:val="auto"/>
          <w:highlight w:val="none"/>
        </w:rPr>
        <w:t>《建设项目环境风险评价技术导则》（HJ 169-2018）；</w:t>
      </w:r>
    </w:p>
    <w:p w14:paraId="49D928DC">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6 \* GB2 </w:instrText>
      </w:r>
      <w:r>
        <w:rPr>
          <w:rFonts w:hint="eastAsia"/>
          <w:color w:val="auto"/>
          <w:highlight w:val="none"/>
        </w:rPr>
        <w:fldChar w:fldCharType="separate"/>
      </w:r>
      <w:r>
        <w:rPr>
          <w:rFonts w:hint="eastAsia"/>
          <w:color w:val="auto"/>
          <w:highlight w:val="none"/>
        </w:rPr>
        <w:t>（6）</w:t>
      </w:r>
      <w:r>
        <w:rPr>
          <w:rFonts w:hint="eastAsia"/>
          <w:color w:val="auto"/>
          <w:highlight w:val="none"/>
        </w:rPr>
        <w:fldChar w:fldCharType="end"/>
      </w:r>
      <w:r>
        <w:rPr>
          <w:rFonts w:hint="eastAsia"/>
          <w:color w:val="auto"/>
          <w:highlight w:val="none"/>
        </w:rPr>
        <w:t>《环境影响评价技术导则</w:t>
      </w:r>
      <w:r>
        <w:rPr>
          <w:rFonts w:hint="eastAsia"/>
          <w:color w:val="auto"/>
          <w:highlight w:val="none"/>
          <w:lang w:val="en-US" w:eastAsia="zh-CN"/>
        </w:rPr>
        <w:t>-</w:t>
      </w:r>
      <w:r>
        <w:rPr>
          <w:rFonts w:hint="eastAsia"/>
          <w:color w:val="auto"/>
          <w:highlight w:val="none"/>
        </w:rPr>
        <w:t>地下水环境》（HJ610-2016）；</w:t>
      </w:r>
    </w:p>
    <w:p w14:paraId="0760AF0F">
      <w:pPr>
        <w:ind w:firstLine="480"/>
        <w:rPr>
          <w:rFonts w:hint="eastAsia"/>
          <w:color w:val="auto"/>
          <w:highlight w:val="none"/>
        </w:rPr>
      </w:pPr>
      <w:r>
        <w:rPr>
          <w:rFonts w:hint="eastAsia"/>
          <w:color w:val="auto"/>
          <w:highlight w:val="none"/>
        </w:rPr>
        <w:t>（7）《环境影响评价技术导则</w:t>
      </w:r>
      <w:r>
        <w:rPr>
          <w:rFonts w:hint="eastAsia"/>
          <w:color w:val="auto"/>
          <w:highlight w:val="none"/>
          <w:lang w:val="en-US" w:eastAsia="zh-CN"/>
        </w:rPr>
        <w:t>-</w:t>
      </w:r>
      <w:r>
        <w:rPr>
          <w:rFonts w:hint="eastAsia"/>
          <w:color w:val="auto"/>
          <w:highlight w:val="none"/>
        </w:rPr>
        <w:t>生态影响》(HJ19-2022)；</w:t>
      </w:r>
    </w:p>
    <w:p w14:paraId="7FD7B224">
      <w:pPr>
        <w:ind w:firstLine="480"/>
        <w:rPr>
          <w:rFonts w:hint="eastAsia"/>
          <w:color w:val="auto"/>
          <w:highlight w:val="none"/>
        </w:rPr>
      </w:pPr>
      <w:r>
        <w:rPr>
          <w:rFonts w:hint="eastAsia"/>
          <w:color w:val="auto"/>
          <w:highlight w:val="none"/>
        </w:rPr>
        <w:t>（</w:t>
      </w:r>
      <w:r>
        <w:rPr>
          <w:rFonts w:hint="eastAsia"/>
          <w:color w:val="auto"/>
          <w:highlight w:val="none"/>
          <w:lang w:val="en-US" w:eastAsia="zh-CN"/>
        </w:rPr>
        <w:t>8</w:t>
      </w:r>
      <w:r>
        <w:rPr>
          <w:rFonts w:hint="eastAsia"/>
          <w:color w:val="auto"/>
          <w:highlight w:val="none"/>
        </w:rPr>
        <w:t>）《排污单位自行监测指南总则》(HJ819-2017)；</w:t>
      </w:r>
    </w:p>
    <w:p w14:paraId="3137446A">
      <w:pPr>
        <w:ind w:firstLine="480"/>
        <w:rPr>
          <w:rFonts w:hint="eastAsia"/>
          <w:color w:val="auto"/>
          <w:highlight w:val="none"/>
        </w:rPr>
      </w:pPr>
      <w:r>
        <w:rPr>
          <w:rFonts w:hint="eastAsia"/>
          <w:color w:val="auto"/>
          <w:highlight w:val="none"/>
        </w:rPr>
        <w:t>（</w:t>
      </w:r>
      <w:r>
        <w:rPr>
          <w:rFonts w:hint="eastAsia"/>
          <w:color w:val="auto"/>
          <w:highlight w:val="none"/>
          <w:lang w:val="en-US" w:eastAsia="zh-CN"/>
        </w:rPr>
        <w:t>9</w:t>
      </w:r>
      <w:r>
        <w:rPr>
          <w:rFonts w:hint="eastAsia"/>
          <w:color w:val="auto"/>
          <w:highlight w:val="none"/>
        </w:rPr>
        <w:t>）《排污许可证申请与核发技术规范</w:t>
      </w:r>
      <w:r>
        <w:rPr>
          <w:rFonts w:hint="eastAsia"/>
          <w:color w:val="auto"/>
          <w:highlight w:val="none"/>
          <w:lang w:val="en-US" w:eastAsia="zh-CN"/>
        </w:rPr>
        <w:t>-</w:t>
      </w:r>
      <w:r>
        <w:rPr>
          <w:rFonts w:hint="eastAsia"/>
          <w:color w:val="auto"/>
          <w:highlight w:val="none"/>
        </w:rPr>
        <w:t>总则》(HJ942-2018)；</w:t>
      </w:r>
    </w:p>
    <w:p w14:paraId="7F967719">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7 \* GB2 </w:instrText>
      </w:r>
      <w:r>
        <w:rPr>
          <w:rFonts w:hint="eastAsia"/>
          <w:color w:val="auto"/>
          <w:highlight w:val="none"/>
        </w:rPr>
        <w:fldChar w:fldCharType="separate"/>
      </w:r>
      <w:r>
        <w:rPr>
          <w:rFonts w:hint="eastAsia"/>
          <w:color w:val="auto"/>
          <w:highlight w:val="none"/>
        </w:rPr>
        <w:t>（</w:t>
      </w:r>
      <w:r>
        <w:rPr>
          <w:rFonts w:hint="eastAsia"/>
          <w:color w:val="auto"/>
          <w:highlight w:val="none"/>
          <w:lang w:val="en-US" w:eastAsia="zh-CN"/>
        </w:rPr>
        <w:t>10</w:t>
      </w:r>
      <w:r>
        <w:rPr>
          <w:rFonts w:hint="eastAsia"/>
          <w:color w:val="auto"/>
          <w:highlight w:val="none"/>
        </w:rPr>
        <w:t>）</w:t>
      </w:r>
      <w:r>
        <w:rPr>
          <w:rFonts w:hint="eastAsia"/>
          <w:color w:val="auto"/>
          <w:highlight w:val="none"/>
        </w:rPr>
        <w:fldChar w:fldCharType="end"/>
      </w:r>
      <w:r>
        <w:rPr>
          <w:rFonts w:hint="eastAsia"/>
          <w:color w:val="auto"/>
          <w:highlight w:val="none"/>
        </w:rPr>
        <w:t>《国家危险废物名录》（202</w:t>
      </w:r>
      <w:r>
        <w:rPr>
          <w:rFonts w:hint="eastAsia"/>
          <w:color w:val="auto"/>
          <w:highlight w:val="none"/>
          <w:lang w:val="en-US" w:eastAsia="zh-CN"/>
        </w:rPr>
        <w:t>5</w:t>
      </w:r>
      <w:r>
        <w:rPr>
          <w:rFonts w:hint="eastAsia"/>
          <w:color w:val="auto"/>
          <w:highlight w:val="none"/>
        </w:rPr>
        <w:t>年版）；</w:t>
      </w:r>
    </w:p>
    <w:p w14:paraId="59F04C31">
      <w:pPr>
        <w:pStyle w:val="5"/>
        <w:rPr>
          <w:color w:val="auto"/>
          <w:highlight w:val="none"/>
        </w:rPr>
      </w:pPr>
      <w:r>
        <w:rPr>
          <w:rFonts w:hint="eastAsia"/>
          <w:color w:val="auto"/>
          <w:highlight w:val="none"/>
        </w:rPr>
        <w:t>项目文件及技术资料</w:t>
      </w:r>
    </w:p>
    <w:p w14:paraId="0511BCC1">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）项目环境影响评价委托书，见附件1；</w:t>
      </w:r>
    </w:p>
    <w:p w14:paraId="43377A44">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）项目备案告知书，见附件2；</w:t>
      </w:r>
    </w:p>
    <w:p w14:paraId="0D3B2FDA">
      <w:pP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w:t>
      </w:r>
      <w:r>
        <w:rPr>
          <w:rFonts w:hint="eastAsia"/>
          <w:color w:val="auto"/>
          <w:highlight w:val="none"/>
          <w:lang w:val="en-US" w:eastAsia="zh-CN"/>
        </w:rPr>
        <w:t>多伦县捷百顺新材料有限责任公司年处理30万吨萤石选矿项目</w:t>
      </w:r>
      <w:r>
        <w:rPr>
          <w:rFonts w:hint="eastAsia"/>
          <w:color w:val="auto"/>
          <w:highlight w:val="none"/>
        </w:rPr>
        <w:t>可行性研究报告》。</w:t>
      </w:r>
    </w:p>
    <w:p w14:paraId="08FC336B">
      <w:pPr>
        <w:ind w:firstLine="48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）建设单位提供的其他工程技术资料。</w:t>
      </w:r>
    </w:p>
    <w:p w14:paraId="11584496">
      <w:pPr>
        <w:pStyle w:val="4"/>
        <w:spacing w:before="120" w:after="120"/>
        <w:rPr>
          <w:color w:val="auto"/>
          <w:highlight w:val="none"/>
        </w:rPr>
      </w:pPr>
      <w:bookmarkStart w:id="38" w:name="_Toc23894"/>
      <w:bookmarkStart w:id="39" w:name="_Toc24447602"/>
      <w:bookmarkStart w:id="40" w:name="_Toc24447059"/>
      <w:bookmarkStart w:id="41" w:name="_Toc24340207"/>
      <w:r>
        <w:rPr>
          <w:rFonts w:hint="eastAsia"/>
          <w:color w:val="auto"/>
          <w:highlight w:val="none"/>
        </w:rPr>
        <w:t>评价目的及指导思想</w:t>
      </w:r>
      <w:bookmarkEnd w:id="38"/>
      <w:bookmarkEnd w:id="39"/>
      <w:bookmarkEnd w:id="40"/>
      <w:bookmarkEnd w:id="41"/>
    </w:p>
    <w:p w14:paraId="041C1CE7">
      <w:pPr>
        <w:pStyle w:val="5"/>
        <w:rPr>
          <w:color w:val="auto"/>
          <w:highlight w:val="none"/>
        </w:rPr>
      </w:pPr>
      <w:bookmarkStart w:id="42" w:name="_Toc24447060"/>
      <w:r>
        <w:rPr>
          <w:rFonts w:hint="eastAsia"/>
          <w:color w:val="auto"/>
          <w:highlight w:val="none"/>
        </w:rPr>
        <w:t>评价目的</w:t>
      </w:r>
      <w:bookmarkEnd w:id="42"/>
    </w:p>
    <w:p w14:paraId="2179F758">
      <w:pPr>
        <w:ind w:firstLine="480"/>
        <w:rPr>
          <w:color w:val="auto"/>
          <w:highlight w:val="none"/>
        </w:rPr>
      </w:pPr>
      <w:r>
        <w:rPr>
          <w:rFonts w:hint="eastAsia"/>
          <w:color w:val="auto"/>
          <w:highlight w:val="none"/>
        </w:rPr>
        <w:t>按照国家环境影响评价工作程序的要求，针对本工程排污的特点，在充分了解工程建设基本情况及所在区域环境功能要求和环境质量现状的基础上，通过对工程建设可能引起的环境问题进行分析，识别出本工程建设各阶段的环境影响因子，按照“达标排放”、“总量控制”的指导思想，依据国家和地方的有关法律、法规、标准的要求，提出技术可行、经济合理的污染防治措施及生态保护措施，预测本工程投产后所排污染物对周围环境产生影响的范围和程度，结合环境影响评价结果，从环境角度论证该工程在拟建厂址建设的可行性，为项目环境管理和决策提供科学依据。</w:t>
      </w:r>
    </w:p>
    <w:p w14:paraId="052B67C4">
      <w:pPr>
        <w:pStyle w:val="5"/>
        <w:rPr>
          <w:color w:val="auto"/>
          <w:highlight w:val="none"/>
        </w:rPr>
      </w:pPr>
      <w:bookmarkStart w:id="43" w:name="_Toc24447061"/>
      <w:r>
        <w:rPr>
          <w:rFonts w:hint="eastAsia"/>
          <w:color w:val="auto"/>
          <w:highlight w:val="none"/>
        </w:rPr>
        <w:t>评价原则及指导思想</w:t>
      </w:r>
      <w:bookmarkEnd w:id="43"/>
    </w:p>
    <w:p w14:paraId="72E6AFFB">
      <w:pPr>
        <w:ind w:firstLine="480"/>
        <w:rPr>
          <w:color w:val="auto"/>
          <w:highlight w:val="none"/>
        </w:rPr>
      </w:pPr>
      <w:r>
        <w:rPr>
          <w:rFonts w:hint="eastAsia"/>
          <w:color w:val="auto"/>
          <w:highlight w:val="none"/>
        </w:rPr>
        <w:t>突出环境影响评价的源头预防作用，坚持保护和改善环境质量。</w:t>
      </w:r>
    </w:p>
    <w:p w14:paraId="49C9E094">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）依法评价</w:t>
      </w:r>
    </w:p>
    <w:p w14:paraId="1B88DDF4">
      <w:pPr>
        <w:ind w:firstLine="480"/>
        <w:rPr>
          <w:color w:val="auto"/>
          <w:highlight w:val="none"/>
        </w:rPr>
      </w:pPr>
      <w:r>
        <w:rPr>
          <w:rFonts w:hint="eastAsia"/>
          <w:color w:val="auto"/>
          <w:highlight w:val="none"/>
        </w:rPr>
        <w:t>贯彻执行我国环境保护相关法律法规、标准、政策和规划等，优化项目建设，服务环境管理。</w:t>
      </w:r>
    </w:p>
    <w:p w14:paraId="3D420FAA">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）科学评价</w:t>
      </w:r>
    </w:p>
    <w:p w14:paraId="3014BD7A">
      <w:pPr>
        <w:ind w:firstLine="480"/>
        <w:rPr>
          <w:color w:val="auto"/>
          <w:highlight w:val="none"/>
        </w:rPr>
      </w:pPr>
      <w:r>
        <w:rPr>
          <w:rFonts w:hint="eastAsia"/>
          <w:color w:val="auto"/>
          <w:highlight w:val="none"/>
        </w:rPr>
        <w:t>规范环境影响评价方法，科学分析项目建设对环境质量的影响。</w:t>
      </w:r>
    </w:p>
    <w:p w14:paraId="235BF81F">
      <w:pP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）突出重点</w:t>
      </w:r>
    </w:p>
    <w:p w14:paraId="344FE927">
      <w:pPr>
        <w:ind w:firstLine="480"/>
        <w:rPr>
          <w:color w:val="auto"/>
          <w:highlight w:val="none"/>
        </w:rPr>
      </w:pPr>
      <w:r>
        <w:rPr>
          <w:rFonts w:hint="eastAsia"/>
          <w:color w:val="auto"/>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14:paraId="3C459DF9">
      <w:pPr>
        <w:pStyle w:val="5"/>
        <w:rPr>
          <w:color w:val="auto"/>
          <w:highlight w:val="none"/>
        </w:rPr>
      </w:pPr>
      <w:bookmarkStart w:id="44" w:name="_Toc24447062"/>
      <w:r>
        <w:rPr>
          <w:rFonts w:hint="eastAsia"/>
          <w:color w:val="auto"/>
          <w:highlight w:val="none"/>
        </w:rPr>
        <w:t>评价内容与重点</w:t>
      </w:r>
      <w:bookmarkEnd w:id="44"/>
    </w:p>
    <w:p w14:paraId="14641974">
      <w:pPr>
        <w:ind w:firstLine="480"/>
        <w:rPr>
          <w:color w:val="auto"/>
          <w:highlight w:val="none"/>
        </w:rPr>
      </w:pPr>
      <w:r>
        <w:rPr>
          <w:rFonts w:hint="eastAsia"/>
          <w:color w:val="auto"/>
          <w:highlight w:val="none"/>
        </w:rPr>
        <w:t>本次评价的内容主要有：项目概况、工程分析、环境现状调查与评价、环境影响预测与评价、环境保护措施极其可行性论证、环境影响经济损益分析、环境管理与环境监测计划、项目相关可行性分析等。</w:t>
      </w:r>
    </w:p>
    <w:p w14:paraId="2EC7D4FC">
      <w:pPr>
        <w:ind w:firstLine="480"/>
        <w:rPr>
          <w:color w:val="auto"/>
          <w:highlight w:val="none"/>
        </w:rPr>
      </w:pPr>
      <w:r>
        <w:rPr>
          <w:rFonts w:hint="eastAsia"/>
          <w:color w:val="auto"/>
          <w:highlight w:val="none"/>
        </w:rPr>
        <w:t>确定本评价的工作重点是以项目的工程分析、污染防治措施为基础，以环境空气影响评价、地下水环境影响评价为评价重点，对环境风险、固体废物、声环境影响评价做次要点进行分析评价。</w:t>
      </w:r>
    </w:p>
    <w:p w14:paraId="44BA532B">
      <w:pPr>
        <w:pStyle w:val="4"/>
        <w:spacing w:before="120" w:after="120"/>
        <w:rPr>
          <w:color w:val="auto"/>
          <w:highlight w:val="none"/>
        </w:rPr>
      </w:pPr>
      <w:bookmarkStart w:id="45" w:name="_Toc24447063"/>
      <w:bookmarkStart w:id="46" w:name="_Toc7707"/>
      <w:bookmarkStart w:id="47" w:name="_Toc24340208"/>
      <w:bookmarkStart w:id="48" w:name="_Toc24447603"/>
      <w:r>
        <w:rPr>
          <w:rFonts w:hint="eastAsia"/>
          <w:color w:val="auto"/>
          <w:highlight w:val="none"/>
        </w:rPr>
        <w:t>评价因子与评价标准</w:t>
      </w:r>
      <w:bookmarkEnd w:id="45"/>
      <w:bookmarkEnd w:id="46"/>
      <w:bookmarkEnd w:id="47"/>
      <w:bookmarkEnd w:id="48"/>
    </w:p>
    <w:p w14:paraId="37FF5FF5">
      <w:pPr>
        <w:pStyle w:val="5"/>
        <w:rPr>
          <w:color w:val="auto"/>
          <w:highlight w:val="none"/>
        </w:rPr>
      </w:pPr>
      <w:bookmarkStart w:id="49" w:name="_Toc24447064"/>
      <w:r>
        <w:rPr>
          <w:rFonts w:hint="eastAsia"/>
          <w:color w:val="auto"/>
          <w:highlight w:val="none"/>
        </w:rPr>
        <w:t>评价因子</w:t>
      </w:r>
      <w:bookmarkEnd w:id="49"/>
    </w:p>
    <w:p w14:paraId="7EB882EA">
      <w:pPr>
        <w:ind w:firstLine="480"/>
        <w:rPr>
          <w:color w:val="auto"/>
          <w:highlight w:val="none"/>
        </w:rPr>
      </w:pPr>
      <w:r>
        <w:rPr>
          <w:rFonts w:hint="eastAsia"/>
          <w:color w:val="auto"/>
          <w:highlight w:val="none"/>
        </w:rPr>
        <w:t>根据项目的性质，判别项目在不同阶段对环境产生影响的因素和程度，确定项目施工期和运行期可能产生的主要环境问题，并筛选出主要评价因子，为预测评价提供依据。</w:t>
      </w:r>
    </w:p>
    <w:p w14:paraId="212F9351">
      <w:pPr>
        <w:pStyle w:val="6"/>
        <w:rPr>
          <w:color w:val="auto"/>
          <w:highlight w:val="none"/>
        </w:rPr>
      </w:pPr>
      <w:r>
        <w:rPr>
          <w:rFonts w:hint="eastAsia"/>
          <w:color w:val="auto"/>
          <w:highlight w:val="none"/>
          <w:lang w:val="en-US" w:eastAsia="zh-CN"/>
        </w:rPr>
        <w:t xml:space="preserve"> </w:t>
      </w:r>
      <w:r>
        <w:rPr>
          <w:rFonts w:hint="eastAsia"/>
          <w:color w:val="auto"/>
          <w:highlight w:val="none"/>
        </w:rPr>
        <w:t>环境影响因素识别</w:t>
      </w:r>
    </w:p>
    <w:p w14:paraId="70B5C59D">
      <w:pPr>
        <w:ind w:firstLine="480"/>
        <w:rPr>
          <w:rFonts w:hint="eastAsia"/>
          <w:color w:val="auto"/>
          <w:highlight w:val="none"/>
        </w:rPr>
      </w:pPr>
      <w:r>
        <w:rPr>
          <w:rFonts w:hint="eastAsia"/>
          <w:color w:val="auto"/>
          <w:highlight w:val="none"/>
        </w:rPr>
        <w:t>评价根据该工程建设特征、项目区域环境现状，识别本工程项目建设的环境影响因素及环境影响效果见表</w:t>
      </w:r>
      <w:r>
        <w:rPr>
          <w:color w:val="auto"/>
          <w:highlight w:val="none"/>
        </w:rPr>
        <w:t>2.3-1</w:t>
      </w:r>
      <w:r>
        <w:rPr>
          <w:rFonts w:hint="eastAsia"/>
          <w:color w:val="auto"/>
          <w:highlight w:val="none"/>
        </w:rPr>
        <w:t>、</w:t>
      </w:r>
      <w:r>
        <w:rPr>
          <w:color w:val="auto"/>
          <w:highlight w:val="none"/>
        </w:rPr>
        <w:t>2.3-2</w:t>
      </w:r>
      <w:r>
        <w:rPr>
          <w:rFonts w:hint="eastAsia"/>
          <w:color w:val="auto"/>
          <w:highlight w:val="none"/>
        </w:rPr>
        <w:t>。</w:t>
      </w:r>
    </w:p>
    <w:p w14:paraId="1EA4F67C">
      <w:pPr>
        <w:pStyle w:val="40"/>
        <w:rPr>
          <w:rFonts w:hint="eastAsia"/>
          <w:color w:val="auto"/>
          <w:highlight w:val="none"/>
        </w:rPr>
      </w:pPr>
    </w:p>
    <w:p w14:paraId="0DD7B4E7">
      <w:pPr>
        <w:pStyle w:val="17"/>
        <w:rPr>
          <w:rFonts w:hint="eastAsia"/>
          <w:color w:val="auto"/>
          <w:highlight w:val="none"/>
        </w:rPr>
      </w:pPr>
    </w:p>
    <w:p w14:paraId="57A7B629">
      <w:pPr>
        <w:rPr>
          <w:rFonts w:hint="eastAsia"/>
          <w:color w:val="auto"/>
          <w:highlight w:val="none"/>
        </w:rPr>
      </w:pPr>
    </w:p>
    <w:p w14:paraId="5ED07D62">
      <w:pPr>
        <w:pStyle w:val="40"/>
        <w:rPr>
          <w:rFonts w:hint="eastAsia"/>
          <w:color w:val="auto"/>
          <w:highlight w:val="none"/>
        </w:rPr>
      </w:pPr>
    </w:p>
    <w:p w14:paraId="10AB2985">
      <w:pPr>
        <w:pStyle w:val="17"/>
        <w:rPr>
          <w:rFonts w:hint="eastAsia"/>
          <w:color w:val="auto"/>
          <w:highlight w:val="none"/>
        </w:rPr>
      </w:pPr>
    </w:p>
    <w:p w14:paraId="7878A0ED">
      <w:pPr>
        <w:rPr>
          <w:color w:val="auto"/>
          <w:highlight w:val="none"/>
        </w:rPr>
      </w:pPr>
    </w:p>
    <w:p w14:paraId="53397E73">
      <w:pPr>
        <w:pStyle w:val="199"/>
        <w:spacing w:before="120"/>
        <w:rPr>
          <w:color w:val="auto"/>
          <w:sz w:val="24"/>
          <w:highlight w:val="none"/>
        </w:rPr>
      </w:pPr>
      <w:r>
        <w:rPr>
          <w:color w:val="auto"/>
          <w:sz w:val="24"/>
          <w:highlight w:val="none"/>
        </w:rPr>
        <w:t>表2.3-1    工程建设的环境影响要素分析</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41"/>
        <w:gridCol w:w="2691"/>
        <w:gridCol w:w="1792"/>
        <w:gridCol w:w="1792"/>
      </w:tblGrid>
      <w:tr w14:paraId="6A15F7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96" w:type="pct"/>
            <w:gridSpan w:val="2"/>
            <w:noWrap w:val="0"/>
            <w:vAlign w:val="center"/>
          </w:tcPr>
          <w:p w14:paraId="2D1503B0">
            <w:pPr>
              <w:pStyle w:val="245"/>
              <w:spacing w:line="240" w:lineRule="auto"/>
              <w:rPr>
                <w:color w:val="auto"/>
                <w:szCs w:val="21"/>
                <w:highlight w:val="none"/>
              </w:rPr>
            </w:pPr>
            <w:r>
              <w:rPr>
                <w:color w:val="auto"/>
                <w:szCs w:val="21"/>
                <w:highlight w:val="none"/>
              </w:rPr>
              <w:t>环境影响要素</w:t>
            </w:r>
          </w:p>
        </w:tc>
        <w:tc>
          <w:tcPr>
            <w:tcW w:w="1052" w:type="pct"/>
            <w:noWrap w:val="0"/>
            <w:vAlign w:val="center"/>
          </w:tcPr>
          <w:p w14:paraId="1004676F">
            <w:pPr>
              <w:pStyle w:val="245"/>
              <w:spacing w:line="240" w:lineRule="auto"/>
              <w:rPr>
                <w:color w:val="auto"/>
                <w:szCs w:val="21"/>
                <w:highlight w:val="none"/>
              </w:rPr>
            </w:pPr>
            <w:r>
              <w:rPr>
                <w:color w:val="auto"/>
                <w:szCs w:val="21"/>
                <w:highlight w:val="none"/>
              </w:rPr>
              <w:t>施工期</w:t>
            </w:r>
          </w:p>
        </w:tc>
        <w:tc>
          <w:tcPr>
            <w:tcW w:w="1052" w:type="pct"/>
            <w:noWrap w:val="0"/>
            <w:vAlign w:val="center"/>
          </w:tcPr>
          <w:p w14:paraId="5D67A12E">
            <w:pPr>
              <w:pStyle w:val="245"/>
              <w:spacing w:line="240" w:lineRule="auto"/>
              <w:rPr>
                <w:rFonts w:eastAsia="Times New Roman"/>
                <w:color w:val="auto"/>
                <w:szCs w:val="21"/>
                <w:highlight w:val="none"/>
              </w:rPr>
            </w:pPr>
            <w:r>
              <w:rPr>
                <w:color w:val="auto"/>
                <w:szCs w:val="21"/>
                <w:highlight w:val="none"/>
              </w:rPr>
              <w:t>营运期</w:t>
            </w:r>
          </w:p>
        </w:tc>
      </w:tr>
      <w:tr w14:paraId="0736B2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restart"/>
            <w:noWrap w:val="0"/>
            <w:vAlign w:val="center"/>
          </w:tcPr>
          <w:p w14:paraId="62350706">
            <w:pPr>
              <w:pStyle w:val="245"/>
              <w:spacing w:line="240" w:lineRule="auto"/>
              <w:rPr>
                <w:color w:val="auto"/>
                <w:szCs w:val="21"/>
                <w:highlight w:val="none"/>
              </w:rPr>
            </w:pPr>
            <w:r>
              <w:rPr>
                <w:color w:val="auto"/>
                <w:szCs w:val="21"/>
                <w:highlight w:val="none"/>
              </w:rPr>
              <w:t>自然环境</w:t>
            </w:r>
          </w:p>
        </w:tc>
        <w:tc>
          <w:tcPr>
            <w:tcW w:w="1580" w:type="pct"/>
            <w:noWrap w:val="0"/>
            <w:vAlign w:val="center"/>
          </w:tcPr>
          <w:p w14:paraId="743CDFBB">
            <w:pPr>
              <w:pStyle w:val="245"/>
              <w:spacing w:line="240" w:lineRule="auto"/>
              <w:rPr>
                <w:color w:val="auto"/>
                <w:szCs w:val="21"/>
                <w:highlight w:val="none"/>
              </w:rPr>
            </w:pPr>
            <w:r>
              <w:rPr>
                <w:color w:val="auto"/>
                <w:szCs w:val="21"/>
                <w:highlight w:val="none"/>
              </w:rPr>
              <w:t>环境空气</w:t>
            </w:r>
          </w:p>
        </w:tc>
        <w:tc>
          <w:tcPr>
            <w:tcW w:w="1052" w:type="pct"/>
            <w:noWrap w:val="0"/>
            <w:vAlign w:val="center"/>
          </w:tcPr>
          <w:p w14:paraId="0F7C82F7">
            <w:pPr>
              <w:pStyle w:val="245"/>
              <w:spacing w:line="240" w:lineRule="auto"/>
              <w:rPr>
                <w:color w:val="auto"/>
                <w:szCs w:val="21"/>
                <w:highlight w:val="none"/>
              </w:rPr>
            </w:pPr>
            <w:r>
              <w:rPr>
                <w:color w:val="auto"/>
                <w:szCs w:val="21"/>
                <w:highlight w:val="none"/>
              </w:rPr>
              <w:t>-1</w:t>
            </w:r>
          </w:p>
        </w:tc>
        <w:tc>
          <w:tcPr>
            <w:tcW w:w="1052" w:type="pct"/>
            <w:noWrap w:val="0"/>
            <w:vAlign w:val="center"/>
          </w:tcPr>
          <w:p w14:paraId="2BC2008A">
            <w:pPr>
              <w:pStyle w:val="245"/>
              <w:spacing w:line="240" w:lineRule="auto"/>
              <w:rPr>
                <w:color w:val="auto"/>
                <w:szCs w:val="21"/>
                <w:highlight w:val="none"/>
              </w:rPr>
            </w:pPr>
            <w:r>
              <w:rPr>
                <w:color w:val="auto"/>
                <w:szCs w:val="21"/>
                <w:highlight w:val="none"/>
              </w:rPr>
              <w:t>-2</w:t>
            </w:r>
          </w:p>
        </w:tc>
      </w:tr>
      <w:tr w14:paraId="3143AE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continue"/>
            <w:noWrap w:val="0"/>
            <w:vAlign w:val="center"/>
          </w:tcPr>
          <w:p w14:paraId="008E2E20">
            <w:pPr>
              <w:pStyle w:val="245"/>
              <w:spacing w:line="240" w:lineRule="auto"/>
              <w:rPr>
                <w:color w:val="auto"/>
                <w:szCs w:val="21"/>
                <w:highlight w:val="none"/>
              </w:rPr>
            </w:pPr>
          </w:p>
        </w:tc>
        <w:tc>
          <w:tcPr>
            <w:tcW w:w="1580" w:type="pct"/>
            <w:noWrap w:val="0"/>
            <w:vAlign w:val="center"/>
          </w:tcPr>
          <w:p w14:paraId="6D589AE7">
            <w:pPr>
              <w:pStyle w:val="245"/>
              <w:spacing w:line="240" w:lineRule="auto"/>
              <w:rPr>
                <w:rFonts w:hint="eastAsia" w:eastAsia="宋体"/>
                <w:color w:val="auto"/>
                <w:szCs w:val="21"/>
                <w:highlight w:val="none"/>
                <w:lang w:eastAsia="zh-CN"/>
              </w:rPr>
            </w:pPr>
            <w:r>
              <w:rPr>
                <w:color w:val="auto"/>
                <w:szCs w:val="21"/>
                <w:highlight w:val="none"/>
              </w:rPr>
              <w:t>地表水</w:t>
            </w:r>
            <w:r>
              <w:rPr>
                <w:rFonts w:hint="eastAsia"/>
                <w:color w:val="auto"/>
                <w:szCs w:val="21"/>
                <w:highlight w:val="none"/>
                <w:lang w:val="en-US" w:eastAsia="zh-CN"/>
              </w:rPr>
              <w:t>环境</w:t>
            </w:r>
          </w:p>
        </w:tc>
        <w:tc>
          <w:tcPr>
            <w:tcW w:w="1052" w:type="pct"/>
            <w:noWrap w:val="0"/>
            <w:vAlign w:val="center"/>
          </w:tcPr>
          <w:p w14:paraId="1B954F43">
            <w:pPr>
              <w:pStyle w:val="245"/>
              <w:spacing w:line="240" w:lineRule="auto"/>
              <w:rPr>
                <w:color w:val="auto"/>
                <w:szCs w:val="21"/>
                <w:highlight w:val="none"/>
              </w:rPr>
            </w:pPr>
            <w:r>
              <w:rPr>
                <w:color w:val="auto"/>
                <w:szCs w:val="21"/>
                <w:highlight w:val="none"/>
              </w:rPr>
              <w:t>0</w:t>
            </w:r>
          </w:p>
        </w:tc>
        <w:tc>
          <w:tcPr>
            <w:tcW w:w="1052" w:type="pct"/>
            <w:noWrap w:val="0"/>
            <w:vAlign w:val="center"/>
          </w:tcPr>
          <w:p w14:paraId="0CF3D833">
            <w:pPr>
              <w:pStyle w:val="245"/>
              <w:spacing w:line="240" w:lineRule="auto"/>
              <w:rPr>
                <w:color w:val="auto"/>
                <w:szCs w:val="21"/>
                <w:highlight w:val="none"/>
              </w:rPr>
            </w:pPr>
            <w:r>
              <w:rPr>
                <w:color w:val="auto"/>
                <w:szCs w:val="21"/>
                <w:highlight w:val="none"/>
              </w:rPr>
              <w:t>0</w:t>
            </w:r>
          </w:p>
        </w:tc>
      </w:tr>
      <w:tr w14:paraId="659530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continue"/>
            <w:noWrap w:val="0"/>
            <w:vAlign w:val="center"/>
          </w:tcPr>
          <w:p w14:paraId="6D36F743">
            <w:pPr>
              <w:pStyle w:val="245"/>
              <w:spacing w:line="240" w:lineRule="auto"/>
              <w:rPr>
                <w:color w:val="auto"/>
                <w:szCs w:val="21"/>
                <w:highlight w:val="none"/>
              </w:rPr>
            </w:pPr>
          </w:p>
        </w:tc>
        <w:tc>
          <w:tcPr>
            <w:tcW w:w="1580" w:type="pct"/>
            <w:noWrap w:val="0"/>
            <w:vAlign w:val="center"/>
          </w:tcPr>
          <w:p w14:paraId="63A14886">
            <w:pPr>
              <w:pStyle w:val="245"/>
              <w:spacing w:line="240" w:lineRule="auto"/>
              <w:rPr>
                <w:rFonts w:hint="default" w:eastAsia="宋体"/>
                <w:color w:val="auto"/>
                <w:szCs w:val="21"/>
                <w:highlight w:val="none"/>
                <w:lang w:val="en-US" w:eastAsia="zh-CN"/>
              </w:rPr>
            </w:pPr>
            <w:r>
              <w:rPr>
                <w:rFonts w:hint="eastAsia"/>
                <w:color w:val="auto"/>
                <w:szCs w:val="21"/>
                <w:highlight w:val="none"/>
                <w:lang w:val="en-US" w:eastAsia="zh-CN"/>
              </w:rPr>
              <w:t>地下水环境</w:t>
            </w:r>
          </w:p>
        </w:tc>
        <w:tc>
          <w:tcPr>
            <w:tcW w:w="1052" w:type="pct"/>
            <w:noWrap w:val="0"/>
            <w:vAlign w:val="center"/>
          </w:tcPr>
          <w:p w14:paraId="6AA62724">
            <w:pPr>
              <w:pStyle w:val="245"/>
              <w:spacing w:line="240" w:lineRule="auto"/>
              <w:rPr>
                <w:rFonts w:hint="eastAsia" w:eastAsia="宋体"/>
                <w:color w:val="auto"/>
                <w:szCs w:val="21"/>
                <w:highlight w:val="none"/>
                <w:lang w:val="en-US" w:eastAsia="zh-CN"/>
              </w:rPr>
            </w:pPr>
            <w:r>
              <w:rPr>
                <w:rFonts w:hint="eastAsia"/>
                <w:color w:val="auto"/>
                <w:szCs w:val="21"/>
                <w:highlight w:val="none"/>
                <w:lang w:val="en-US" w:eastAsia="zh-CN"/>
              </w:rPr>
              <w:t>0</w:t>
            </w:r>
          </w:p>
        </w:tc>
        <w:tc>
          <w:tcPr>
            <w:tcW w:w="1052" w:type="pct"/>
            <w:noWrap w:val="0"/>
            <w:vAlign w:val="center"/>
          </w:tcPr>
          <w:p w14:paraId="37E12018">
            <w:pPr>
              <w:pStyle w:val="245"/>
              <w:spacing w:line="240" w:lineRule="auto"/>
              <w:rPr>
                <w:rFonts w:hint="default" w:eastAsia="宋体"/>
                <w:color w:val="auto"/>
                <w:szCs w:val="21"/>
                <w:highlight w:val="none"/>
                <w:lang w:val="en-US" w:eastAsia="zh-CN"/>
              </w:rPr>
            </w:pPr>
            <w:r>
              <w:rPr>
                <w:rFonts w:hint="eastAsia"/>
                <w:color w:val="auto"/>
                <w:szCs w:val="21"/>
                <w:highlight w:val="none"/>
                <w:lang w:val="en-US" w:eastAsia="zh-CN"/>
              </w:rPr>
              <w:t>-1</w:t>
            </w:r>
          </w:p>
        </w:tc>
      </w:tr>
      <w:tr w14:paraId="2B5E10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continue"/>
            <w:noWrap w:val="0"/>
            <w:vAlign w:val="center"/>
          </w:tcPr>
          <w:p w14:paraId="6DB69D03">
            <w:pPr>
              <w:pStyle w:val="245"/>
              <w:spacing w:line="240" w:lineRule="auto"/>
              <w:rPr>
                <w:color w:val="auto"/>
                <w:szCs w:val="21"/>
                <w:highlight w:val="none"/>
              </w:rPr>
            </w:pPr>
          </w:p>
        </w:tc>
        <w:tc>
          <w:tcPr>
            <w:tcW w:w="1580" w:type="pct"/>
            <w:noWrap w:val="0"/>
            <w:vAlign w:val="center"/>
          </w:tcPr>
          <w:p w14:paraId="460D5B5F">
            <w:pPr>
              <w:pStyle w:val="245"/>
              <w:spacing w:line="240" w:lineRule="auto"/>
              <w:rPr>
                <w:color w:val="auto"/>
                <w:szCs w:val="21"/>
                <w:highlight w:val="none"/>
              </w:rPr>
            </w:pPr>
            <w:r>
              <w:rPr>
                <w:color w:val="auto"/>
                <w:szCs w:val="21"/>
                <w:highlight w:val="none"/>
              </w:rPr>
              <w:t>环境噪声</w:t>
            </w:r>
          </w:p>
        </w:tc>
        <w:tc>
          <w:tcPr>
            <w:tcW w:w="1052" w:type="pct"/>
            <w:noWrap w:val="0"/>
            <w:vAlign w:val="center"/>
          </w:tcPr>
          <w:p w14:paraId="35257C3B">
            <w:pPr>
              <w:pStyle w:val="245"/>
              <w:spacing w:line="240" w:lineRule="auto"/>
              <w:rPr>
                <w:color w:val="auto"/>
                <w:szCs w:val="21"/>
                <w:highlight w:val="none"/>
              </w:rPr>
            </w:pPr>
            <w:r>
              <w:rPr>
                <w:color w:val="auto"/>
                <w:szCs w:val="21"/>
                <w:highlight w:val="none"/>
              </w:rPr>
              <w:t>-1</w:t>
            </w:r>
          </w:p>
        </w:tc>
        <w:tc>
          <w:tcPr>
            <w:tcW w:w="1052" w:type="pct"/>
            <w:noWrap w:val="0"/>
            <w:vAlign w:val="center"/>
          </w:tcPr>
          <w:p w14:paraId="05DB9D59">
            <w:pPr>
              <w:pStyle w:val="245"/>
              <w:spacing w:line="240" w:lineRule="auto"/>
              <w:rPr>
                <w:color w:val="auto"/>
                <w:szCs w:val="21"/>
                <w:highlight w:val="none"/>
              </w:rPr>
            </w:pPr>
            <w:r>
              <w:rPr>
                <w:color w:val="auto"/>
                <w:szCs w:val="21"/>
                <w:highlight w:val="none"/>
              </w:rPr>
              <w:t>-1</w:t>
            </w:r>
          </w:p>
        </w:tc>
      </w:tr>
      <w:tr w14:paraId="20E76A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continue"/>
            <w:noWrap w:val="0"/>
            <w:vAlign w:val="center"/>
          </w:tcPr>
          <w:p w14:paraId="48D64F3F">
            <w:pPr>
              <w:pStyle w:val="245"/>
              <w:spacing w:line="240" w:lineRule="auto"/>
              <w:rPr>
                <w:color w:val="auto"/>
                <w:szCs w:val="21"/>
                <w:highlight w:val="none"/>
              </w:rPr>
            </w:pPr>
          </w:p>
        </w:tc>
        <w:tc>
          <w:tcPr>
            <w:tcW w:w="1580" w:type="pct"/>
            <w:noWrap w:val="0"/>
            <w:vAlign w:val="center"/>
          </w:tcPr>
          <w:p w14:paraId="1F6E7310">
            <w:pPr>
              <w:pStyle w:val="245"/>
              <w:spacing w:line="240" w:lineRule="auto"/>
              <w:rPr>
                <w:color w:val="auto"/>
                <w:szCs w:val="21"/>
                <w:highlight w:val="none"/>
              </w:rPr>
            </w:pPr>
            <w:r>
              <w:rPr>
                <w:color w:val="auto"/>
                <w:szCs w:val="21"/>
                <w:highlight w:val="none"/>
              </w:rPr>
              <w:t>土壤</w:t>
            </w:r>
          </w:p>
        </w:tc>
        <w:tc>
          <w:tcPr>
            <w:tcW w:w="1052" w:type="pct"/>
            <w:noWrap w:val="0"/>
            <w:vAlign w:val="center"/>
          </w:tcPr>
          <w:p w14:paraId="756FC8B4">
            <w:pPr>
              <w:pStyle w:val="245"/>
              <w:spacing w:line="240" w:lineRule="auto"/>
              <w:rPr>
                <w:color w:val="auto"/>
                <w:szCs w:val="21"/>
                <w:highlight w:val="none"/>
              </w:rPr>
            </w:pPr>
            <w:r>
              <w:rPr>
                <w:color w:val="auto"/>
                <w:szCs w:val="21"/>
                <w:highlight w:val="none"/>
              </w:rPr>
              <w:t>-1</w:t>
            </w:r>
          </w:p>
        </w:tc>
        <w:tc>
          <w:tcPr>
            <w:tcW w:w="1052" w:type="pct"/>
            <w:noWrap w:val="0"/>
            <w:vAlign w:val="center"/>
          </w:tcPr>
          <w:p w14:paraId="165AC5C5">
            <w:pPr>
              <w:pStyle w:val="245"/>
              <w:spacing w:line="240" w:lineRule="auto"/>
              <w:rPr>
                <w:color w:val="auto"/>
                <w:szCs w:val="21"/>
                <w:highlight w:val="none"/>
              </w:rPr>
            </w:pPr>
            <w:r>
              <w:rPr>
                <w:color w:val="auto"/>
                <w:szCs w:val="21"/>
                <w:highlight w:val="none"/>
              </w:rPr>
              <w:t>-1</w:t>
            </w:r>
          </w:p>
        </w:tc>
      </w:tr>
      <w:tr w14:paraId="41C495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restart"/>
            <w:noWrap w:val="0"/>
            <w:vAlign w:val="center"/>
          </w:tcPr>
          <w:p w14:paraId="6B939881">
            <w:pPr>
              <w:pStyle w:val="245"/>
              <w:spacing w:line="240" w:lineRule="auto"/>
              <w:rPr>
                <w:color w:val="auto"/>
                <w:szCs w:val="21"/>
                <w:highlight w:val="none"/>
              </w:rPr>
            </w:pPr>
            <w:r>
              <w:rPr>
                <w:color w:val="auto"/>
                <w:szCs w:val="21"/>
                <w:highlight w:val="none"/>
              </w:rPr>
              <w:t>生态环境</w:t>
            </w:r>
          </w:p>
        </w:tc>
        <w:tc>
          <w:tcPr>
            <w:tcW w:w="1580" w:type="pct"/>
            <w:noWrap w:val="0"/>
            <w:vAlign w:val="center"/>
          </w:tcPr>
          <w:p w14:paraId="565CAFDA">
            <w:pPr>
              <w:pStyle w:val="245"/>
              <w:spacing w:line="240" w:lineRule="auto"/>
              <w:rPr>
                <w:color w:val="auto"/>
                <w:szCs w:val="21"/>
                <w:highlight w:val="none"/>
              </w:rPr>
            </w:pPr>
            <w:r>
              <w:rPr>
                <w:color w:val="auto"/>
                <w:szCs w:val="21"/>
                <w:highlight w:val="none"/>
              </w:rPr>
              <w:t>植被</w:t>
            </w:r>
          </w:p>
        </w:tc>
        <w:tc>
          <w:tcPr>
            <w:tcW w:w="1052" w:type="pct"/>
            <w:noWrap w:val="0"/>
            <w:vAlign w:val="center"/>
          </w:tcPr>
          <w:p w14:paraId="68F34EEE">
            <w:pPr>
              <w:pStyle w:val="245"/>
              <w:spacing w:line="240" w:lineRule="auto"/>
              <w:rPr>
                <w:color w:val="auto"/>
                <w:szCs w:val="21"/>
                <w:highlight w:val="none"/>
              </w:rPr>
            </w:pPr>
            <w:r>
              <w:rPr>
                <w:color w:val="auto"/>
                <w:szCs w:val="21"/>
                <w:highlight w:val="none"/>
              </w:rPr>
              <w:t>-1</w:t>
            </w:r>
          </w:p>
        </w:tc>
        <w:tc>
          <w:tcPr>
            <w:tcW w:w="1052" w:type="pct"/>
            <w:noWrap w:val="0"/>
            <w:vAlign w:val="center"/>
          </w:tcPr>
          <w:p w14:paraId="57F4EFA5">
            <w:pPr>
              <w:pStyle w:val="245"/>
              <w:spacing w:line="240" w:lineRule="auto"/>
              <w:rPr>
                <w:color w:val="auto"/>
                <w:szCs w:val="21"/>
                <w:highlight w:val="none"/>
              </w:rPr>
            </w:pPr>
            <w:r>
              <w:rPr>
                <w:color w:val="auto"/>
                <w:szCs w:val="21"/>
                <w:highlight w:val="none"/>
              </w:rPr>
              <w:t>0</w:t>
            </w:r>
          </w:p>
        </w:tc>
      </w:tr>
      <w:tr w14:paraId="768D5C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continue"/>
            <w:noWrap w:val="0"/>
            <w:vAlign w:val="center"/>
          </w:tcPr>
          <w:p w14:paraId="37AEF1EA">
            <w:pPr>
              <w:pStyle w:val="245"/>
              <w:spacing w:line="240" w:lineRule="auto"/>
              <w:rPr>
                <w:color w:val="auto"/>
                <w:szCs w:val="21"/>
                <w:highlight w:val="none"/>
              </w:rPr>
            </w:pPr>
          </w:p>
        </w:tc>
        <w:tc>
          <w:tcPr>
            <w:tcW w:w="1580" w:type="pct"/>
            <w:noWrap w:val="0"/>
            <w:vAlign w:val="center"/>
          </w:tcPr>
          <w:p w14:paraId="0BDE0BC0">
            <w:pPr>
              <w:pStyle w:val="245"/>
              <w:spacing w:line="240" w:lineRule="auto"/>
              <w:rPr>
                <w:color w:val="auto"/>
                <w:szCs w:val="21"/>
                <w:highlight w:val="none"/>
              </w:rPr>
            </w:pPr>
            <w:r>
              <w:rPr>
                <w:color w:val="auto"/>
                <w:szCs w:val="21"/>
                <w:highlight w:val="none"/>
              </w:rPr>
              <w:t>水土流失</w:t>
            </w:r>
          </w:p>
        </w:tc>
        <w:tc>
          <w:tcPr>
            <w:tcW w:w="1052" w:type="pct"/>
            <w:noWrap w:val="0"/>
            <w:vAlign w:val="center"/>
          </w:tcPr>
          <w:p w14:paraId="55A7C161">
            <w:pPr>
              <w:pStyle w:val="245"/>
              <w:spacing w:line="240" w:lineRule="auto"/>
              <w:rPr>
                <w:color w:val="auto"/>
                <w:szCs w:val="21"/>
                <w:highlight w:val="none"/>
              </w:rPr>
            </w:pPr>
            <w:r>
              <w:rPr>
                <w:color w:val="auto"/>
                <w:szCs w:val="21"/>
                <w:highlight w:val="none"/>
              </w:rPr>
              <w:t>-1</w:t>
            </w:r>
          </w:p>
        </w:tc>
        <w:tc>
          <w:tcPr>
            <w:tcW w:w="1052" w:type="pct"/>
            <w:noWrap w:val="0"/>
            <w:vAlign w:val="center"/>
          </w:tcPr>
          <w:p w14:paraId="5474681D">
            <w:pPr>
              <w:pStyle w:val="245"/>
              <w:spacing w:line="240" w:lineRule="auto"/>
              <w:rPr>
                <w:color w:val="auto"/>
                <w:szCs w:val="21"/>
                <w:highlight w:val="none"/>
              </w:rPr>
            </w:pPr>
            <w:r>
              <w:rPr>
                <w:color w:val="auto"/>
                <w:szCs w:val="21"/>
                <w:highlight w:val="none"/>
              </w:rPr>
              <w:t>+1</w:t>
            </w:r>
          </w:p>
        </w:tc>
      </w:tr>
      <w:tr w14:paraId="2877E4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restart"/>
            <w:noWrap w:val="0"/>
            <w:vAlign w:val="center"/>
          </w:tcPr>
          <w:p w14:paraId="29B3749C">
            <w:pPr>
              <w:pStyle w:val="245"/>
              <w:spacing w:line="240" w:lineRule="auto"/>
              <w:rPr>
                <w:color w:val="auto"/>
                <w:szCs w:val="21"/>
                <w:highlight w:val="none"/>
              </w:rPr>
            </w:pPr>
            <w:r>
              <w:rPr>
                <w:color w:val="auto"/>
                <w:szCs w:val="21"/>
                <w:highlight w:val="none"/>
              </w:rPr>
              <w:t>社会环境</w:t>
            </w:r>
          </w:p>
        </w:tc>
        <w:tc>
          <w:tcPr>
            <w:tcW w:w="1580" w:type="pct"/>
            <w:noWrap w:val="0"/>
            <w:vAlign w:val="center"/>
          </w:tcPr>
          <w:p w14:paraId="697DD775">
            <w:pPr>
              <w:pStyle w:val="245"/>
              <w:spacing w:line="240" w:lineRule="auto"/>
              <w:rPr>
                <w:color w:val="auto"/>
                <w:szCs w:val="21"/>
                <w:highlight w:val="none"/>
              </w:rPr>
            </w:pPr>
            <w:r>
              <w:rPr>
                <w:color w:val="auto"/>
                <w:szCs w:val="21"/>
                <w:highlight w:val="none"/>
              </w:rPr>
              <w:t>交通</w:t>
            </w:r>
          </w:p>
        </w:tc>
        <w:tc>
          <w:tcPr>
            <w:tcW w:w="1052" w:type="pct"/>
            <w:noWrap w:val="0"/>
            <w:vAlign w:val="center"/>
          </w:tcPr>
          <w:p w14:paraId="171DAD13">
            <w:pPr>
              <w:pStyle w:val="245"/>
              <w:spacing w:line="240" w:lineRule="auto"/>
              <w:rPr>
                <w:color w:val="auto"/>
                <w:szCs w:val="21"/>
                <w:highlight w:val="none"/>
              </w:rPr>
            </w:pPr>
            <w:r>
              <w:rPr>
                <w:color w:val="auto"/>
                <w:szCs w:val="21"/>
                <w:highlight w:val="none"/>
              </w:rPr>
              <w:t>-1</w:t>
            </w:r>
          </w:p>
        </w:tc>
        <w:tc>
          <w:tcPr>
            <w:tcW w:w="1052" w:type="pct"/>
            <w:noWrap w:val="0"/>
            <w:vAlign w:val="center"/>
          </w:tcPr>
          <w:p w14:paraId="49A9447F">
            <w:pPr>
              <w:pStyle w:val="245"/>
              <w:spacing w:line="240" w:lineRule="auto"/>
              <w:rPr>
                <w:color w:val="auto"/>
                <w:szCs w:val="21"/>
                <w:highlight w:val="none"/>
              </w:rPr>
            </w:pPr>
            <w:r>
              <w:rPr>
                <w:color w:val="auto"/>
                <w:szCs w:val="21"/>
                <w:highlight w:val="none"/>
              </w:rPr>
              <w:t>-1</w:t>
            </w:r>
          </w:p>
        </w:tc>
      </w:tr>
      <w:tr w14:paraId="77F1DE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continue"/>
            <w:noWrap w:val="0"/>
            <w:vAlign w:val="center"/>
          </w:tcPr>
          <w:p w14:paraId="78F27B27">
            <w:pPr>
              <w:pStyle w:val="245"/>
              <w:spacing w:line="240" w:lineRule="auto"/>
              <w:rPr>
                <w:color w:val="auto"/>
                <w:szCs w:val="21"/>
                <w:highlight w:val="none"/>
              </w:rPr>
            </w:pPr>
          </w:p>
        </w:tc>
        <w:tc>
          <w:tcPr>
            <w:tcW w:w="1580" w:type="pct"/>
            <w:noWrap w:val="0"/>
            <w:vAlign w:val="center"/>
          </w:tcPr>
          <w:p w14:paraId="0BBD6534">
            <w:pPr>
              <w:pStyle w:val="245"/>
              <w:spacing w:line="240" w:lineRule="auto"/>
              <w:rPr>
                <w:color w:val="auto"/>
                <w:szCs w:val="21"/>
                <w:highlight w:val="none"/>
              </w:rPr>
            </w:pPr>
            <w:r>
              <w:rPr>
                <w:color w:val="auto"/>
                <w:szCs w:val="21"/>
                <w:highlight w:val="none"/>
              </w:rPr>
              <w:t>就业</w:t>
            </w:r>
          </w:p>
        </w:tc>
        <w:tc>
          <w:tcPr>
            <w:tcW w:w="1052" w:type="pct"/>
            <w:noWrap w:val="0"/>
            <w:vAlign w:val="center"/>
          </w:tcPr>
          <w:p w14:paraId="4177835A">
            <w:pPr>
              <w:pStyle w:val="245"/>
              <w:spacing w:line="240" w:lineRule="auto"/>
              <w:rPr>
                <w:color w:val="auto"/>
                <w:szCs w:val="21"/>
                <w:highlight w:val="none"/>
              </w:rPr>
            </w:pPr>
            <w:r>
              <w:rPr>
                <w:color w:val="auto"/>
                <w:szCs w:val="21"/>
                <w:highlight w:val="none"/>
              </w:rPr>
              <w:t>+1</w:t>
            </w:r>
          </w:p>
        </w:tc>
        <w:tc>
          <w:tcPr>
            <w:tcW w:w="1052" w:type="pct"/>
            <w:noWrap w:val="0"/>
            <w:vAlign w:val="center"/>
          </w:tcPr>
          <w:p w14:paraId="5353494E">
            <w:pPr>
              <w:pStyle w:val="245"/>
              <w:spacing w:line="240" w:lineRule="auto"/>
              <w:rPr>
                <w:color w:val="auto"/>
                <w:szCs w:val="21"/>
                <w:highlight w:val="none"/>
              </w:rPr>
            </w:pPr>
            <w:r>
              <w:rPr>
                <w:color w:val="auto"/>
                <w:szCs w:val="21"/>
                <w:highlight w:val="none"/>
              </w:rPr>
              <w:t>+1</w:t>
            </w:r>
          </w:p>
        </w:tc>
      </w:tr>
      <w:tr w14:paraId="4F417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6" w:type="pct"/>
            <w:vMerge w:val="continue"/>
            <w:noWrap w:val="0"/>
            <w:vAlign w:val="center"/>
          </w:tcPr>
          <w:p w14:paraId="14F1E19E">
            <w:pPr>
              <w:pStyle w:val="245"/>
              <w:spacing w:line="240" w:lineRule="auto"/>
              <w:rPr>
                <w:color w:val="auto"/>
                <w:szCs w:val="21"/>
                <w:highlight w:val="none"/>
              </w:rPr>
            </w:pPr>
          </w:p>
        </w:tc>
        <w:tc>
          <w:tcPr>
            <w:tcW w:w="1580" w:type="pct"/>
            <w:noWrap w:val="0"/>
            <w:vAlign w:val="center"/>
          </w:tcPr>
          <w:p w14:paraId="7F468D40">
            <w:pPr>
              <w:pStyle w:val="245"/>
              <w:spacing w:line="240" w:lineRule="auto"/>
              <w:rPr>
                <w:color w:val="auto"/>
                <w:szCs w:val="21"/>
                <w:highlight w:val="none"/>
              </w:rPr>
            </w:pPr>
            <w:r>
              <w:rPr>
                <w:color w:val="auto"/>
                <w:szCs w:val="21"/>
                <w:highlight w:val="none"/>
              </w:rPr>
              <w:t>社会经济</w:t>
            </w:r>
          </w:p>
        </w:tc>
        <w:tc>
          <w:tcPr>
            <w:tcW w:w="1052" w:type="pct"/>
            <w:noWrap w:val="0"/>
            <w:vAlign w:val="center"/>
          </w:tcPr>
          <w:p w14:paraId="666EB67C">
            <w:pPr>
              <w:pStyle w:val="245"/>
              <w:spacing w:line="240" w:lineRule="auto"/>
              <w:rPr>
                <w:color w:val="auto"/>
                <w:szCs w:val="21"/>
                <w:highlight w:val="none"/>
              </w:rPr>
            </w:pPr>
            <w:r>
              <w:rPr>
                <w:color w:val="auto"/>
                <w:szCs w:val="21"/>
                <w:highlight w:val="none"/>
              </w:rPr>
              <w:t>+1</w:t>
            </w:r>
          </w:p>
        </w:tc>
        <w:tc>
          <w:tcPr>
            <w:tcW w:w="1052" w:type="pct"/>
            <w:noWrap w:val="0"/>
            <w:vAlign w:val="center"/>
          </w:tcPr>
          <w:p w14:paraId="46A7A4AA">
            <w:pPr>
              <w:pStyle w:val="245"/>
              <w:spacing w:line="240" w:lineRule="auto"/>
              <w:rPr>
                <w:color w:val="auto"/>
                <w:szCs w:val="21"/>
                <w:highlight w:val="none"/>
              </w:rPr>
            </w:pPr>
            <w:r>
              <w:rPr>
                <w:color w:val="auto"/>
                <w:szCs w:val="21"/>
                <w:highlight w:val="none"/>
              </w:rPr>
              <w:t>+1</w:t>
            </w:r>
          </w:p>
        </w:tc>
      </w:tr>
      <w:tr w14:paraId="11DA4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4"/>
            <w:noWrap w:val="0"/>
            <w:vAlign w:val="center"/>
          </w:tcPr>
          <w:p w14:paraId="6D3B108A">
            <w:pPr>
              <w:pStyle w:val="245"/>
              <w:spacing w:line="240" w:lineRule="auto"/>
              <w:jc w:val="left"/>
              <w:rPr>
                <w:color w:val="auto"/>
                <w:szCs w:val="21"/>
                <w:highlight w:val="none"/>
              </w:rPr>
            </w:pPr>
            <w:r>
              <w:rPr>
                <w:color w:val="auto"/>
                <w:szCs w:val="21"/>
                <w:highlight w:val="none"/>
              </w:rPr>
              <w:t>注：“-”表示不利影响，“+”表示有利影响，数字大小表示影响程度；1—轻度影响；2—中度影响；3—重度影响。</w:t>
            </w:r>
          </w:p>
        </w:tc>
      </w:tr>
    </w:tbl>
    <w:p w14:paraId="44B5A5FF">
      <w:pPr>
        <w:pStyle w:val="199"/>
        <w:spacing w:before="120"/>
        <w:rPr>
          <w:color w:val="auto"/>
          <w:sz w:val="24"/>
          <w:highlight w:val="none"/>
        </w:rPr>
      </w:pPr>
      <w:r>
        <w:rPr>
          <w:rFonts w:hint="eastAsia"/>
          <w:color w:val="auto"/>
          <w:sz w:val="24"/>
          <w:highlight w:val="none"/>
        </w:rPr>
        <w:t>表</w:t>
      </w:r>
      <w:r>
        <w:rPr>
          <w:color w:val="auto"/>
          <w:sz w:val="24"/>
          <w:highlight w:val="none"/>
        </w:rPr>
        <w:t xml:space="preserve">2.3-2    </w:t>
      </w:r>
      <w:r>
        <w:rPr>
          <w:rFonts w:hint="eastAsia"/>
          <w:color w:val="auto"/>
          <w:sz w:val="24"/>
          <w:highlight w:val="none"/>
        </w:rPr>
        <w:t>各环境要素影响类型及程度</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6"/>
        <w:gridCol w:w="1218"/>
        <w:gridCol w:w="1216"/>
        <w:gridCol w:w="1942"/>
        <w:gridCol w:w="1216"/>
        <w:gridCol w:w="1216"/>
        <w:gridCol w:w="732"/>
      </w:tblGrid>
      <w:tr w14:paraId="073CD5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287" w:type="pct"/>
            <w:gridSpan w:val="2"/>
            <w:noWrap w:val="0"/>
            <w:vAlign w:val="center"/>
          </w:tcPr>
          <w:p w14:paraId="43B4A159">
            <w:pPr>
              <w:pStyle w:val="245"/>
              <w:spacing w:line="240" w:lineRule="auto"/>
              <w:rPr>
                <w:color w:val="auto"/>
                <w:szCs w:val="21"/>
                <w:highlight w:val="none"/>
              </w:rPr>
            </w:pPr>
            <w:r>
              <w:rPr>
                <w:color w:val="auto"/>
                <w:szCs w:val="21"/>
                <w:highlight w:val="none"/>
              </w:rPr>
              <w:t>要素</w:t>
            </w:r>
          </w:p>
        </w:tc>
        <w:tc>
          <w:tcPr>
            <w:tcW w:w="714" w:type="pct"/>
            <w:noWrap w:val="0"/>
            <w:vAlign w:val="center"/>
          </w:tcPr>
          <w:p w14:paraId="5E7EF562">
            <w:pPr>
              <w:pStyle w:val="245"/>
              <w:spacing w:line="240" w:lineRule="auto"/>
              <w:rPr>
                <w:color w:val="auto"/>
                <w:szCs w:val="21"/>
                <w:highlight w:val="none"/>
              </w:rPr>
            </w:pPr>
            <w:r>
              <w:rPr>
                <w:color w:val="auto"/>
                <w:szCs w:val="21"/>
                <w:highlight w:val="none"/>
              </w:rPr>
              <w:t>影响程度</w:t>
            </w:r>
          </w:p>
        </w:tc>
        <w:tc>
          <w:tcPr>
            <w:tcW w:w="1140" w:type="pct"/>
            <w:noWrap w:val="0"/>
            <w:vAlign w:val="center"/>
          </w:tcPr>
          <w:p w14:paraId="61BD3D1B">
            <w:pPr>
              <w:pStyle w:val="245"/>
              <w:spacing w:line="240" w:lineRule="auto"/>
              <w:rPr>
                <w:color w:val="auto"/>
                <w:szCs w:val="21"/>
                <w:highlight w:val="none"/>
              </w:rPr>
            </w:pPr>
            <w:r>
              <w:rPr>
                <w:color w:val="auto"/>
                <w:szCs w:val="21"/>
                <w:highlight w:val="none"/>
              </w:rPr>
              <w:t>类型</w:t>
            </w:r>
          </w:p>
        </w:tc>
        <w:tc>
          <w:tcPr>
            <w:tcW w:w="714" w:type="pct"/>
            <w:noWrap w:val="0"/>
            <w:vAlign w:val="center"/>
          </w:tcPr>
          <w:p w14:paraId="30693152">
            <w:pPr>
              <w:pStyle w:val="245"/>
              <w:spacing w:line="240" w:lineRule="auto"/>
              <w:rPr>
                <w:color w:val="auto"/>
                <w:szCs w:val="21"/>
                <w:highlight w:val="none"/>
              </w:rPr>
            </w:pPr>
            <w:r>
              <w:rPr>
                <w:color w:val="auto"/>
                <w:szCs w:val="21"/>
                <w:highlight w:val="none"/>
              </w:rPr>
              <w:t>可逆性</w:t>
            </w:r>
          </w:p>
        </w:tc>
        <w:tc>
          <w:tcPr>
            <w:tcW w:w="714" w:type="pct"/>
            <w:noWrap w:val="0"/>
            <w:vAlign w:val="center"/>
          </w:tcPr>
          <w:p w14:paraId="7B35ABB7">
            <w:pPr>
              <w:pStyle w:val="245"/>
              <w:spacing w:line="240" w:lineRule="auto"/>
              <w:rPr>
                <w:color w:val="auto"/>
                <w:szCs w:val="21"/>
                <w:highlight w:val="none"/>
              </w:rPr>
            </w:pPr>
            <w:r>
              <w:rPr>
                <w:color w:val="auto"/>
                <w:szCs w:val="21"/>
                <w:highlight w:val="none"/>
              </w:rPr>
              <w:t>范围</w:t>
            </w:r>
          </w:p>
        </w:tc>
        <w:tc>
          <w:tcPr>
            <w:tcW w:w="430" w:type="pct"/>
            <w:noWrap w:val="0"/>
            <w:vAlign w:val="top"/>
          </w:tcPr>
          <w:p w14:paraId="457CE087">
            <w:pPr>
              <w:pStyle w:val="245"/>
              <w:spacing w:line="240" w:lineRule="auto"/>
              <w:rPr>
                <w:color w:val="auto"/>
                <w:szCs w:val="21"/>
                <w:highlight w:val="none"/>
              </w:rPr>
            </w:pPr>
            <w:r>
              <w:rPr>
                <w:color w:val="auto"/>
                <w:szCs w:val="21"/>
                <w:highlight w:val="none"/>
              </w:rPr>
              <w:t>时限</w:t>
            </w:r>
          </w:p>
        </w:tc>
      </w:tr>
      <w:tr w14:paraId="739157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3" w:type="pct"/>
            <w:vMerge w:val="restart"/>
            <w:noWrap w:val="0"/>
            <w:vAlign w:val="center"/>
          </w:tcPr>
          <w:p w14:paraId="1BCA66DD">
            <w:pPr>
              <w:pStyle w:val="245"/>
              <w:spacing w:line="240" w:lineRule="auto"/>
              <w:rPr>
                <w:color w:val="auto"/>
                <w:szCs w:val="21"/>
                <w:highlight w:val="none"/>
              </w:rPr>
            </w:pPr>
            <w:r>
              <w:rPr>
                <w:color w:val="auto"/>
                <w:szCs w:val="21"/>
                <w:highlight w:val="none"/>
              </w:rPr>
              <w:t>营运期</w:t>
            </w:r>
          </w:p>
        </w:tc>
        <w:tc>
          <w:tcPr>
            <w:tcW w:w="715" w:type="pct"/>
            <w:noWrap w:val="0"/>
            <w:vAlign w:val="center"/>
          </w:tcPr>
          <w:p w14:paraId="08A71D53">
            <w:pPr>
              <w:pStyle w:val="245"/>
              <w:spacing w:line="240" w:lineRule="auto"/>
              <w:rPr>
                <w:color w:val="auto"/>
                <w:szCs w:val="21"/>
                <w:highlight w:val="none"/>
              </w:rPr>
            </w:pPr>
            <w:r>
              <w:rPr>
                <w:color w:val="auto"/>
                <w:szCs w:val="21"/>
                <w:highlight w:val="none"/>
              </w:rPr>
              <w:t>环境空气</w:t>
            </w:r>
          </w:p>
        </w:tc>
        <w:tc>
          <w:tcPr>
            <w:tcW w:w="714" w:type="pct"/>
            <w:noWrap w:val="0"/>
            <w:vAlign w:val="center"/>
          </w:tcPr>
          <w:p w14:paraId="179DC49A">
            <w:pPr>
              <w:pStyle w:val="245"/>
              <w:spacing w:line="240" w:lineRule="auto"/>
              <w:rPr>
                <w:color w:val="auto"/>
                <w:szCs w:val="21"/>
                <w:highlight w:val="none"/>
              </w:rPr>
            </w:pPr>
            <w:r>
              <w:rPr>
                <w:color w:val="auto"/>
                <w:szCs w:val="21"/>
                <w:highlight w:val="none"/>
              </w:rPr>
              <w:t>明显</w:t>
            </w:r>
          </w:p>
        </w:tc>
        <w:tc>
          <w:tcPr>
            <w:tcW w:w="1140" w:type="pct"/>
            <w:noWrap w:val="0"/>
            <w:vAlign w:val="center"/>
          </w:tcPr>
          <w:p w14:paraId="08B35525">
            <w:pPr>
              <w:pStyle w:val="245"/>
              <w:spacing w:line="240" w:lineRule="auto"/>
              <w:rPr>
                <w:color w:val="auto"/>
                <w:szCs w:val="21"/>
                <w:highlight w:val="none"/>
              </w:rPr>
            </w:pPr>
            <w:r>
              <w:rPr>
                <w:color w:val="auto"/>
                <w:szCs w:val="21"/>
                <w:highlight w:val="none"/>
              </w:rPr>
              <w:t>有后续影响</w:t>
            </w:r>
          </w:p>
        </w:tc>
        <w:tc>
          <w:tcPr>
            <w:tcW w:w="714" w:type="pct"/>
            <w:noWrap w:val="0"/>
            <w:vAlign w:val="center"/>
          </w:tcPr>
          <w:p w14:paraId="31C2E0C7">
            <w:pPr>
              <w:pStyle w:val="245"/>
              <w:spacing w:line="240" w:lineRule="auto"/>
              <w:rPr>
                <w:color w:val="auto"/>
                <w:szCs w:val="21"/>
                <w:highlight w:val="none"/>
              </w:rPr>
            </w:pPr>
            <w:r>
              <w:rPr>
                <w:color w:val="auto"/>
                <w:szCs w:val="21"/>
                <w:highlight w:val="none"/>
              </w:rPr>
              <w:t>基本可逆</w:t>
            </w:r>
          </w:p>
        </w:tc>
        <w:tc>
          <w:tcPr>
            <w:tcW w:w="714" w:type="pct"/>
            <w:noWrap w:val="0"/>
            <w:vAlign w:val="center"/>
          </w:tcPr>
          <w:p w14:paraId="602C6C6C">
            <w:pPr>
              <w:pStyle w:val="245"/>
              <w:spacing w:line="240" w:lineRule="auto"/>
              <w:rPr>
                <w:color w:val="auto"/>
                <w:szCs w:val="21"/>
                <w:highlight w:val="none"/>
              </w:rPr>
            </w:pPr>
            <w:r>
              <w:rPr>
                <w:color w:val="auto"/>
                <w:szCs w:val="21"/>
                <w:highlight w:val="none"/>
              </w:rPr>
              <w:t>较</w:t>
            </w:r>
            <w:r>
              <w:rPr>
                <w:rFonts w:hint="eastAsia"/>
                <w:color w:val="auto"/>
                <w:szCs w:val="21"/>
                <w:highlight w:val="none"/>
                <w:lang w:val="en-US" w:eastAsia="zh-CN"/>
              </w:rPr>
              <w:t>小</w:t>
            </w:r>
            <w:r>
              <w:rPr>
                <w:color w:val="auto"/>
                <w:szCs w:val="21"/>
                <w:highlight w:val="none"/>
              </w:rPr>
              <w:t>范围</w:t>
            </w:r>
          </w:p>
        </w:tc>
        <w:tc>
          <w:tcPr>
            <w:tcW w:w="430" w:type="pct"/>
            <w:noWrap w:val="0"/>
            <w:vAlign w:val="center"/>
          </w:tcPr>
          <w:p w14:paraId="3627963D">
            <w:pPr>
              <w:pStyle w:val="245"/>
              <w:spacing w:line="240" w:lineRule="auto"/>
              <w:rPr>
                <w:color w:val="auto"/>
                <w:szCs w:val="21"/>
                <w:highlight w:val="none"/>
              </w:rPr>
            </w:pPr>
            <w:r>
              <w:rPr>
                <w:color w:val="auto"/>
                <w:szCs w:val="21"/>
                <w:highlight w:val="none"/>
              </w:rPr>
              <w:t>长期</w:t>
            </w:r>
          </w:p>
        </w:tc>
      </w:tr>
      <w:tr w14:paraId="331E31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3" w:type="pct"/>
            <w:vMerge w:val="continue"/>
            <w:noWrap w:val="0"/>
            <w:vAlign w:val="center"/>
          </w:tcPr>
          <w:p w14:paraId="765A2DAE">
            <w:pPr>
              <w:pStyle w:val="245"/>
              <w:spacing w:line="240" w:lineRule="auto"/>
              <w:rPr>
                <w:color w:val="auto"/>
                <w:szCs w:val="21"/>
                <w:highlight w:val="none"/>
              </w:rPr>
            </w:pPr>
          </w:p>
        </w:tc>
        <w:tc>
          <w:tcPr>
            <w:tcW w:w="715" w:type="pct"/>
            <w:noWrap w:val="0"/>
            <w:vAlign w:val="center"/>
          </w:tcPr>
          <w:p w14:paraId="0292144D">
            <w:pPr>
              <w:pStyle w:val="245"/>
              <w:spacing w:line="240" w:lineRule="auto"/>
              <w:rPr>
                <w:color w:val="auto"/>
                <w:szCs w:val="21"/>
                <w:highlight w:val="none"/>
              </w:rPr>
            </w:pPr>
            <w:r>
              <w:rPr>
                <w:color w:val="auto"/>
                <w:szCs w:val="21"/>
                <w:highlight w:val="none"/>
              </w:rPr>
              <w:t>水环境</w:t>
            </w:r>
          </w:p>
        </w:tc>
        <w:tc>
          <w:tcPr>
            <w:tcW w:w="714" w:type="pct"/>
            <w:noWrap w:val="0"/>
            <w:vAlign w:val="center"/>
          </w:tcPr>
          <w:p w14:paraId="0FAD4378">
            <w:pPr>
              <w:pStyle w:val="245"/>
              <w:spacing w:line="240" w:lineRule="auto"/>
              <w:rPr>
                <w:color w:val="auto"/>
                <w:szCs w:val="21"/>
                <w:highlight w:val="none"/>
              </w:rPr>
            </w:pPr>
            <w:r>
              <w:rPr>
                <w:color w:val="auto"/>
                <w:szCs w:val="21"/>
                <w:highlight w:val="none"/>
              </w:rPr>
              <w:t>不明显</w:t>
            </w:r>
          </w:p>
        </w:tc>
        <w:tc>
          <w:tcPr>
            <w:tcW w:w="1140" w:type="pct"/>
            <w:noWrap w:val="0"/>
            <w:vAlign w:val="center"/>
          </w:tcPr>
          <w:p w14:paraId="5067583F">
            <w:pPr>
              <w:pStyle w:val="245"/>
              <w:spacing w:line="240" w:lineRule="auto"/>
              <w:rPr>
                <w:color w:val="auto"/>
                <w:szCs w:val="21"/>
                <w:highlight w:val="none"/>
              </w:rPr>
            </w:pPr>
            <w:r>
              <w:rPr>
                <w:color w:val="auto"/>
                <w:szCs w:val="21"/>
                <w:highlight w:val="none"/>
              </w:rPr>
              <w:t>有后续影响</w:t>
            </w:r>
          </w:p>
        </w:tc>
        <w:tc>
          <w:tcPr>
            <w:tcW w:w="714" w:type="pct"/>
            <w:noWrap w:val="0"/>
            <w:vAlign w:val="center"/>
          </w:tcPr>
          <w:p w14:paraId="42DB5899">
            <w:pPr>
              <w:pStyle w:val="245"/>
              <w:spacing w:line="240" w:lineRule="auto"/>
              <w:rPr>
                <w:color w:val="auto"/>
                <w:szCs w:val="21"/>
                <w:highlight w:val="none"/>
              </w:rPr>
            </w:pPr>
            <w:r>
              <w:rPr>
                <w:color w:val="auto"/>
                <w:szCs w:val="21"/>
                <w:highlight w:val="none"/>
              </w:rPr>
              <w:t>基本可逆</w:t>
            </w:r>
          </w:p>
        </w:tc>
        <w:tc>
          <w:tcPr>
            <w:tcW w:w="714" w:type="pct"/>
            <w:noWrap w:val="0"/>
            <w:vAlign w:val="center"/>
          </w:tcPr>
          <w:p w14:paraId="11AE6DC8">
            <w:pPr>
              <w:pStyle w:val="245"/>
              <w:spacing w:line="240" w:lineRule="auto"/>
              <w:rPr>
                <w:color w:val="auto"/>
                <w:szCs w:val="21"/>
                <w:highlight w:val="none"/>
              </w:rPr>
            </w:pPr>
            <w:r>
              <w:rPr>
                <w:color w:val="auto"/>
                <w:szCs w:val="21"/>
                <w:highlight w:val="none"/>
              </w:rPr>
              <w:t>局部</w:t>
            </w:r>
          </w:p>
        </w:tc>
        <w:tc>
          <w:tcPr>
            <w:tcW w:w="430" w:type="pct"/>
            <w:noWrap w:val="0"/>
            <w:vAlign w:val="center"/>
          </w:tcPr>
          <w:p w14:paraId="4927A73A">
            <w:pPr>
              <w:pStyle w:val="245"/>
              <w:spacing w:line="240" w:lineRule="auto"/>
              <w:rPr>
                <w:color w:val="auto"/>
                <w:szCs w:val="21"/>
                <w:highlight w:val="none"/>
              </w:rPr>
            </w:pPr>
            <w:r>
              <w:rPr>
                <w:color w:val="auto"/>
                <w:szCs w:val="21"/>
                <w:highlight w:val="none"/>
              </w:rPr>
              <w:t>长期</w:t>
            </w:r>
          </w:p>
        </w:tc>
      </w:tr>
      <w:tr w14:paraId="722C2D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3" w:type="pct"/>
            <w:vMerge w:val="continue"/>
            <w:noWrap w:val="0"/>
            <w:vAlign w:val="center"/>
          </w:tcPr>
          <w:p w14:paraId="27AEA885">
            <w:pPr>
              <w:pStyle w:val="245"/>
              <w:spacing w:line="240" w:lineRule="auto"/>
              <w:rPr>
                <w:color w:val="auto"/>
                <w:szCs w:val="21"/>
                <w:highlight w:val="none"/>
              </w:rPr>
            </w:pPr>
          </w:p>
        </w:tc>
        <w:tc>
          <w:tcPr>
            <w:tcW w:w="715" w:type="pct"/>
            <w:noWrap w:val="0"/>
            <w:vAlign w:val="center"/>
          </w:tcPr>
          <w:p w14:paraId="14A5BD00">
            <w:pPr>
              <w:pStyle w:val="245"/>
              <w:spacing w:line="240" w:lineRule="auto"/>
              <w:rPr>
                <w:color w:val="auto"/>
                <w:szCs w:val="21"/>
                <w:highlight w:val="none"/>
              </w:rPr>
            </w:pPr>
            <w:r>
              <w:rPr>
                <w:color w:val="auto"/>
                <w:szCs w:val="21"/>
                <w:highlight w:val="none"/>
              </w:rPr>
              <w:t>声环境</w:t>
            </w:r>
          </w:p>
        </w:tc>
        <w:tc>
          <w:tcPr>
            <w:tcW w:w="714" w:type="pct"/>
            <w:noWrap w:val="0"/>
            <w:vAlign w:val="center"/>
          </w:tcPr>
          <w:p w14:paraId="641B494B">
            <w:pPr>
              <w:pStyle w:val="245"/>
              <w:spacing w:line="240" w:lineRule="auto"/>
              <w:rPr>
                <w:color w:val="auto"/>
                <w:szCs w:val="21"/>
                <w:highlight w:val="none"/>
              </w:rPr>
            </w:pPr>
            <w:r>
              <w:rPr>
                <w:color w:val="auto"/>
                <w:szCs w:val="21"/>
                <w:highlight w:val="none"/>
              </w:rPr>
              <w:t>较明显</w:t>
            </w:r>
          </w:p>
        </w:tc>
        <w:tc>
          <w:tcPr>
            <w:tcW w:w="1140" w:type="pct"/>
            <w:noWrap w:val="0"/>
            <w:vAlign w:val="center"/>
          </w:tcPr>
          <w:p w14:paraId="2CD4C622">
            <w:pPr>
              <w:pStyle w:val="245"/>
              <w:spacing w:line="240" w:lineRule="auto"/>
              <w:rPr>
                <w:color w:val="auto"/>
                <w:szCs w:val="21"/>
                <w:highlight w:val="none"/>
              </w:rPr>
            </w:pPr>
            <w:r>
              <w:rPr>
                <w:color w:val="auto"/>
                <w:szCs w:val="21"/>
                <w:highlight w:val="none"/>
              </w:rPr>
              <w:t>与声源同时存在</w:t>
            </w:r>
          </w:p>
        </w:tc>
        <w:tc>
          <w:tcPr>
            <w:tcW w:w="714" w:type="pct"/>
            <w:noWrap w:val="0"/>
            <w:vAlign w:val="center"/>
          </w:tcPr>
          <w:p w14:paraId="5E1DFE55">
            <w:pPr>
              <w:pStyle w:val="245"/>
              <w:spacing w:line="240" w:lineRule="auto"/>
              <w:rPr>
                <w:color w:val="auto"/>
                <w:szCs w:val="21"/>
                <w:highlight w:val="none"/>
              </w:rPr>
            </w:pPr>
            <w:r>
              <w:rPr>
                <w:color w:val="auto"/>
                <w:szCs w:val="21"/>
                <w:highlight w:val="none"/>
              </w:rPr>
              <w:t>可逆</w:t>
            </w:r>
          </w:p>
        </w:tc>
        <w:tc>
          <w:tcPr>
            <w:tcW w:w="714" w:type="pct"/>
            <w:noWrap w:val="0"/>
            <w:vAlign w:val="center"/>
          </w:tcPr>
          <w:p w14:paraId="6E90F667">
            <w:pPr>
              <w:pStyle w:val="245"/>
              <w:spacing w:line="240" w:lineRule="auto"/>
              <w:rPr>
                <w:color w:val="auto"/>
                <w:szCs w:val="21"/>
                <w:highlight w:val="none"/>
              </w:rPr>
            </w:pPr>
            <w:r>
              <w:rPr>
                <w:color w:val="auto"/>
                <w:szCs w:val="21"/>
                <w:highlight w:val="none"/>
              </w:rPr>
              <w:t>局部</w:t>
            </w:r>
          </w:p>
        </w:tc>
        <w:tc>
          <w:tcPr>
            <w:tcW w:w="430" w:type="pct"/>
            <w:noWrap w:val="0"/>
            <w:vAlign w:val="center"/>
          </w:tcPr>
          <w:p w14:paraId="26885326">
            <w:pPr>
              <w:pStyle w:val="245"/>
              <w:spacing w:line="240" w:lineRule="auto"/>
              <w:rPr>
                <w:color w:val="auto"/>
                <w:szCs w:val="21"/>
                <w:highlight w:val="none"/>
              </w:rPr>
            </w:pPr>
            <w:r>
              <w:rPr>
                <w:color w:val="auto"/>
                <w:szCs w:val="21"/>
                <w:highlight w:val="none"/>
              </w:rPr>
              <w:t>长期</w:t>
            </w:r>
          </w:p>
        </w:tc>
      </w:tr>
      <w:tr w14:paraId="13D028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3" w:type="pct"/>
            <w:vMerge w:val="continue"/>
            <w:noWrap w:val="0"/>
            <w:vAlign w:val="center"/>
          </w:tcPr>
          <w:p w14:paraId="4F6CF459">
            <w:pPr>
              <w:pStyle w:val="245"/>
              <w:spacing w:line="240" w:lineRule="auto"/>
              <w:rPr>
                <w:color w:val="auto"/>
                <w:szCs w:val="21"/>
                <w:highlight w:val="none"/>
              </w:rPr>
            </w:pPr>
          </w:p>
        </w:tc>
        <w:tc>
          <w:tcPr>
            <w:tcW w:w="715" w:type="pct"/>
            <w:noWrap w:val="0"/>
            <w:vAlign w:val="center"/>
          </w:tcPr>
          <w:p w14:paraId="0279C071">
            <w:pPr>
              <w:pStyle w:val="245"/>
              <w:spacing w:line="240" w:lineRule="auto"/>
              <w:rPr>
                <w:color w:val="auto"/>
                <w:szCs w:val="21"/>
                <w:highlight w:val="none"/>
              </w:rPr>
            </w:pPr>
            <w:r>
              <w:rPr>
                <w:color w:val="auto"/>
                <w:szCs w:val="21"/>
                <w:highlight w:val="none"/>
              </w:rPr>
              <w:t>固废</w:t>
            </w:r>
          </w:p>
        </w:tc>
        <w:tc>
          <w:tcPr>
            <w:tcW w:w="714" w:type="pct"/>
            <w:noWrap w:val="0"/>
            <w:vAlign w:val="center"/>
          </w:tcPr>
          <w:p w14:paraId="5889B7CE">
            <w:pPr>
              <w:pStyle w:val="245"/>
              <w:spacing w:line="240" w:lineRule="auto"/>
              <w:rPr>
                <w:color w:val="auto"/>
                <w:szCs w:val="21"/>
                <w:highlight w:val="none"/>
              </w:rPr>
            </w:pPr>
            <w:r>
              <w:rPr>
                <w:color w:val="auto"/>
                <w:szCs w:val="21"/>
                <w:highlight w:val="none"/>
              </w:rPr>
              <w:t>不明显</w:t>
            </w:r>
          </w:p>
        </w:tc>
        <w:tc>
          <w:tcPr>
            <w:tcW w:w="1140" w:type="pct"/>
            <w:noWrap w:val="0"/>
            <w:vAlign w:val="center"/>
          </w:tcPr>
          <w:p w14:paraId="7FF24371">
            <w:pPr>
              <w:pStyle w:val="245"/>
              <w:spacing w:line="240" w:lineRule="auto"/>
              <w:rPr>
                <w:color w:val="auto"/>
                <w:szCs w:val="21"/>
                <w:highlight w:val="none"/>
              </w:rPr>
            </w:pPr>
            <w:r>
              <w:rPr>
                <w:color w:val="auto"/>
                <w:szCs w:val="21"/>
                <w:highlight w:val="none"/>
              </w:rPr>
              <w:t>/</w:t>
            </w:r>
          </w:p>
        </w:tc>
        <w:tc>
          <w:tcPr>
            <w:tcW w:w="714" w:type="pct"/>
            <w:noWrap w:val="0"/>
            <w:vAlign w:val="center"/>
          </w:tcPr>
          <w:p w14:paraId="1C775335">
            <w:pPr>
              <w:pStyle w:val="245"/>
              <w:spacing w:line="240" w:lineRule="auto"/>
              <w:rPr>
                <w:color w:val="auto"/>
                <w:szCs w:val="21"/>
                <w:highlight w:val="none"/>
              </w:rPr>
            </w:pPr>
            <w:r>
              <w:rPr>
                <w:color w:val="auto"/>
                <w:szCs w:val="21"/>
                <w:highlight w:val="none"/>
              </w:rPr>
              <w:t>不可逆</w:t>
            </w:r>
          </w:p>
        </w:tc>
        <w:tc>
          <w:tcPr>
            <w:tcW w:w="714" w:type="pct"/>
            <w:noWrap w:val="0"/>
            <w:vAlign w:val="center"/>
          </w:tcPr>
          <w:p w14:paraId="0465E749">
            <w:pPr>
              <w:pStyle w:val="245"/>
              <w:spacing w:line="240" w:lineRule="auto"/>
              <w:rPr>
                <w:color w:val="auto"/>
                <w:szCs w:val="21"/>
                <w:highlight w:val="none"/>
              </w:rPr>
            </w:pPr>
            <w:r>
              <w:rPr>
                <w:color w:val="auto"/>
                <w:szCs w:val="21"/>
                <w:highlight w:val="none"/>
              </w:rPr>
              <w:t>局部</w:t>
            </w:r>
          </w:p>
        </w:tc>
        <w:tc>
          <w:tcPr>
            <w:tcW w:w="430" w:type="pct"/>
            <w:noWrap w:val="0"/>
            <w:vAlign w:val="center"/>
          </w:tcPr>
          <w:p w14:paraId="44345718">
            <w:pPr>
              <w:pStyle w:val="245"/>
              <w:spacing w:line="240" w:lineRule="auto"/>
              <w:rPr>
                <w:color w:val="auto"/>
                <w:szCs w:val="21"/>
                <w:highlight w:val="none"/>
              </w:rPr>
            </w:pPr>
            <w:r>
              <w:rPr>
                <w:color w:val="auto"/>
                <w:szCs w:val="21"/>
                <w:highlight w:val="none"/>
              </w:rPr>
              <w:t>长期</w:t>
            </w:r>
          </w:p>
        </w:tc>
      </w:tr>
      <w:tr w14:paraId="2E0C2B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73" w:type="pct"/>
            <w:vMerge w:val="continue"/>
            <w:noWrap w:val="0"/>
            <w:vAlign w:val="center"/>
          </w:tcPr>
          <w:p w14:paraId="391F0D3B">
            <w:pPr>
              <w:pStyle w:val="245"/>
              <w:spacing w:line="240" w:lineRule="auto"/>
              <w:rPr>
                <w:color w:val="auto"/>
                <w:szCs w:val="21"/>
                <w:highlight w:val="none"/>
              </w:rPr>
            </w:pPr>
          </w:p>
        </w:tc>
        <w:tc>
          <w:tcPr>
            <w:tcW w:w="715" w:type="pct"/>
            <w:noWrap w:val="0"/>
            <w:vAlign w:val="center"/>
          </w:tcPr>
          <w:p w14:paraId="4360EEA7">
            <w:pPr>
              <w:pStyle w:val="245"/>
              <w:spacing w:line="240" w:lineRule="auto"/>
              <w:rPr>
                <w:color w:val="auto"/>
                <w:szCs w:val="21"/>
                <w:highlight w:val="none"/>
              </w:rPr>
            </w:pPr>
            <w:r>
              <w:rPr>
                <w:color w:val="auto"/>
                <w:szCs w:val="21"/>
                <w:highlight w:val="none"/>
              </w:rPr>
              <w:t>环境风险</w:t>
            </w:r>
          </w:p>
        </w:tc>
        <w:tc>
          <w:tcPr>
            <w:tcW w:w="714" w:type="pct"/>
            <w:noWrap w:val="0"/>
            <w:vAlign w:val="center"/>
          </w:tcPr>
          <w:p w14:paraId="4C744427">
            <w:pPr>
              <w:pStyle w:val="245"/>
              <w:spacing w:line="240" w:lineRule="auto"/>
              <w:rPr>
                <w:color w:val="auto"/>
                <w:szCs w:val="21"/>
                <w:highlight w:val="none"/>
              </w:rPr>
            </w:pPr>
            <w:r>
              <w:rPr>
                <w:color w:val="auto"/>
                <w:szCs w:val="21"/>
                <w:highlight w:val="none"/>
              </w:rPr>
              <w:t>不明显</w:t>
            </w:r>
          </w:p>
        </w:tc>
        <w:tc>
          <w:tcPr>
            <w:tcW w:w="1140" w:type="pct"/>
            <w:noWrap w:val="0"/>
            <w:vAlign w:val="center"/>
          </w:tcPr>
          <w:p w14:paraId="5FFC367A">
            <w:pPr>
              <w:pStyle w:val="245"/>
              <w:spacing w:line="240" w:lineRule="auto"/>
              <w:rPr>
                <w:color w:val="auto"/>
                <w:szCs w:val="21"/>
                <w:highlight w:val="none"/>
              </w:rPr>
            </w:pPr>
            <w:r>
              <w:rPr>
                <w:color w:val="auto"/>
                <w:szCs w:val="21"/>
                <w:highlight w:val="none"/>
              </w:rPr>
              <w:t>有后续影响</w:t>
            </w:r>
          </w:p>
        </w:tc>
        <w:tc>
          <w:tcPr>
            <w:tcW w:w="714" w:type="pct"/>
            <w:noWrap w:val="0"/>
            <w:vAlign w:val="center"/>
          </w:tcPr>
          <w:p w14:paraId="4D811402">
            <w:pPr>
              <w:pStyle w:val="245"/>
              <w:spacing w:line="240" w:lineRule="auto"/>
              <w:rPr>
                <w:color w:val="auto"/>
                <w:szCs w:val="21"/>
                <w:highlight w:val="none"/>
              </w:rPr>
            </w:pPr>
            <w:r>
              <w:rPr>
                <w:color w:val="auto"/>
                <w:szCs w:val="21"/>
                <w:highlight w:val="none"/>
              </w:rPr>
              <w:t>基本可逆</w:t>
            </w:r>
          </w:p>
        </w:tc>
        <w:tc>
          <w:tcPr>
            <w:tcW w:w="714" w:type="pct"/>
            <w:noWrap w:val="0"/>
            <w:vAlign w:val="center"/>
          </w:tcPr>
          <w:p w14:paraId="24222D9C">
            <w:pPr>
              <w:pStyle w:val="245"/>
              <w:spacing w:line="240" w:lineRule="auto"/>
              <w:rPr>
                <w:rFonts w:hint="eastAsia" w:eastAsia="宋体"/>
                <w:color w:val="auto"/>
                <w:szCs w:val="21"/>
                <w:highlight w:val="none"/>
                <w:lang w:val="en-US" w:eastAsia="zh-CN"/>
              </w:rPr>
            </w:pPr>
            <w:r>
              <w:rPr>
                <w:rFonts w:hint="eastAsia"/>
                <w:color w:val="auto"/>
                <w:szCs w:val="21"/>
                <w:highlight w:val="none"/>
                <w:lang w:val="en-US" w:eastAsia="zh-CN"/>
              </w:rPr>
              <w:t>局部</w:t>
            </w:r>
          </w:p>
        </w:tc>
        <w:tc>
          <w:tcPr>
            <w:tcW w:w="430" w:type="pct"/>
            <w:noWrap w:val="0"/>
            <w:vAlign w:val="center"/>
          </w:tcPr>
          <w:p w14:paraId="35E29560">
            <w:pPr>
              <w:pStyle w:val="245"/>
              <w:spacing w:line="240" w:lineRule="auto"/>
              <w:rPr>
                <w:rFonts w:hint="eastAsia" w:eastAsia="宋体"/>
                <w:color w:val="auto"/>
                <w:szCs w:val="21"/>
                <w:highlight w:val="none"/>
                <w:lang w:val="en-US" w:eastAsia="zh-CN"/>
              </w:rPr>
            </w:pPr>
            <w:r>
              <w:rPr>
                <w:rFonts w:hint="eastAsia"/>
                <w:color w:val="auto"/>
                <w:szCs w:val="21"/>
                <w:highlight w:val="none"/>
                <w:lang w:val="en-US" w:eastAsia="zh-CN"/>
              </w:rPr>
              <w:t>短期</w:t>
            </w:r>
          </w:p>
        </w:tc>
      </w:tr>
    </w:tbl>
    <w:p w14:paraId="2D617679">
      <w:pPr>
        <w:pStyle w:val="6"/>
        <w:rPr>
          <w:color w:val="auto"/>
          <w:highlight w:val="none"/>
        </w:rPr>
      </w:pPr>
      <w:r>
        <w:rPr>
          <w:rFonts w:hint="eastAsia"/>
          <w:color w:val="auto"/>
          <w:highlight w:val="none"/>
          <w:lang w:val="en-US" w:eastAsia="zh-CN"/>
        </w:rPr>
        <w:t xml:space="preserve"> </w:t>
      </w:r>
      <w:r>
        <w:rPr>
          <w:rFonts w:hint="eastAsia"/>
          <w:color w:val="auto"/>
          <w:highlight w:val="none"/>
        </w:rPr>
        <w:t>环境影响评价因子识别</w:t>
      </w:r>
    </w:p>
    <w:p w14:paraId="6DC3FD35">
      <w:pPr>
        <w:ind w:firstLine="480"/>
        <w:rPr>
          <w:color w:val="auto"/>
          <w:highlight w:val="none"/>
        </w:rPr>
      </w:pPr>
      <w:r>
        <w:rPr>
          <w:rFonts w:hint="eastAsia"/>
          <w:color w:val="auto"/>
          <w:highlight w:val="none"/>
        </w:rPr>
        <w:t>根据生产运行期对环境影响分析及区域环境制约因素分析结果，主要环境问题为项目生产过程中产生的废气污染。结合工程分析，工程建设对环境的影响要素及因子见表</w:t>
      </w:r>
      <w:r>
        <w:rPr>
          <w:color w:val="auto"/>
          <w:highlight w:val="none"/>
        </w:rPr>
        <w:t>2.3-3</w:t>
      </w:r>
      <w:r>
        <w:rPr>
          <w:rFonts w:hint="eastAsia"/>
          <w:color w:val="auto"/>
          <w:highlight w:val="none"/>
        </w:rPr>
        <w:t>。</w:t>
      </w:r>
    </w:p>
    <w:p w14:paraId="25CA395A">
      <w:pPr>
        <w:pStyle w:val="199"/>
        <w:spacing w:before="120"/>
        <w:rPr>
          <w:color w:val="auto"/>
          <w:sz w:val="24"/>
          <w:highlight w:val="none"/>
        </w:rPr>
      </w:pPr>
      <w:r>
        <w:rPr>
          <w:rFonts w:hint="eastAsia"/>
          <w:color w:val="auto"/>
          <w:sz w:val="24"/>
          <w:highlight w:val="none"/>
        </w:rPr>
        <w:t>表</w:t>
      </w:r>
      <w:r>
        <w:rPr>
          <w:color w:val="auto"/>
          <w:sz w:val="24"/>
          <w:highlight w:val="none"/>
        </w:rPr>
        <w:t xml:space="preserve">2.3-3   </w:t>
      </w:r>
      <w:r>
        <w:rPr>
          <w:rFonts w:hint="eastAsia"/>
          <w:color w:val="auto"/>
          <w:sz w:val="24"/>
          <w:highlight w:val="none"/>
        </w:rPr>
        <w:t>环境要素及污染因子分析</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81"/>
        <w:gridCol w:w="3282"/>
        <w:gridCol w:w="3153"/>
      </w:tblGrid>
      <w:tr w14:paraId="7BF4C4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2" w:type="pct"/>
            <w:tcBorders>
              <w:top w:val="single" w:color="auto" w:sz="12" w:space="0"/>
              <w:left w:val="nil"/>
              <w:bottom w:val="single" w:color="auto" w:sz="6" w:space="0"/>
              <w:tl2br w:val="single" w:color="auto" w:sz="6" w:space="0"/>
            </w:tcBorders>
            <w:noWrap w:val="0"/>
            <w:vAlign w:val="center"/>
          </w:tcPr>
          <w:p w14:paraId="7C61874D">
            <w:pPr>
              <w:pStyle w:val="245"/>
              <w:spacing w:line="240" w:lineRule="auto"/>
              <w:jc w:val="right"/>
              <w:rPr>
                <w:color w:val="auto"/>
                <w:highlight w:val="none"/>
              </w:rPr>
            </w:pPr>
            <w:r>
              <w:rPr>
                <w:rFonts w:hint="eastAsia"/>
                <w:color w:val="auto"/>
                <w:highlight w:val="none"/>
              </w:rPr>
              <w:t>主要产生环节</w:t>
            </w:r>
          </w:p>
          <w:p w14:paraId="7B538348">
            <w:pPr>
              <w:pStyle w:val="245"/>
              <w:spacing w:line="240" w:lineRule="auto"/>
              <w:jc w:val="left"/>
              <w:rPr>
                <w:color w:val="auto"/>
                <w:highlight w:val="none"/>
              </w:rPr>
            </w:pPr>
            <w:r>
              <w:rPr>
                <w:rFonts w:hint="eastAsia"/>
                <w:color w:val="auto"/>
                <w:highlight w:val="none"/>
              </w:rPr>
              <w:t>环境要素</w:t>
            </w:r>
          </w:p>
        </w:tc>
        <w:tc>
          <w:tcPr>
            <w:tcW w:w="1927" w:type="pct"/>
            <w:tcBorders>
              <w:top w:val="single" w:color="auto" w:sz="12" w:space="0"/>
              <w:bottom w:val="single" w:color="auto" w:sz="6" w:space="0"/>
            </w:tcBorders>
            <w:noWrap w:val="0"/>
            <w:vAlign w:val="center"/>
          </w:tcPr>
          <w:p w14:paraId="6E55642A">
            <w:pPr>
              <w:pStyle w:val="245"/>
              <w:spacing w:line="240" w:lineRule="auto"/>
              <w:rPr>
                <w:color w:val="auto"/>
                <w:highlight w:val="none"/>
              </w:rPr>
            </w:pPr>
            <w:r>
              <w:rPr>
                <w:rFonts w:hint="eastAsia"/>
                <w:color w:val="auto"/>
                <w:highlight w:val="none"/>
              </w:rPr>
              <w:t>生产</w:t>
            </w:r>
          </w:p>
        </w:tc>
        <w:tc>
          <w:tcPr>
            <w:tcW w:w="1851" w:type="pct"/>
            <w:tcBorders>
              <w:top w:val="single" w:color="auto" w:sz="12" w:space="0"/>
              <w:bottom w:val="single" w:color="auto" w:sz="6" w:space="0"/>
              <w:right w:val="nil"/>
            </w:tcBorders>
            <w:noWrap w:val="0"/>
            <w:vAlign w:val="center"/>
          </w:tcPr>
          <w:p w14:paraId="48A03128">
            <w:pPr>
              <w:pStyle w:val="245"/>
              <w:spacing w:line="240" w:lineRule="auto"/>
              <w:rPr>
                <w:color w:val="auto"/>
                <w:highlight w:val="none"/>
              </w:rPr>
            </w:pPr>
            <w:r>
              <w:rPr>
                <w:rFonts w:hint="eastAsia"/>
                <w:color w:val="auto"/>
                <w:highlight w:val="none"/>
              </w:rPr>
              <w:t>办公、生活</w:t>
            </w:r>
          </w:p>
        </w:tc>
      </w:tr>
      <w:tr w14:paraId="5D0A42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2" w:type="pct"/>
            <w:tcBorders>
              <w:top w:val="single" w:color="auto" w:sz="6" w:space="0"/>
              <w:left w:val="nil"/>
              <w:bottom w:val="single" w:color="auto" w:sz="6" w:space="0"/>
            </w:tcBorders>
            <w:noWrap w:val="0"/>
            <w:vAlign w:val="center"/>
          </w:tcPr>
          <w:p w14:paraId="4A369EC2">
            <w:pPr>
              <w:pStyle w:val="245"/>
              <w:spacing w:line="240" w:lineRule="auto"/>
              <w:rPr>
                <w:color w:val="auto"/>
                <w:highlight w:val="none"/>
              </w:rPr>
            </w:pPr>
            <w:r>
              <w:rPr>
                <w:rFonts w:hint="eastAsia"/>
                <w:color w:val="auto"/>
                <w:highlight w:val="none"/>
              </w:rPr>
              <w:t>大气</w:t>
            </w:r>
          </w:p>
        </w:tc>
        <w:tc>
          <w:tcPr>
            <w:tcW w:w="1927" w:type="pct"/>
            <w:tcBorders>
              <w:top w:val="single" w:color="auto" w:sz="6" w:space="0"/>
              <w:bottom w:val="single" w:color="auto" w:sz="6" w:space="0"/>
            </w:tcBorders>
            <w:noWrap w:val="0"/>
            <w:vAlign w:val="center"/>
          </w:tcPr>
          <w:p w14:paraId="7964EEA0">
            <w:pPr>
              <w:pStyle w:val="245"/>
              <w:spacing w:line="240" w:lineRule="auto"/>
              <w:rPr>
                <w:rFonts w:hint="default" w:eastAsia="宋体"/>
                <w:color w:val="auto"/>
                <w:highlight w:val="none"/>
                <w:lang w:val="en-US" w:eastAsia="zh-CN"/>
              </w:rPr>
            </w:pPr>
            <w:r>
              <w:rPr>
                <w:rFonts w:hint="eastAsia"/>
                <w:bCs/>
                <w:color w:val="auto"/>
                <w:szCs w:val="21"/>
                <w:highlight w:val="none"/>
                <w:lang w:val="en-US" w:eastAsia="zh-CN"/>
              </w:rPr>
              <w:t>颗粒物</w:t>
            </w:r>
          </w:p>
        </w:tc>
        <w:tc>
          <w:tcPr>
            <w:tcW w:w="1851" w:type="pct"/>
            <w:tcBorders>
              <w:top w:val="single" w:color="auto" w:sz="6" w:space="0"/>
              <w:bottom w:val="single" w:color="auto" w:sz="6" w:space="0"/>
              <w:right w:val="nil"/>
            </w:tcBorders>
            <w:noWrap w:val="0"/>
            <w:vAlign w:val="center"/>
          </w:tcPr>
          <w:p w14:paraId="044197A5">
            <w:pPr>
              <w:pStyle w:val="245"/>
              <w:spacing w:line="240" w:lineRule="auto"/>
              <w:rPr>
                <w:color w:val="auto"/>
                <w:highlight w:val="none"/>
              </w:rPr>
            </w:pPr>
            <w:r>
              <w:rPr>
                <w:color w:val="auto"/>
                <w:highlight w:val="none"/>
              </w:rPr>
              <w:t>/</w:t>
            </w:r>
          </w:p>
        </w:tc>
      </w:tr>
      <w:tr w14:paraId="4206DC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2" w:type="pct"/>
            <w:tcBorders>
              <w:top w:val="single" w:color="auto" w:sz="6" w:space="0"/>
              <w:left w:val="nil"/>
              <w:bottom w:val="single" w:color="auto" w:sz="6" w:space="0"/>
            </w:tcBorders>
            <w:noWrap w:val="0"/>
            <w:vAlign w:val="center"/>
          </w:tcPr>
          <w:p w14:paraId="72EEDDB4">
            <w:pPr>
              <w:pStyle w:val="245"/>
              <w:spacing w:line="240" w:lineRule="auto"/>
              <w:rPr>
                <w:color w:val="auto"/>
                <w:highlight w:val="none"/>
              </w:rPr>
            </w:pPr>
            <w:r>
              <w:rPr>
                <w:rFonts w:hint="eastAsia"/>
                <w:color w:val="auto"/>
                <w:highlight w:val="none"/>
              </w:rPr>
              <w:t>水环境</w:t>
            </w:r>
          </w:p>
        </w:tc>
        <w:tc>
          <w:tcPr>
            <w:tcW w:w="1927" w:type="pct"/>
            <w:tcBorders>
              <w:top w:val="single" w:color="auto" w:sz="6" w:space="0"/>
              <w:bottom w:val="single" w:color="auto" w:sz="6" w:space="0"/>
            </w:tcBorders>
            <w:noWrap w:val="0"/>
            <w:vAlign w:val="center"/>
          </w:tcPr>
          <w:p w14:paraId="0A8DF672">
            <w:pPr>
              <w:pStyle w:val="245"/>
              <w:spacing w:line="240" w:lineRule="auto"/>
              <w:rPr>
                <w:rFonts w:hint="default" w:eastAsia="宋体"/>
                <w:color w:val="auto"/>
                <w:highlight w:val="none"/>
                <w:lang w:val="en-US" w:eastAsia="zh-CN"/>
              </w:rPr>
            </w:pPr>
            <w:r>
              <w:rPr>
                <w:rFonts w:hint="eastAsia"/>
                <w:color w:val="auto"/>
                <w:highlight w:val="none"/>
                <w:lang w:val="en-US" w:eastAsia="zh-CN"/>
              </w:rPr>
              <w:t>pH、氟化物、SS</w:t>
            </w:r>
          </w:p>
        </w:tc>
        <w:tc>
          <w:tcPr>
            <w:tcW w:w="1851" w:type="pct"/>
            <w:tcBorders>
              <w:top w:val="single" w:color="auto" w:sz="6" w:space="0"/>
              <w:bottom w:val="single" w:color="auto" w:sz="6" w:space="0"/>
              <w:right w:val="nil"/>
            </w:tcBorders>
            <w:noWrap w:val="0"/>
            <w:vAlign w:val="center"/>
          </w:tcPr>
          <w:p w14:paraId="3EAED9B4">
            <w:pPr>
              <w:pStyle w:val="245"/>
              <w:spacing w:line="240" w:lineRule="auto"/>
              <w:rPr>
                <w:rFonts w:hint="default" w:eastAsia="宋体"/>
                <w:color w:val="auto"/>
                <w:highlight w:val="none"/>
                <w:lang w:val="en-US" w:eastAsia="zh-CN"/>
              </w:rPr>
            </w:pPr>
            <w:r>
              <w:rPr>
                <w:rFonts w:hint="eastAsia"/>
                <w:color w:val="auto"/>
                <w:highlight w:val="none"/>
                <w:lang w:val="en-US" w:eastAsia="zh-CN"/>
              </w:rPr>
              <w:t>PH、</w:t>
            </w:r>
            <w:r>
              <w:rPr>
                <w:color w:val="auto"/>
                <w:highlight w:val="none"/>
              </w:rPr>
              <w:t>COD</w:t>
            </w:r>
            <w:r>
              <w:rPr>
                <w:rFonts w:hint="eastAsia"/>
                <w:color w:val="auto"/>
                <w:highlight w:val="none"/>
              </w:rPr>
              <w:t>、</w:t>
            </w:r>
            <w:r>
              <w:rPr>
                <w:color w:val="auto"/>
                <w:highlight w:val="none"/>
              </w:rPr>
              <w:t>BOD</w:t>
            </w:r>
            <w:r>
              <w:rPr>
                <w:color w:val="auto"/>
                <w:highlight w:val="none"/>
                <w:vertAlign w:val="subscript"/>
              </w:rPr>
              <w:t>5</w:t>
            </w:r>
            <w:r>
              <w:rPr>
                <w:rFonts w:hint="eastAsia"/>
                <w:color w:val="auto"/>
                <w:highlight w:val="none"/>
              </w:rPr>
              <w:t>、氨氮、</w:t>
            </w:r>
            <w:r>
              <w:rPr>
                <w:color w:val="auto"/>
                <w:highlight w:val="none"/>
              </w:rPr>
              <w:t>SS</w:t>
            </w:r>
            <w:r>
              <w:rPr>
                <w:rFonts w:hint="eastAsia"/>
                <w:color w:val="auto"/>
                <w:highlight w:val="none"/>
                <w:lang w:eastAsia="zh-CN"/>
              </w:rPr>
              <w:t>、</w:t>
            </w:r>
            <w:r>
              <w:rPr>
                <w:rFonts w:hint="eastAsia"/>
                <w:color w:val="auto"/>
                <w:highlight w:val="none"/>
                <w:lang w:val="en-US" w:eastAsia="zh-CN"/>
              </w:rPr>
              <w:t>动植物油</w:t>
            </w:r>
          </w:p>
        </w:tc>
      </w:tr>
      <w:tr w14:paraId="5A2972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2" w:type="pct"/>
            <w:tcBorders>
              <w:top w:val="single" w:color="auto" w:sz="6" w:space="0"/>
              <w:left w:val="nil"/>
              <w:bottom w:val="single" w:color="auto" w:sz="6" w:space="0"/>
            </w:tcBorders>
            <w:noWrap w:val="0"/>
            <w:vAlign w:val="center"/>
          </w:tcPr>
          <w:p w14:paraId="61D5DE7C">
            <w:pPr>
              <w:pStyle w:val="245"/>
              <w:spacing w:line="240" w:lineRule="auto"/>
              <w:rPr>
                <w:rFonts w:hint="default" w:eastAsia="宋体"/>
                <w:color w:val="auto"/>
                <w:highlight w:val="none"/>
                <w:lang w:val="en-US" w:eastAsia="zh-CN"/>
              </w:rPr>
            </w:pPr>
            <w:r>
              <w:rPr>
                <w:rFonts w:hint="eastAsia"/>
                <w:color w:val="auto"/>
                <w:highlight w:val="none"/>
                <w:lang w:val="en-US" w:eastAsia="zh-CN"/>
              </w:rPr>
              <w:t>土壤环境</w:t>
            </w:r>
          </w:p>
        </w:tc>
        <w:tc>
          <w:tcPr>
            <w:tcW w:w="1927" w:type="pct"/>
            <w:tcBorders>
              <w:top w:val="single" w:color="auto" w:sz="6" w:space="0"/>
              <w:bottom w:val="single" w:color="auto" w:sz="6" w:space="0"/>
            </w:tcBorders>
            <w:noWrap w:val="0"/>
            <w:vAlign w:val="center"/>
          </w:tcPr>
          <w:p w14:paraId="5F2E4EB1">
            <w:pPr>
              <w:pStyle w:val="245"/>
              <w:spacing w:line="240" w:lineRule="auto"/>
              <w:rPr>
                <w:rFonts w:hint="default" w:eastAsia="宋体"/>
                <w:color w:val="auto"/>
                <w:highlight w:val="none"/>
                <w:lang w:val="en-US" w:eastAsia="zh-CN"/>
              </w:rPr>
            </w:pPr>
            <w:r>
              <w:rPr>
                <w:rFonts w:hint="eastAsia"/>
                <w:color w:val="auto"/>
                <w:highlight w:val="none"/>
                <w:lang w:val="en-US" w:eastAsia="zh-CN"/>
              </w:rPr>
              <w:t>氟化物</w:t>
            </w:r>
          </w:p>
        </w:tc>
        <w:tc>
          <w:tcPr>
            <w:tcW w:w="1851" w:type="pct"/>
            <w:tcBorders>
              <w:top w:val="single" w:color="auto" w:sz="6" w:space="0"/>
              <w:bottom w:val="single" w:color="auto" w:sz="6" w:space="0"/>
              <w:right w:val="nil"/>
            </w:tcBorders>
            <w:noWrap w:val="0"/>
            <w:vAlign w:val="center"/>
          </w:tcPr>
          <w:p w14:paraId="2FC177B0">
            <w:pPr>
              <w:pStyle w:val="245"/>
              <w:spacing w:line="240" w:lineRule="auto"/>
              <w:rPr>
                <w:rFonts w:hint="default"/>
                <w:color w:val="auto"/>
                <w:highlight w:val="none"/>
                <w:lang w:val="en-US" w:eastAsia="zh-CN"/>
              </w:rPr>
            </w:pPr>
            <w:r>
              <w:rPr>
                <w:rFonts w:hint="eastAsia"/>
                <w:color w:val="auto"/>
                <w:highlight w:val="none"/>
                <w:lang w:val="en-US" w:eastAsia="zh-CN"/>
              </w:rPr>
              <w:t>/</w:t>
            </w:r>
          </w:p>
        </w:tc>
      </w:tr>
      <w:tr w14:paraId="71F92E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2" w:type="pct"/>
            <w:tcBorders>
              <w:top w:val="single" w:color="auto" w:sz="6" w:space="0"/>
              <w:left w:val="nil"/>
              <w:bottom w:val="single" w:color="auto" w:sz="6" w:space="0"/>
            </w:tcBorders>
            <w:noWrap w:val="0"/>
            <w:vAlign w:val="center"/>
          </w:tcPr>
          <w:p w14:paraId="23346013">
            <w:pPr>
              <w:pStyle w:val="245"/>
              <w:spacing w:line="240" w:lineRule="auto"/>
              <w:rPr>
                <w:color w:val="auto"/>
                <w:highlight w:val="none"/>
              </w:rPr>
            </w:pPr>
            <w:r>
              <w:rPr>
                <w:rFonts w:hint="eastAsia"/>
                <w:color w:val="auto"/>
                <w:highlight w:val="none"/>
              </w:rPr>
              <w:t>噪声</w:t>
            </w:r>
          </w:p>
        </w:tc>
        <w:tc>
          <w:tcPr>
            <w:tcW w:w="1927" w:type="pct"/>
            <w:tcBorders>
              <w:top w:val="single" w:color="auto" w:sz="6" w:space="0"/>
              <w:bottom w:val="single" w:color="auto" w:sz="6" w:space="0"/>
            </w:tcBorders>
            <w:noWrap w:val="0"/>
            <w:vAlign w:val="center"/>
          </w:tcPr>
          <w:p w14:paraId="0D2D36DA">
            <w:pPr>
              <w:pStyle w:val="245"/>
              <w:spacing w:line="240" w:lineRule="auto"/>
              <w:rPr>
                <w:color w:val="auto"/>
                <w:highlight w:val="none"/>
              </w:rPr>
            </w:pPr>
            <w:r>
              <w:rPr>
                <w:rFonts w:hint="eastAsia"/>
                <w:color w:val="auto"/>
                <w:highlight w:val="none"/>
              </w:rPr>
              <w:t>等效连续</w:t>
            </w:r>
            <w:r>
              <w:rPr>
                <w:color w:val="auto"/>
                <w:highlight w:val="none"/>
              </w:rPr>
              <w:t>A</w:t>
            </w:r>
            <w:r>
              <w:rPr>
                <w:rFonts w:hint="eastAsia"/>
                <w:color w:val="auto"/>
                <w:highlight w:val="none"/>
              </w:rPr>
              <w:t>声级</w:t>
            </w:r>
          </w:p>
        </w:tc>
        <w:tc>
          <w:tcPr>
            <w:tcW w:w="1851" w:type="pct"/>
            <w:tcBorders>
              <w:top w:val="single" w:color="auto" w:sz="6" w:space="0"/>
              <w:bottom w:val="single" w:color="auto" w:sz="6" w:space="0"/>
              <w:right w:val="nil"/>
            </w:tcBorders>
            <w:noWrap w:val="0"/>
            <w:vAlign w:val="center"/>
          </w:tcPr>
          <w:p w14:paraId="1076F274">
            <w:pPr>
              <w:pStyle w:val="245"/>
              <w:spacing w:line="240" w:lineRule="auto"/>
              <w:rPr>
                <w:color w:val="auto"/>
                <w:highlight w:val="none"/>
              </w:rPr>
            </w:pPr>
            <w:r>
              <w:rPr>
                <w:color w:val="auto"/>
                <w:highlight w:val="none"/>
              </w:rPr>
              <w:t>/</w:t>
            </w:r>
          </w:p>
        </w:tc>
      </w:tr>
      <w:tr w14:paraId="76F63D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2" w:type="pct"/>
            <w:tcBorders>
              <w:top w:val="single" w:color="auto" w:sz="6" w:space="0"/>
              <w:left w:val="nil"/>
              <w:bottom w:val="single" w:color="auto" w:sz="6" w:space="0"/>
            </w:tcBorders>
            <w:noWrap w:val="0"/>
            <w:vAlign w:val="center"/>
          </w:tcPr>
          <w:p w14:paraId="45DFF112">
            <w:pPr>
              <w:pStyle w:val="245"/>
              <w:spacing w:line="240" w:lineRule="auto"/>
              <w:rPr>
                <w:color w:val="auto"/>
                <w:highlight w:val="none"/>
              </w:rPr>
            </w:pPr>
            <w:r>
              <w:rPr>
                <w:rFonts w:hint="eastAsia"/>
                <w:color w:val="auto"/>
                <w:highlight w:val="none"/>
              </w:rPr>
              <w:t>固体废物</w:t>
            </w:r>
          </w:p>
        </w:tc>
        <w:tc>
          <w:tcPr>
            <w:tcW w:w="1927" w:type="pct"/>
            <w:tcBorders>
              <w:top w:val="single" w:color="auto" w:sz="6" w:space="0"/>
              <w:bottom w:val="single" w:color="auto" w:sz="6" w:space="0"/>
            </w:tcBorders>
            <w:noWrap w:val="0"/>
            <w:vAlign w:val="center"/>
          </w:tcPr>
          <w:p w14:paraId="027CBF07">
            <w:pPr>
              <w:pStyle w:val="245"/>
              <w:spacing w:line="240" w:lineRule="auto"/>
              <w:rPr>
                <w:rFonts w:hint="default" w:eastAsia="宋体"/>
                <w:color w:val="auto"/>
                <w:highlight w:val="none"/>
                <w:lang w:val="en-US" w:eastAsia="zh-CN"/>
              </w:rPr>
            </w:pPr>
            <w:r>
              <w:rPr>
                <w:rFonts w:hint="eastAsia"/>
                <w:color w:val="auto"/>
                <w:highlight w:val="none"/>
                <w:lang w:val="en-US" w:eastAsia="zh-CN"/>
              </w:rPr>
              <w:t>尾矿砂、废矿物油</w:t>
            </w:r>
          </w:p>
        </w:tc>
        <w:tc>
          <w:tcPr>
            <w:tcW w:w="1851" w:type="pct"/>
            <w:tcBorders>
              <w:top w:val="single" w:color="auto" w:sz="6" w:space="0"/>
              <w:bottom w:val="single" w:color="auto" w:sz="6" w:space="0"/>
              <w:right w:val="nil"/>
            </w:tcBorders>
            <w:noWrap w:val="0"/>
            <w:vAlign w:val="center"/>
          </w:tcPr>
          <w:p w14:paraId="467C2DB9">
            <w:pPr>
              <w:pStyle w:val="245"/>
              <w:spacing w:line="240" w:lineRule="auto"/>
              <w:rPr>
                <w:color w:val="auto"/>
                <w:highlight w:val="none"/>
              </w:rPr>
            </w:pPr>
            <w:r>
              <w:rPr>
                <w:rFonts w:hint="eastAsia"/>
                <w:color w:val="auto"/>
                <w:highlight w:val="none"/>
              </w:rPr>
              <w:t>生活垃圾</w:t>
            </w:r>
          </w:p>
        </w:tc>
      </w:tr>
      <w:tr w14:paraId="4E09FD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1" w:hRule="atLeast"/>
        </w:trPr>
        <w:tc>
          <w:tcPr>
            <w:tcW w:w="1222" w:type="pct"/>
            <w:tcBorders>
              <w:top w:val="single" w:color="auto" w:sz="6" w:space="0"/>
              <w:left w:val="nil"/>
              <w:bottom w:val="single" w:color="auto" w:sz="12" w:space="0"/>
            </w:tcBorders>
            <w:noWrap w:val="0"/>
            <w:vAlign w:val="center"/>
          </w:tcPr>
          <w:p w14:paraId="48196E01">
            <w:pPr>
              <w:pStyle w:val="245"/>
              <w:spacing w:line="240" w:lineRule="auto"/>
              <w:rPr>
                <w:color w:val="auto"/>
                <w:highlight w:val="none"/>
              </w:rPr>
            </w:pPr>
            <w:r>
              <w:rPr>
                <w:rFonts w:hint="eastAsia"/>
                <w:color w:val="auto"/>
                <w:highlight w:val="none"/>
              </w:rPr>
              <w:t>环境风险</w:t>
            </w:r>
          </w:p>
        </w:tc>
        <w:tc>
          <w:tcPr>
            <w:tcW w:w="1927" w:type="pct"/>
            <w:tcBorders>
              <w:top w:val="single" w:color="auto" w:sz="6" w:space="0"/>
              <w:bottom w:val="single" w:color="auto" w:sz="12" w:space="0"/>
            </w:tcBorders>
            <w:noWrap w:val="0"/>
            <w:vAlign w:val="center"/>
          </w:tcPr>
          <w:p w14:paraId="39307C0F">
            <w:pPr>
              <w:pStyle w:val="245"/>
              <w:spacing w:line="240" w:lineRule="auto"/>
              <w:rPr>
                <w:rFonts w:hint="eastAsia" w:eastAsia="宋体"/>
                <w:color w:val="auto"/>
                <w:highlight w:val="none"/>
                <w:lang w:eastAsia="zh-CN"/>
              </w:rPr>
            </w:pPr>
            <w:r>
              <w:rPr>
                <w:rFonts w:hint="eastAsia"/>
                <w:color w:val="auto"/>
                <w:szCs w:val="21"/>
                <w:highlight w:val="none"/>
                <w:lang w:val="en-US" w:eastAsia="zh-CN"/>
              </w:rPr>
              <w:t>矿物油</w:t>
            </w:r>
          </w:p>
        </w:tc>
        <w:tc>
          <w:tcPr>
            <w:tcW w:w="1851" w:type="pct"/>
            <w:tcBorders>
              <w:top w:val="single" w:color="auto" w:sz="6" w:space="0"/>
              <w:bottom w:val="single" w:color="auto" w:sz="12" w:space="0"/>
              <w:right w:val="nil"/>
            </w:tcBorders>
            <w:noWrap w:val="0"/>
            <w:vAlign w:val="center"/>
          </w:tcPr>
          <w:p w14:paraId="78B3B05B">
            <w:pPr>
              <w:pStyle w:val="245"/>
              <w:spacing w:line="240" w:lineRule="auto"/>
              <w:rPr>
                <w:color w:val="auto"/>
                <w:highlight w:val="none"/>
              </w:rPr>
            </w:pPr>
            <w:r>
              <w:rPr>
                <w:color w:val="auto"/>
                <w:highlight w:val="none"/>
              </w:rPr>
              <w:t>/</w:t>
            </w:r>
          </w:p>
        </w:tc>
      </w:tr>
    </w:tbl>
    <w:p w14:paraId="0FCC7149">
      <w:pPr>
        <w:pStyle w:val="6"/>
        <w:rPr>
          <w:color w:val="auto"/>
          <w:highlight w:val="none"/>
        </w:rPr>
      </w:pPr>
      <w:r>
        <w:rPr>
          <w:rFonts w:hint="eastAsia"/>
          <w:color w:val="auto"/>
          <w:highlight w:val="none"/>
          <w:lang w:val="en-US" w:eastAsia="zh-CN"/>
        </w:rPr>
        <w:t xml:space="preserve"> </w:t>
      </w:r>
      <w:r>
        <w:rPr>
          <w:rFonts w:hint="eastAsia"/>
          <w:color w:val="auto"/>
          <w:highlight w:val="none"/>
        </w:rPr>
        <w:t>评价因子筛选</w:t>
      </w:r>
    </w:p>
    <w:p w14:paraId="103AD8EB">
      <w:pPr>
        <w:ind w:firstLine="480"/>
        <w:rPr>
          <w:rFonts w:hint="eastAsia"/>
          <w:color w:val="auto"/>
          <w:highlight w:val="none"/>
        </w:rPr>
      </w:pPr>
      <w:r>
        <w:rPr>
          <w:rFonts w:hint="eastAsia"/>
          <w:color w:val="auto"/>
          <w:highlight w:val="none"/>
        </w:rPr>
        <w:t>通过对本项目实施过程中产生的环境污染因素及污染因子进行分析，筛选确定环境影响评价因子。</w:t>
      </w:r>
    </w:p>
    <w:p w14:paraId="3E90735B">
      <w:pPr>
        <w:pStyle w:val="40"/>
        <w:rPr>
          <w:color w:val="auto"/>
          <w:highlight w:val="none"/>
        </w:rPr>
      </w:pPr>
    </w:p>
    <w:p w14:paraId="23EF1926">
      <w:pPr>
        <w:pStyle w:val="199"/>
        <w:spacing w:before="120"/>
        <w:rPr>
          <w:color w:val="auto"/>
          <w:sz w:val="24"/>
          <w:highlight w:val="none"/>
        </w:rPr>
      </w:pPr>
      <w:r>
        <w:rPr>
          <w:rFonts w:hint="eastAsia"/>
          <w:color w:val="auto"/>
          <w:sz w:val="24"/>
          <w:highlight w:val="none"/>
        </w:rPr>
        <w:t>表</w:t>
      </w:r>
      <w:r>
        <w:rPr>
          <w:color w:val="auto"/>
          <w:sz w:val="24"/>
          <w:highlight w:val="none"/>
        </w:rPr>
        <w:t>2.3-</w:t>
      </w:r>
      <w:r>
        <w:rPr>
          <w:rFonts w:hint="eastAsia"/>
          <w:color w:val="auto"/>
          <w:sz w:val="24"/>
          <w:highlight w:val="none"/>
        </w:rPr>
        <w:t>4</w:t>
      </w:r>
      <w:r>
        <w:rPr>
          <w:color w:val="auto"/>
          <w:sz w:val="24"/>
          <w:highlight w:val="none"/>
        </w:rPr>
        <w:t xml:space="preserve">  </w:t>
      </w:r>
      <w:r>
        <w:rPr>
          <w:rFonts w:hint="eastAsia"/>
          <w:color w:val="auto"/>
          <w:sz w:val="24"/>
          <w:highlight w:val="none"/>
        </w:rPr>
        <w:t>本项目环境影响评价因子筛选结果</w:t>
      </w:r>
    </w:p>
    <w:tbl>
      <w:tblPr>
        <w:tblStyle w:val="4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76"/>
        <w:gridCol w:w="1385"/>
        <w:gridCol w:w="6055"/>
      </w:tblGrid>
      <w:tr w14:paraId="4C9783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noWrap w:val="0"/>
            <w:vAlign w:val="center"/>
          </w:tcPr>
          <w:p w14:paraId="3C010FC1">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环境要素</w:t>
            </w:r>
          </w:p>
        </w:tc>
        <w:tc>
          <w:tcPr>
            <w:tcW w:w="813" w:type="pct"/>
            <w:noWrap w:val="0"/>
            <w:vAlign w:val="center"/>
          </w:tcPr>
          <w:p w14:paraId="5937C0E2">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评价专题</w:t>
            </w:r>
          </w:p>
        </w:tc>
        <w:tc>
          <w:tcPr>
            <w:tcW w:w="3555" w:type="pct"/>
            <w:noWrap w:val="0"/>
            <w:vAlign w:val="center"/>
          </w:tcPr>
          <w:p w14:paraId="190F6FE5">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评价因子</w:t>
            </w:r>
          </w:p>
        </w:tc>
      </w:tr>
      <w:tr w14:paraId="072AB6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vMerge w:val="restart"/>
            <w:noWrap w:val="0"/>
            <w:vAlign w:val="center"/>
          </w:tcPr>
          <w:p w14:paraId="2041399E">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环境空气</w:t>
            </w:r>
          </w:p>
        </w:tc>
        <w:tc>
          <w:tcPr>
            <w:tcW w:w="813" w:type="pct"/>
            <w:noWrap w:val="0"/>
            <w:vAlign w:val="center"/>
          </w:tcPr>
          <w:p w14:paraId="60C6EE88">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现状评价</w:t>
            </w:r>
          </w:p>
        </w:tc>
        <w:tc>
          <w:tcPr>
            <w:tcW w:w="3555" w:type="pct"/>
            <w:noWrap w:val="0"/>
            <w:vAlign w:val="center"/>
          </w:tcPr>
          <w:p w14:paraId="5E90E83C">
            <w:pPr>
              <w:spacing w:line="240" w:lineRule="auto"/>
              <w:ind w:firstLine="0" w:firstLineChars="0"/>
              <w:jc w:val="center"/>
              <w:rPr>
                <w:color w:val="auto"/>
                <w:kern w:val="0"/>
                <w:sz w:val="21"/>
                <w:szCs w:val="21"/>
                <w:highlight w:val="none"/>
              </w:rPr>
            </w:pPr>
            <w:r>
              <w:rPr>
                <w:bCs/>
                <w:color w:val="auto"/>
                <w:kern w:val="0"/>
                <w:sz w:val="21"/>
                <w:szCs w:val="21"/>
                <w:highlight w:val="none"/>
              </w:rPr>
              <w:t>SO</w:t>
            </w:r>
            <w:r>
              <w:rPr>
                <w:bCs/>
                <w:color w:val="auto"/>
                <w:kern w:val="0"/>
                <w:sz w:val="21"/>
                <w:szCs w:val="21"/>
                <w:highlight w:val="none"/>
                <w:vertAlign w:val="subscript"/>
              </w:rPr>
              <w:t>2</w:t>
            </w:r>
            <w:r>
              <w:rPr>
                <w:bCs/>
                <w:color w:val="auto"/>
                <w:kern w:val="0"/>
                <w:sz w:val="21"/>
                <w:szCs w:val="21"/>
                <w:highlight w:val="none"/>
              </w:rPr>
              <w:t>、NO</w:t>
            </w:r>
            <w:r>
              <w:rPr>
                <w:bCs/>
                <w:color w:val="auto"/>
                <w:kern w:val="0"/>
                <w:sz w:val="21"/>
                <w:szCs w:val="21"/>
                <w:highlight w:val="none"/>
                <w:vertAlign w:val="subscript"/>
              </w:rPr>
              <w:t>2</w:t>
            </w:r>
            <w:r>
              <w:rPr>
                <w:bCs/>
                <w:color w:val="auto"/>
                <w:kern w:val="0"/>
                <w:sz w:val="21"/>
                <w:szCs w:val="21"/>
                <w:highlight w:val="none"/>
              </w:rPr>
              <w:t>、TSP、PM</w:t>
            </w:r>
            <w:r>
              <w:rPr>
                <w:bCs/>
                <w:color w:val="auto"/>
                <w:kern w:val="0"/>
                <w:sz w:val="21"/>
                <w:szCs w:val="21"/>
                <w:highlight w:val="none"/>
                <w:vertAlign w:val="subscript"/>
              </w:rPr>
              <w:t>10</w:t>
            </w:r>
            <w:r>
              <w:rPr>
                <w:color w:val="auto"/>
                <w:kern w:val="0"/>
                <w:sz w:val="21"/>
                <w:szCs w:val="21"/>
                <w:highlight w:val="none"/>
              </w:rPr>
              <w:t>、</w:t>
            </w:r>
            <w:r>
              <w:rPr>
                <w:bCs/>
                <w:color w:val="auto"/>
                <w:kern w:val="0"/>
                <w:sz w:val="21"/>
                <w:szCs w:val="21"/>
                <w:highlight w:val="none"/>
              </w:rPr>
              <w:t>PM</w:t>
            </w:r>
            <w:r>
              <w:rPr>
                <w:bCs/>
                <w:color w:val="auto"/>
                <w:kern w:val="0"/>
                <w:sz w:val="21"/>
                <w:szCs w:val="21"/>
                <w:highlight w:val="none"/>
                <w:vertAlign w:val="subscript"/>
              </w:rPr>
              <w:t>2.5</w:t>
            </w:r>
            <w:r>
              <w:rPr>
                <w:color w:val="auto"/>
                <w:kern w:val="0"/>
                <w:sz w:val="21"/>
                <w:szCs w:val="21"/>
                <w:highlight w:val="none"/>
              </w:rPr>
              <w:t>、</w:t>
            </w:r>
            <w:r>
              <w:rPr>
                <w:rFonts w:hint="eastAsia"/>
                <w:color w:val="auto"/>
                <w:kern w:val="0"/>
                <w:sz w:val="21"/>
                <w:szCs w:val="21"/>
                <w:highlight w:val="none"/>
              </w:rPr>
              <w:t>CO、O</w:t>
            </w:r>
            <w:r>
              <w:rPr>
                <w:rFonts w:hint="eastAsia"/>
                <w:color w:val="auto"/>
                <w:kern w:val="0"/>
                <w:sz w:val="21"/>
                <w:szCs w:val="21"/>
                <w:highlight w:val="none"/>
                <w:vertAlign w:val="subscript"/>
              </w:rPr>
              <w:t>3</w:t>
            </w:r>
          </w:p>
        </w:tc>
      </w:tr>
      <w:tr w14:paraId="105422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vMerge w:val="continue"/>
            <w:noWrap w:val="0"/>
            <w:vAlign w:val="center"/>
          </w:tcPr>
          <w:p w14:paraId="575A7F9A">
            <w:pPr>
              <w:pStyle w:val="84"/>
              <w:spacing w:line="240" w:lineRule="auto"/>
              <w:rPr>
                <w:rFonts w:eastAsia="宋体"/>
                <w:color w:val="auto"/>
                <w:kern w:val="0"/>
                <w:sz w:val="21"/>
                <w:szCs w:val="21"/>
                <w:highlight w:val="none"/>
              </w:rPr>
            </w:pPr>
          </w:p>
        </w:tc>
        <w:tc>
          <w:tcPr>
            <w:tcW w:w="813" w:type="pct"/>
            <w:noWrap w:val="0"/>
            <w:vAlign w:val="center"/>
          </w:tcPr>
          <w:p w14:paraId="65A28756">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污染源评价</w:t>
            </w:r>
          </w:p>
        </w:tc>
        <w:tc>
          <w:tcPr>
            <w:tcW w:w="3555" w:type="pct"/>
            <w:noWrap w:val="0"/>
            <w:vAlign w:val="center"/>
          </w:tcPr>
          <w:p w14:paraId="757517DB">
            <w:pPr>
              <w:pStyle w:val="84"/>
              <w:spacing w:line="240" w:lineRule="auto"/>
              <w:rPr>
                <w:rFonts w:hint="default"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颗粒物</w:t>
            </w:r>
          </w:p>
        </w:tc>
      </w:tr>
      <w:tr w14:paraId="0DCC5E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vMerge w:val="restart"/>
            <w:noWrap w:val="0"/>
            <w:vAlign w:val="center"/>
          </w:tcPr>
          <w:p w14:paraId="6D9B26F9">
            <w:pPr>
              <w:pStyle w:val="84"/>
              <w:spacing w:line="240" w:lineRule="auto"/>
              <w:rPr>
                <w:rFonts w:eastAsia="宋体"/>
                <w:color w:val="auto"/>
                <w:kern w:val="0"/>
                <w:sz w:val="21"/>
                <w:szCs w:val="21"/>
                <w:highlight w:val="none"/>
              </w:rPr>
            </w:pPr>
            <w:r>
              <w:rPr>
                <w:rFonts w:hint="eastAsia" w:eastAsia="宋体"/>
                <w:color w:val="auto"/>
                <w:kern w:val="0"/>
                <w:sz w:val="21"/>
                <w:szCs w:val="21"/>
                <w:highlight w:val="none"/>
              </w:rPr>
              <w:t>地下水</w:t>
            </w:r>
          </w:p>
        </w:tc>
        <w:tc>
          <w:tcPr>
            <w:tcW w:w="813" w:type="pct"/>
            <w:noWrap w:val="0"/>
            <w:vAlign w:val="center"/>
          </w:tcPr>
          <w:p w14:paraId="13ABA405">
            <w:pPr>
              <w:pStyle w:val="84"/>
              <w:spacing w:line="240" w:lineRule="auto"/>
              <w:rPr>
                <w:rFonts w:hAnsi="宋体" w:eastAsia="宋体"/>
                <w:color w:val="auto"/>
                <w:kern w:val="0"/>
                <w:sz w:val="21"/>
                <w:szCs w:val="21"/>
                <w:highlight w:val="none"/>
              </w:rPr>
            </w:pPr>
            <w:r>
              <w:rPr>
                <w:rFonts w:hint="eastAsia" w:hAnsi="宋体" w:eastAsia="宋体"/>
                <w:color w:val="auto"/>
                <w:kern w:val="0"/>
                <w:sz w:val="21"/>
                <w:szCs w:val="21"/>
                <w:highlight w:val="none"/>
              </w:rPr>
              <w:t>现状评价</w:t>
            </w:r>
          </w:p>
        </w:tc>
        <w:tc>
          <w:tcPr>
            <w:tcW w:w="3555" w:type="pct"/>
            <w:noWrap w:val="0"/>
            <w:vAlign w:val="center"/>
          </w:tcPr>
          <w:p w14:paraId="75DE80F5">
            <w:pPr>
              <w:pStyle w:val="84"/>
              <w:spacing w:line="240" w:lineRule="auto"/>
              <w:rPr>
                <w:color w:val="auto"/>
                <w:kern w:val="0"/>
                <w:sz w:val="21"/>
                <w:szCs w:val="21"/>
                <w:highlight w:val="none"/>
              </w:rPr>
            </w:pPr>
            <w:r>
              <w:rPr>
                <w:rFonts w:ascii="宋体" w:hAnsi="宋体"/>
                <w:color w:val="auto"/>
                <w:kern w:val="0"/>
                <w:sz w:val="21"/>
                <w:szCs w:val="21"/>
                <w:highlight w:val="none"/>
              </w:rPr>
              <w:t>钾、钠、钙、镁、碳酸盐、重碳酸盐、硫酸盐、氯化物、pH值、氨氮、硝酸盐氮、亚硝酸盐氮、挥发酚、氰化物、砷、汞、六价铬、总硬度、铅、镉、锰、铁、溶解性总固体、氟化物、耗氧量、锌、铜、总大肠菌群、菌落总数</w:t>
            </w:r>
            <w:r>
              <w:rPr>
                <w:rFonts w:hint="eastAsia" w:ascii="宋体" w:hAnsi="宋体"/>
                <w:color w:val="auto"/>
                <w:kern w:val="0"/>
                <w:sz w:val="21"/>
                <w:szCs w:val="21"/>
                <w:highlight w:val="none"/>
              </w:rPr>
              <w:t>、1，1-二氯乙烷、1，2-二氯乙烷、1，2-二氯丙烷、硫化物</w:t>
            </w:r>
          </w:p>
        </w:tc>
      </w:tr>
      <w:tr w14:paraId="42E184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vMerge w:val="continue"/>
            <w:noWrap w:val="0"/>
            <w:vAlign w:val="center"/>
          </w:tcPr>
          <w:p w14:paraId="6F42B500">
            <w:pPr>
              <w:pStyle w:val="84"/>
              <w:spacing w:line="240" w:lineRule="auto"/>
              <w:rPr>
                <w:rFonts w:eastAsia="宋体"/>
                <w:color w:val="auto"/>
                <w:kern w:val="0"/>
                <w:sz w:val="21"/>
                <w:szCs w:val="21"/>
                <w:highlight w:val="none"/>
              </w:rPr>
            </w:pPr>
          </w:p>
        </w:tc>
        <w:tc>
          <w:tcPr>
            <w:tcW w:w="813" w:type="pct"/>
            <w:noWrap w:val="0"/>
            <w:vAlign w:val="center"/>
          </w:tcPr>
          <w:p w14:paraId="5B2D5512">
            <w:pPr>
              <w:pStyle w:val="84"/>
              <w:spacing w:line="240" w:lineRule="auto"/>
              <w:rPr>
                <w:rFonts w:hAnsi="宋体" w:eastAsia="宋体"/>
                <w:color w:val="auto"/>
                <w:kern w:val="0"/>
                <w:sz w:val="21"/>
                <w:szCs w:val="21"/>
                <w:highlight w:val="none"/>
              </w:rPr>
            </w:pPr>
            <w:r>
              <w:rPr>
                <w:rFonts w:hint="eastAsia" w:hAnsi="宋体" w:eastAsia="宋体"/>
                <w:color w:val="auto"/>
                <w:kern w:val="0"/>
                <w:sz w:val="21"/>
                <w:szCs w:val="21"/>
                <w:highlight w:val="none"/>
              </w:rPr>
              <w:t>污染源评价</w:t>
            </w:r>
          </w:p>
        </w:tc>
        <w:tc>
          <w:tcPr>
            <w:tcW w:w="3555" w:type="pct"/>
            <w:noWrap w:val="0"/>
            <w:vAlign w:val="center"/>
          </w:tcPr>
          <w:p w14:paraId="69CA5417">
            <w:pPr>
              <w:pStyle w:val="84"/>
              <w:spacing w:line="240" w:lineRule="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COD、氟化物</w:t>
            </w:r>
          </w:p>
        </w:tc>
      </w:tr>
      <w:tr w14:paraId="213F04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vMerge w:val="restart"/>
            <w:noWrap w:val="0"/>
            <w:vAlign w:val="center"/>
          </w:tcPr>
          <w:p w14:paraId="520D7607">
            <w:pPr>
              <w:pStyle w:val="84"/>
              <w:spacing w:line="240" w:lineRule="auto"/>
              <w:rPr>
                <w:rFonts w:eastAsia="宋体"/>
                <w:color w:val="auto"/>
                <w:kern w:val="0"/>
                <w:sz w:val="21"/>
                <w:szCs w:val="21"/>
                <w:highlight w:val="none"/>
              </w:rPr>
            </w:pPr>
            <w:r>
              <w:rPr>
                <w:rFonts w:hint="eastAsia" w:eastAsia="宋体"/>
                <w:color w:val="auto"/>
                <w:kern w:val="0"/>
                <w:sz w:val="21"/>
                <w:szCs w:val="21"/>
                <w:highlight w:val="none"/>
              </w:rPr>
              <w:t>土壤</w:t>
            </w:r>
          </w:p>
        </w:tc>
        <w:tc>
          <w:tcPr>
            <w:tcW w:w="813" w:type="pct"/>
            <w:noWrap w:val="0"/>
            <w:vAlign w:val="center"/>
          </w:tcPr>
          <w:p w14:paraId="30B55F0A">
            <w:pPr>
              <w:pStyle w:val="84"/>
              <w:spacing w:line="240" w:lineRule="auto"/>
              <w:rPr>
                <w:rFonts w:hAnsi="宋体" w:eastAsia="宋体"/>
                <w:color w:val="auto"/>
                <w:kern w:val="0"/>
                <w:sz w:val="21"/>
                <w:szCs w:val="21"/>
                <w:highlight w:val="none"/>
              </w:rPr>
            </w:pPr>
            <w:r>
              <w:rPr>
                <w:rFonts w:hint="eastAsia" w:hAnsi="宋体" w:eastAsia="宋体"/>
                <w:color w:val="auto"/>
                <w:kern w:val="0"/>
                <w:sz w:val="21"/>
                <w:szCs w:val="21"/>
                <w:highlight w:val="none"/>
              </w:rPr>
              <w:t>现状评价</w:t>
            </w:r>
          </w:p>
        </w:tc>
        <w:tc>
          <w:tcPr>
            <w:tcW w:w="3555" w:type="pct"/>
            <w:noWrap w:val="0"/>
            <w:vAlign w:val="center"/>
          </w:tcPr>
          <w:p w14:paraId="222E1727">
            <w:pPr>
              <w:pStyle w:val="84"/>
              <w:spacing w:line="240" w:lineRule="auto"/>
              <w:rPr>
                <w:color w:val="auto"/>
                <w:kern w:val="0"/>
                <w:sz w:val="21"/>
                <w:szCs w:val="21"/>
                <w:highlight w:val="none"/>
              </w:rPr>
            </w:pPr>
            <w:r>
              <w:rPr>
                <w:rFonts w:hint="eastAsia"/>
                <w:color w:val="auto"/>
                <w:kern w:val="0"/>
                <w:sz w:val="21"/>
                <w:szCs w:val="21"/>
                <w:highlight w:val="none"/>
              </w:rPr>
              <w:t>砷、镉、铬（六价）、铜、铅、汞、镍、四氯化碳、氯仿、氯甲烷、</w:t>
            </w:r>
            <w:r>
              <w:rPr>
                <w:color w:val="auto"/>
                <w:kern w:val="0"/>
                <w:sz w:val="21"/>
                <w:szCs w:val="21"/>
                <w:highlight w:val="none"/>
              </w:rPr>
              <w:t>1,1-</w:t>
            </w:r>
            <w:r>
              <w:rPr>
                <w:rFonts w:hint="eastAsia"/>
                <w:color w:val="auto"/>
                <w:kern w:val="0"/>
                <w:sz w:val="21"/>
                <w:szCs w:val="21"/>
                <w:highlight w:val="none"/>
              </w:rPr>
              <w:t>二氯乙烷、</w:t>
            </w:r>
            <w:r>
              <w:rPr>
                <w:color w:val="auto"/>
                <w:kern w:val="0"/>
                <w:sz w:val="21"/>
                <w:szCs w:val="21"/>
                <w:highlight w:val="none"/>
              </w:rPr>
              <w:t>1,2-</w:t>
            </w:r>
            <w:r>
              <w:rPr>
                <w:rFonts w:hint="eastAsia"/>
                <w:color w:val="auto"/>
                <w:kern w:val="0"/>
                <w:sz w:val="21"/>
                <w:szCs w:val="21"/>
                <w:highlight w:val="none"/>
              </w:rPr>
              <w:t>二氯乙烷、</w:t>
            </w:r>
            <w:r>
              <w:rPr>
                <w:color w:val="auto"/>
                <w:kern w:val="0"/>
                <w:sz w:val="21"/>
                <w:szCs w:val="21"/>
                <w:highlight w:val="none"/>
              </w:rPr>
              <w:t>1,1-</w:t>
            </w:r>
            <w:r>
              <w:rPr>
                <w:rFonts w:hint="eastAsia"/>
                <w:color w:val="auto"/>
                <w:kern w:val="0"/>
                <w:sz w:val="21"/>
                <w:szCs w:val="21"/>
                <w:highlight w:val="none"/>
              </w:rPr>
              <w:t>二氯乙烯、顺</w:t>
            </w:r>
            <w:r>
              <w:rPr>
                <w:color w:val="auto"/>
                <w:kern w:val="0"/>
                <w:sz w:val="21"/>
                <w:szCs w:val="21"/>
                <w:highlight w:val="none"/>
              </w:rPr>
              <w:t>-1,2-</w:t>
            </w:r>
            <w:r>
              <w:rPr>
                <w:rFonts w:hint="eastAsia"/>
                <w:color w:val="auto"/>
                <w:kern w:val="0"/>
                <w:sz w:val="21"/>
                <w:szCs w:val="21"/>
                <w:highlight w:val="none"/>
              </w:rPr>
              <w:t>二氯乙烯、反</w:t>
            </w:r>
            <w:r>
              <w:rPr>
                <w:color w:val="auto"/>
                <w:kern w:val="0"/>
                <w:sz w:val="21"/>
                <w:szCs w:val="21"/>
                <w:highlight w:val="none"/>
              </w:rPr>
              <w:t>-1,2-</w:t>
            </w:r>
            <w:r>
              <w:rPr>
                <w:rFonts w:hint="eastAsia"/>
                <w:color w:val="auto"/>
                <w:kern w:val="0"/>
                <w:sz w:val="21"/>
                <w:szCs w:val="21"/>
                <w:highlight w:val="none"/>
              </w:rPr>
              <w:t>二氯乙烯、二氯甲烷、</w:t>
            </w:r>
            <w:r>
              <w:rPr>
                <w:color w:val="auto"/>
                <w:kern w:val="0"/>
                <w:sz w:val="21"/>
                <w:szCs w:val="21"/>
                <w:highlight w:val="none"/>
              </w:rPr>
              <w:t>1,2-</w:t>
            </w:r>
            <w:r>
              <w:rPr>
                <w:rFonts w:hint="eastAsia"/>
                <w:color w:val="auto"/>
                <w:kern w:val="0"/>
                <w:sz w:val="21"/>
                <w:szCs w:val="21"/>
                <w:highlight w:val="none"/>
              </w:rPr>
              <w:t>二氯丙烷、</w:t>
            </w:r>
            <w:r>
              <w:rPr>
                <w:color w:val="auto"/>
                <w:kern w:val="0"/>
                <w:sz w:val="21"/>
                <w:szCs w:val="21"/>
                <w:highlight w:val="none"/>
              </w:rPr>
              <w:t>1,1,1,2-</w:t>
            </w:r>
            <w:r>
              <w:rPr>
                <w:rFonts w:hint="eastAsia"/>
                <w:color w:val="auto"/>
                <w:kern w:val="0"/>
                <w:sz w:val="21"/>
                <w:szCs w:val="21"/>
                <w:highlight w:val="none"/>
              </w:rPr>
              <w:t>四氯乙烷、</w:t>
            </w:r>
            <w:r>
              <w:rPr>
                <w:color w:val="auto"/>
                <w:kern w:val="0"/>
                <w:sz w:val="21"/>
                <w:szCs w:val="21"/>
                <w:highlight w:val="none"/>
              </w:rPr>
              <w:t>1,1,2,2-</w:t>
            </w:r>
            <w:r>
              <w:rPr>
                <w:rFonts w:hint="eastAsia"/>
                <w:color w:val="auto"/>
                <w:kern w:val="0"/>
                <w:sz w:val="21"/>
                <w:szCs w:val="21"/>
                <w:highlight w:val="none"/>
              </w:rPr>
              <w:t>四氯乙烷、四氯乙烯、</w:t>
            </w:r>
            <w:r>
              <w:rPr>
                <w:color w:val="auto"/>
                <w:kern w:val="0"/>
                <w:sz w:val="21"/>
                <w:szCs w:val="21"/>
                <w:highlight w:val="none"/>
              </w:rPr>
              <w:t>1,1,1-</w:t>
            </w:r>
            <w:r>
              <w:rPr>
                <w:rFonts w:hint="eastAsia"/>
                <w:color w:val="auto"/>
                <w:kern w:val="0"/>
                <w:sz w:val="21"/>
                <w:szCs w:val="21"/>
                <w:highlight w:val="none"/>
              </w:rPr>
              <w:t>三氯乙烷、</w:t>
            </w:r>
            <w:r>
              <w:rPr>
                <w:color w:val="auto"/>
                <w:kern w:val="0"/>
                <w:sz w:val="21"/>
                <w:szCs w:val="21"/>
                <w:highlight w:val="none"/>
              </w:rPr>
              <w:t>1,1,2-</w:t>
            </w:r>
            <w:r>
              <w:rPr>
                <w:rFonts w:hint="eastAsia"/>
                <w:color w:val="auto"/>
                <w:kern w:val="0"/>
                <w:sz w:val="21"/>
                <w:szCs w:val="21"/>
                <w:highlight w:val="none"/>
              </w:rPr>
              <w:t>三氯乙烷、三氯乙烯、</w:t>
            </w:r>
            <w:r>
              <w:rPr>
                <w:color w:val="auto"/>
                <w:kern w:val="0"/>
                <w:sz w:val="21"/>
                <w:szCs w:val="21"/>
                <w:highlight w:val="none"/>
              </w:rPr>
              <w:t>1,2,3-</w:t>
            </w:r>
            <w:r>
              <w:rPr>
                <w:rFonts w:hint="eastAsia"/>
                <w:color w:val="auto"/>
                <w:kern w:val="0"/>
                <w:sz w:val="21"/>
                <w:szCs w:val="21"/>
                <w:highlight w:val="none"/>
              </w:rPr>
              <w:t>三氯丙烷、氯乙烯、苯、氯苯、</w:t>
            </w:r>
            <w:r>
              <w:rPr>
                <w:color w:val="auto"/>
                <w:kern w:val="0"/>
                <w:sz w:val="21"/>
                <w:szCs w:val="21"/>
                <w:highlight w:val="none"/>
              </w:rPr>
              <w:t>1,2-</w:t>
            </w:r>
            <w:r>
              <w:rPr>
                <w:rFonts w:hint="eastAsia"/>
                <w:color w:val="auto"/>
                <w:kern w:val="0"/>
                <w:sz w:val="21"/>
                <w:szCs w:val="21"/>
                <w:highlight w:val="none"/>
              </w:rPr>
              <w:t>二氯苯、</w:t>
            </w:r>
            <w:r>
              <w:rPr>
                <w:color w:val="auto"/>
                <w:kern w:val="0"/>
                <w:sz w:val="21"/>
                <w:szCs w:val="21"/>
                <w:highlight w:val="none"/>
              </w:rPr>
              <w:t>1,4-</w:t>
            </w:r>
            <w:r>
              <w:rPr>
                <w:rFonts w:hint="eastAsia"/>
                <w:color w:val="auto"/>
                <w:kern w:val="0"/>
                <w:sz w:val="21"/>
                <w:szCs w:val="21"/>
                <w:highlight w:val="none"/>
              </w:rPr>
              <w:t>二氯苯、乙苯、苯乙烯、甲苯、间二甲苯</w:t>
            </w:r>
            <w:r>
              <w:rPr>
                <w:color w:val="auto"/>
                <w:kern w:val="0"/>
                <w:sz w:val="21"/>
                <w:szCs w:val="21"/>
                <w:highlight w:val="none"/>
              </w:rPr>
              <w:t>+</w:t>
            </w:r>
            <w:r>
              <w:rPr>
                <w:rFonts w:hint="eastAsia"/>
                <w:color w:val="auto"/>
                <w:kern w:val="0"/>
                <w:sz w:val="21"/>
                <w:szCs w:val="21"/>
                <w:highlight w:val="none"/>
              </w:rPr>
              <w:t>二甲苯、邻二甲苯、硝基苯、苯胺、</w:t>
            </w:r>
            <w:r>
              <w:rPr>
                <w:color w:val="auto"/>
                <w:kern w:val="0"/>
                <w:sz w:val="21"/>
                <w:szCs w:val="21"/>
                <w:highlight w:val="none"/>
              </w:rPr>
              <w:t>2-</w:t>
            </w:r>
            <w:r>
              <w:rPr>
                <w:rFonts w:hint="eastAsia"/>
                <w:color w:val="auto"/>
                <w:kern w:val="0"/>
                <w:sz w:val="21"/>
                <w:szCs w:val="21"/>
                <w:highlight w:val="none"/>
              </w:rPr>
              <w:t>氯酚、苯并</w:t>
            </w:r>
            <w:r>
              <w:rPr>
                <w:color w:val="auto"/>
                <w:kern w:val="0"/>
                <w:sz w:val="21"/>
                <w:szCs w:val="21"/>
                <w:highlight w:val="none"/>
              </w:rPr>
              <w:t>[a]</w:t>
            </w:r>
            <w:r>
              <w:rPr>
                <w:rFonts w:hint="eastAsia"/>
                <w:color w:val="auto"/>
                <w:kern w:val="0"/>
                <w:sz w:val="21"/>
                <w:szCs w:val="21"/>
                <w:highlight w:val="none"/>
              </w:rPr>
              <w:t>蒽、苯并</w:t>
            </w:r>
            <w:r>
              <w:rPr>
                <w:color w:val="auto"/>
                <w:kern w:val="0"/>
                <w:sz w:val="21"/>
                <w:szCs w:val="21"/>
                <w:highlight w:val="none"/>
              </w:rPr>
              <w:t>[a]</w:t>
            </w:r>
            <w:r>
              <w:rPr>
                <w:rFonts w:hint="eastAsia"/>
                <w:color w:val="auto"/>
                <w:kern w:val="0"/>
                <w:sz w:val="21"/>
                <w:szCs w:val="21"/>
                <w:highlight w:val="none"/>
              </w:rPr>
              <w:t>芘、苯并</w:t>
            </w:r>
            <w:r>
              <w:rPr>
                <w:color w:val="auto"/>
                <w:kern w:val="0"/>
                <w:sz w:val="21"/>
                <w:szCs w:val="21"/>
                <w:highlight w:val="none"/>
              </w:rPr>
              <w:t>[b]</w:t>
            </w:r>
            <w:r>
              <w:rPr>
                <w:rFonts w:hint="eastAsia"/>
                <w:color w:val="auto"/>
                <w:kern w:val="0"/>
                <w:sz w:val="21"/>
                <w:szCs w:val="21"/>
                <w:highlight w:val="none"/>
              </w:rPr>
              <w:t>荧蒽、苯并</w:t>
            </w:r>
            <w:r>
              <w:rPr>
                <w:color w:val="auto"/>
                <w:kern w:val="0"/>
                <w:sz w:val="21"/>
                <w:szCs w:val="21"/>
                <w:highlight w:val="none"/>
              </w:rPr>
              <w:t>[k]</w:t>
            </w:r>
            <w:r>
              <w:rPr>
                <w:rFonts w:hint="eastAsia"/>
                <w:color w:val="auto"/>
                <w:kern w:val="0"/>
                <w:sz w:val="21"/>
                <w:szCs w:val="21"/>
                <w:highlight w:val="none"/>
              </w:rPr>
              <w:t>荧蒽、䓛、二苯并</w:t>
            </w:r>
            <w:r>
              <w:rPr>
                <w:color w:val="auto"/>
                <w:kern w:val="0"/>
                <w:sz w:val="21"/>
                <w:szCs w:val="21"/>
                <w:highlight w:val="none"/>
              </w:rPr>
              <w:t>[a,h]</w:t>
            </w:r>
            <w:r>
              <w:rPr>
                <w:rFonts w:hint="eastAsia"/>
                <w:color w:val="auto"/>
                <w:kern w:val="0"/>
                <w:sz w:val="21"/>
                <w:szCs w:val="21"/>
                <w:highlight w:val="none"/>
              </w:rPr>
              <w:t>蒽、茚并</w:t>
            </w:r>
            <w:r>
              <w:rPr>
                <w:color w:val="auto"/>
                <w:kern w:val="0"/>
                <w:sz w:val="21"/>
                <w:szCs w:val="21"/>
                <w:highlight w:val="none"/>
              </w:rPr>
              <w:t>[1,2,3-cd]</w:t>
            </w:r>
            <w:r>
              <w:rPr>
                <w:rFonts w:hint="eastAsia"/>
                <w:color w:val="auto"/>
                <w:kern w:val="0"/>
                <w:sz w:val="21"/>
                <w:szCs w:val="21"/>
                <w:highlight w:val="none"/>
              </w:rPr>
              <w:t>芘、萘，共</w:t>
            </w:r>
            <w:r>
              <w:rPr>
                <w:color w:val="auto"/>
                <w:kern w:val="0"/>
                <w:sz w:val="21"/>
                <w:szCs w:val="21"/>
                <w:highlight w:val="none"/>
              </w:rPr>
              <w:t>45</w:t>
            </w:r>
            <w:r>
              <w:rPr>
                <w:rFonts w:hint="eastAsia"/>
                <w:color w:val="auto"/>
                <w:kern w:val="0"/>
                <w:sz w:val="21"/>
                <w:szCs w:val="21"/>
                <w:highlight w:val="none"/>
              </w:rPr>
              <w:t>项</w:t>
            </w:r>
          </w:p>
        </w:tc>
      </w:tr>
      <w:tr w14:paraId="4D765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vMerge w:val="continue"/>
            <w:noWrap w:val="0"/>
            <w:vAlign w:val="center"/>
          </w:tcPr>
          <w:p w14:paraId="239253DE">
            <w:pPr>
              <w:pStyle w:val="84"/>
              <w:spacing w:line="240" w:lineRule="auto"/>
              <w:rPr>
                <w:rFonts w:eastAsia="宋体"/>
                <w:color w:val="auto"/>
                <w:kern w:val="0"/>
                <w:sz w:val="21"/>
                <w:szCs w:val="21"/>
                <w:highlight w:val="none"/>
              </w:rPr>
            </w:pPr>
          </w:p>
        </w:tc>
        <w:tc>
          <w:tcPr>
            <w:tcW w:w="813" w:type="pct"/>
            <w:noWrap w:val="0"/>
            <w:vAlign w:val="center"/>
          </w:tcPr>
          <w:p w14:paraId="6B795F1D">
            <w:pPr>
              <w:pStyle w:val="84"/>
              <w:spacing w:line="240" w:lineRule="auto"/>
              <w:rPr>
                <w:rFonts w:hAnsi="宋体" w:eastAsia="宋体"/>
                <w:color w:val="auto"/>
                <w:kern w:val="0"/>
                <w:sz w:val="21"/>
                <w:szCs w:val="21"/>
                <w:highlight w:val="none"/>
              </w:rPr>
            </w:pPr>
            <w:r>
              <w:rPr>
                <w:rFonts w:hint="eastAsia" w:hAnsi="宋体" w:eastAsia="宋体"/>
                <w:color w:val="auto"/>
                <w:kern w:val="0"/>
                <w:sz w:val="21"/>
                <w:szCs w:val="21"/>
                <w:highlight w:val="none"/>
              </w:rPr>
              <w:t>污染源评价</w:t>
            </w:r>
          </w:p>
        </w:tc>
        <w:tc>
          <w:tcPr>
            <w:tcW w:w="3555" w:type="pct"/>
            <w:noWrap w:val="0"/>
            <w:vAlign w:val="center"/>
          </w:tcPr>
          <w:p w14:paraId="5396FEB9">
            <w:pPr>
              <w:pStyle w:val="84"/>
              <w:spacing w:line="240" w:lineRule="auto"/>
              <w:rPr>
                <w:rFonts w:hint="eastAsia" w:eastAsia="宋体"/>
                <w:color w:val="auto"/>
                <w:kern w:val="0"/>
                <w:sz w:val="21"/>
                <w:szCs w:val="21"/>
                <w:highlight w:val="none"/>
                <w:lang w:eastAsia="zh-CN"/>
              </w:rPr>
            </w:pPr>
            <w:r>
              <w:rPr>
                <w:rFonts w:hint="eastAsia"/>
                <w:color w:val="auto"/>
                <w:kern w:val="0"/>
                <w:sz w:val="21"/>
                <w:szCs w:val="21"/>
                <w:highlight w:val="none"/>
              </w:rPr>
              <w:t>pH、</w:t>
            </w:r>
            <w:r>
              <w:rPr>
                <w:rFonts w:hint="eastAsia"/>
                <w:color w:val="auto"/>
                <w:kern w:val="0"/>
                <w:sz w:val="21"/>
                <w:szCs w:val="21"/>
                <w:highlight w:val="none"/>
                <w:lang w:val="en-US" w:eastAsia="zh-CN"/>
              </w:rPr>
              <w:t>氟化物</w:t>
            </w:r>
          </w:p>
        </w:tc>
      </w:tr>
      <w:tr w14:paraId="54F970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vMerge w:val="restart"/>
            <w:noWrap w:val="0"/>
            <w:vAlign w:val="center"/>
          </w:tcPr>
          <w:p w14:paraId="79292FB9">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声环境</w:t>
            </w:r>
          </w:p>
        </w:tc>
        <w:tc>
          <w:tcPr>
            <w:tcW w:w="813" w:type="pct"/>
            <w:noWrap w:val="0"/>
            <w:vAlign w:val="center"/>
          </w:tcPr>
          <w:p w14:paraId="783E4045">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现状评价</w:t>
            </w:r>
          </w:p>
        </w:tc>
        <w:tc>
          <w:tcPr>
            <w:tcW w:w="3555" w:type="pct"/>
            <w:noWrap w:val="0"/>
            <w:vAlign w:val="center"/>
          </w:tcPr>
          <w:p w14:paraId="2B6089D0">
            <w:pPr>
              <w:pStyle w:val="189"/>
              <w:rPr>
                <w:color w:val="auto"/>
                <w:kern w:val="0"/>
                <w:szCs w:val="21"/>
                <w:highlight w:val="none"/>
              </w:rPr>
            </w:pPr>
            <w:r>
              <w:rPr>
                <w:color w:val="auto"/>
                <w:kern w:val="0"/>
                <w:szCs w:val="21"/>
                <w:highlight w:val="none"/>
              </w:rPr>
              <w:t>Leq</w:t>
            </w:r>
            <w:r>
              <w:rPr>
                <w:rFonts w:hint="eastAsia"/>
                <w:color w:val="auto"/>
                <w:kern w:val="0"/>
                <w:szCs w:val="21"/>
                <w:highlight w:val="none"/>
              </w:rPr>
              <w:t>：</w:t>
            </w:r>
            <w:r>
              <w:rPr>
                <w:color w:val="auto"/>
                <w:kern w:val="0"/>
                <w:szCs w:val="21"/>
                <w:highlight w:val="none"/>
              </w:rPr>
              <w:t>dB</w:t>
            </w:r>
            <w:r>
              <w:rPr>
                <w:rFonts w:hint="eastAsia"/>
                <w:color w:val="auto"/>
                <w:kern w:val="0"/>
                <w:szCs w:val="21"/>
                <w:highlight w:val="none"/>
              </w:rPr>
              <w:t>（</w:t>
            </w:r>
            <w:r>
              <w:rPr>
                <w:color w:val="auto"/>
                <w:kern w:val="0"/>
                <w:szCs w:val="21"/>
                <w:highlight w:val="none"/>
              </w:rPr>
              <w:t>A</w:t>
            </w:r>
            <w:r>
              <w:rPr>
                <w:rFonts w:hint="eastAsia"/>
                <w:color w:val="auto"/>
                <w:kern w:val="0"/>
                <w:szCs w:val="21"/>
                <w:highlight w:val="none"/>
              </w:rPr>
              <w:t>）</w:t>
            </w:r>
          </w:p>
        </w:tc>
      </w:tr>
      <w:tr w14:paraId="3132DD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vMerge w:val="continue"/>
            <w:noWrap w:val="0"/>
            <w:vAlign w:val="center"/>
          </w:tcPr>
          <w:p w14:paraId="2F2550C8">
            <w:pPr>
              <w:pStyle w:val="84"/>
              <w:spacing w:line="240" w:lineRule="auto"/>
              <w:rPr>
                <w:rFonts w:eastAsia="宋体"/>
                <w:color w:val="auto"/>
                <w:kern w:val="0"/>
                <w:sz w:val="21"/>
                <w:szCs w:val="21"/>
                <w:highlight w:val="none"/>
              </w:rPr>
            </w:pPr>
          </w:p>
        </w:tc>
        <w:tc>
          <w:tcPr>
            <w:tcW w:w="813" w:type="pct"/>
            <w:noWrap w:val="0"/>
            <w:vAlign w:val="center"/>
          </w:tcPr>
          <w:p w14:paraId="5507636B">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污染源评价</w:t>
            </w:r>
          </w:p>
        </w:tc>
        <w:tc>
          <w:tcPr>
            <w:tcW w:w="3555" w:type="pct"/>
            <w:noWrap w:val="0"/>
            <w:vAlign w:val="center"/>
          </w:tcPr>
          <w:p w14:paraId="1D0C94E4">
            <w:pPr>
              <w:spacing w:line="240" w:lineRule="auto"/>
              <w:ind w:firstLine="0" w:firstLineChars="0"/>
              <w:jc w:val="center"/>
              <w:rPr>
                <w:color w:val="auto"/>
                <w:kern w:val="0"/>
                <w:sz w:val="21"/>
                <w:szCs w:val="21"/>
                <w:highlight w:val="none"/>
              </w:rPr>
            </w:pPr>
            <w:r>
              <w:rPr>
                <w:color w:val="auto"/>
                <w:kern w:val="0"/>
                <w:sz w:val="21"/>
                <w:szCs w:val="21"/>
                <w:highlight w:val="none"/>
              </w:rPr>
              <w:t>Leq</w:t>
            </w:r>
            <w:r>
              <w:rPr>
                <w:rFonts w:hint="eastAsia"/>
                <w:color w:val="auto"/>
                <w:kern w:val="0"/>
                <w:sz w:val="21"/>
                <w:szCs w:val="21"/>
                <w:highlight w:val="none"/>
              </w:rPr>
              <w:t>：</w:t>
            </w:r>
            <w:r>
              <w:rPr>
                <w:color w:val="auto"/>
                <w:kern w:val="0"/>
                <w:sz w:val="21"/>
                <w:szCs w:val="21"/>
                <w:highlight w:val="none"/>
              </w:rPr>
              <w:t>dB</w:t>
            </w:r>
            <w:r>
              <w:rPr>
                <w:rFonts w:hint="eastAsia"/>
                <w:color w:val="auto"/>
                <w:kern w:val="0"/>
                <w:sz w:val="21"/>
                <w:szCs w:val="21"/>
                <w:highlight w:val="none"/>
              </w:rPr>
              <w:t>（</w:t>
            </w:r>
            <w:r>
              <w:rPr>
                <w:color w:val="auto"/>
                <w:kern w:val="0"/>
                <w:sz w:val="21"/>
                <w:szCs w:val="21"/>
                <w:highlight w:val="none"/>
              </w:rPr>
              <w:t>A</w:t>
            </w:r>
            <w:r>
              <w:rPr>
                <w:rFonts w:hint="eastAsia"/>
                <w:color w:val="auto"/>
                <w:kern w:val="0"/>
                <w:sz w:val="21"/>
                <w:szCs w:val="21"/>
                <w:highlight w:val="none"/>
              </w:rPr>
              <w:t>）</w:t>
            </w:r>
          </w:p>
        </w:tc>
      </w:tr>
      <w:tr w14:paraId="2F303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noWrap w:val="0"/>
            <w:vAlign w:val="center"/>
          </w:tcPr>
          <w:p w14:paraId="5BF1E95D">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固体废物</w:t>
            </w:r>
          </w:p>
        </w:tc>
        <w:tc>
          <w:tcPr>
            <w:tcW w:w="813" w:type="pct"/>
            <w:noWrap w:val="0"/>
            <w:vAlign w:val="center"/>
          </w:tcPr>
          <w:p w14:paraId="79C0EFC9">
            <w:pPr>
              <w:pStyle w:val="84"/>
              <w:spacing w:line="240" w:lineRule="auto"/>
              <w:rPr>
                <w:rFonts w:eastAsia="宋体"/>
                <w:color w:val="auto"/>
                <w:kern w:val="0"/>
                <w:sz w:val="21"/>
                <w:szCs w:val="21"/>
                <w:highlight w:val="none"/>
              </w:rPr>
            </w:pPr>
            <w:r>
              <w:rPr>
                <w:rFonts w:hint="eastAsia" w:hAnsi="宋体" w:eastAsia="宋体"/>
                <w:color w:val="auto"/>
                <w:kern w:val="0"/>
                <w:sz w:val="21"/>
                <w:szCs w:val="21"/>
                <w:highlight w:val="none"/>
              </w:rPr>
              <w:t>污染源评价</w:t>
            </w:r>
          </w:p>
        </w:tc>
        <w:tc>
          <w:tcPr>
            <w:tcW w:w="3555" w:type="pct"/>
            <w:noWrap w:val="0"/>
            <w:vAlign w:val="center"/>
          </w:tcPr>
          <w:p w14:paraId="7DDADE9B">
            <w:pPr>
              <w:spacing w:line="240" w:lineRule="auto"/>
              <w:ind w:firstLine="0" w:firstLineChars="0"/>
              <w:jc w:val="center"/>
              <w:rPr>
                <w:rFonts w:hint="default"/>
                <w:color w:val="auto"/>
                <w:kern w:val="0"/>
                <w:sz w:val="21"/>
                <w:szCs w:val="21"/>
                <w:highlight w:val="none"/>
                <w:lang w:val="en-US"/>
              </w:rPr>
            </w:pPr>
            <w:r>
              <w:rPr>
                <w:rFonts w:hint="eastAsia"/>
                <w:color w:val="auto"/>
                <w:kern w:val="0"/>
                <w:sz w:val="21"/>
                <w:szCs w:val="21"/>
                <w:highlight w:val="none"/>
                <w:lang w:val="en-US" w:eastAsia="zh-CN"/>
              </w:rPr>
              <w:t>尾矿砂、废机油、废油桶</w:t>
            </w:r>
          </w:p>
        </w:tc>
      </w:tr>
      <w:tr w14:paraId="00B4DB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32" w:type="pct"/>
            <w:noWrap w:val="0"/>
            <w:vAlign w:val="center"/>
          </w:tcPr>
          <w:p w14:paraId="22E1F656">
            <w:pPr>
              <w:pStyle w:val="84"/>
              <w:spacing w:line="240" w:lineRule="auto"/>
              <w:rPr>
                <w:rFonts w:eastAsia="宋体"/>
                <w:color w:val="auto"/>
                <w:kern w:val="0"/>
                <w:sz w:val="21"/>
                <w:szCs w:val="21"/>
                <w:highlight w:val="none"/>
              </w:rPr>
            </w:pPr>
            <w:r>
              <w:rPr>
                <w:rFonts w:hint="eastAsia" w:eastAsia="宋体"/>
                <w:color w:val="auto"/>
                <w:kern w:val="0"/>
                <w:sz w:val="21"/>
                <w:szCs w:val="21"/>
                <w:highlight w:val="none"/>
                <w:lang w:val="en-US" w:eastAsia="zh-CN"/>
              </w:rPr>
              <w:t>环境</w:t>
            </w:r>
            <w:r>
              <w:rPr>
                <w:rFonts w:hint="eastAsia" w:eastAsia="宋体"/>
                <w:color w:val="auto"/>
                <w:kern w:val="0"/>
                <w:sz w:val="21"/>
                <w:szCs w:val="21"/>
                <w:highlight w:val="none"/>
              </w:rPr>
              <w:t>风险</w:t>
            </w:r>
          </w:p>
        </w:tc>
        <w:tc>
          <w:tcPr>
            <w:tcW w:w="813" w:type="pct"/>
            <w:noWrap w:val="0"/>
            <w:vAlign w:val="center"/>
          </w:tcPr>
          <w:p w14:paraId="52A568BC">
            <w:pPr>
              <w:pStyle w:val="84"/>
              <w:spacing w:line="240" w:lineRule="auto"/>
              <w:rPr>
                <w:rFonts w:hAnsi="宋体" w:eastAsia="宋体"/>
                <w:color w:val="auto"/>
                <w:kern w:val="0"/>
                <w:sz w:val="21"/>
                <w:szCs w:val="21"/>
                <w:highlight w:val="none"/>
              </w:rPr>
            </w:pPr>
            <w:r>
              <w:rPr>
                <w:rFonts w:hint="eastAsia" w:hAnsi="宋体" w:eastAsia="宋体"/>
                <w:color w:val="auto"/>
                <w:kern w:val="0"/>
                <w:sz w:val="21"/>
                <w:szCs w:val="21"/>
                <w:highlight w:val="none"/>
              </w:rPr>
              <w:t>污染源评价</w:t>
            </w:r>
          </w:p>
        </w:tc>
        <w:tc>
          <w:tcPr>
            <w:tcW w:w="3555" w:type="pct"/>
            <w:noWrap w:val="0"/>
            <w:vAlign w:val="center"/>
          </w:tcPr>
          <w:p w14:paraId="1DFB034A">
            <w:pPr>
              <w:spacing w:line="240" w:lineRule="auto"/>
              <w:ind w:firstLine="0" w:firstLineChars="0"/>
              <w:jc w:val="center"/>
              <w:rPr>
                <w:rFonts w:hint="default" w:eastAsia="宋体"/>
                <w:i/>
                <w:color w:val="auto"/>
                <w:kern w:val="0"/>
                <w:sz w:val="21"/>
                <w:szCs w:val="21"/>
                <w:highlight w:val="none"/>
                <w:lang w:val="en-US" w:eastAsia="zh-CN"/>
              </w:rPr>
            </w:pPr>
            <w:r>
              <w:rPr>
                <w:rFonts w:hint="eastAsia"/>
                <w:color w:val="auto"/>
                <w:kern w:val="0"/>
                <w:sz w:val="21"/>
                <w:szCs w:val="21"/>
                <w:highlight w:val="none"/>
                <w:lang w:val="en-US" w:eastAsia="zh-CN"/>
              </w:rPr>
              <w:t>废机油</w:t>
            </w:r>
          </w:p>
        </w:tc>
      </w:tr>
    </w:tbl>
    <w:p w14:paraId="7637BB10">
      <w:pPr>
        <w:pStyle w:val="5"/>
        <w:rPr>
          <w:color w:val="auto"/>
          <w:highlight w:val="none"/>
        </w:rPr>
      </w:pPr>
      <w:bookmarkStart w:id="50" w:name="_Toc24447065"/>
      <w:r>
        <w:rPr>
          <w:rFonts w:hint="eastAsia"/>
          <w:color w:val="auto"/>
          <w:highlight w:val="none"/>
        </w:rPr>
        <w:t>环境功能区划及评价标准</w:t>
      </w:r>
      <w:bookmarkEnd w:id="50"/>
    </w:p>
    <w:p w14:paraId="4C2CCF8B">
      <w:pPr>
        <w:pStyle w:val="6"/>
        <w:rPr>
          <w:color w:val="auto"/>
          <w:highlight w:val="none"/>
        </w:rPr>
      </w:pPr>
      <w:r>
        <w:rPr>
          <w:rFonts w:hint="eastAsia"/>
          <w:color w:val="auto"/>
          <w:highlight w:val="none"/>
          <w:lang w:val="en-US" w:eastAsia="zh-CN"/>
        </w:rPr>
        <w:t xml:space="preserve"> </w:t>
      </w:r>
      <w:r>
        <w:rPr>
          <w:rFonts w:hint="eastAsia"/>
          <w:color w:val="auto"/>
          <w:highlight w:val="none"/>
        </w:rPr>
        <w:t>环境功能区划</w:t>
      </w:r>
    </w:p>
    <w:p w14:paraId="0FA6FC2E">
      <w:pPr>
        <w:pStyle w:val="181"/>
        <w:ind w:firstLine="480"/>
        <w:rPr>
          <w:color w:val="auto"/>
          <w:highlight w:val="none"/>
        </w:rPr>
      </w:pPr>
      <w:r>
        <w:rPr>
          <w:rFonts w:hint="eastAsia"/>
          <w:color w:val="auto"/>
          <w:highlight w:val="none"/>
        </w:rPr>
        <w:t>本项目位于</w:t>
      </w:r>
      <w:r>
        <w:rPr>
          <w:rFonts w:hint="eastAsia"/>
          <w:color w:val="auto"/>
          <w:highlight w:val="none"/>
          <w:lang w:val="en-US" w:eastAsia="zh-CN"/>
        </w:rPr>
        <w:t>内蒙古锡林郭勒多伦经济开发区内</w:t>
      </w:r>
      <w:r>
        <w:rPr>
          <w:rFonts w:hint="eastAsia"/>
          <w:color w:val="auto"/>
          <w:highlight w:val="none"/>
        </w:rPr>
        <w:t>，项目选址所在区域环境功能区划如下。</w:t>
      </w:r>
    </w:p>
    <w:p w14:paraId="3D3FFC59">
      <w:pPr>
        <w:ind w:firstLine="480"/>
        <w:rPr>
          <w:rFonts w:hint="eastAsia"/>
          <w:color w:val="auto"/>
          <w:highlight w:val="none"/>
        </w:rPr>
      </w:pPr>
      <w:r>
        <w:rPr>
          <w:rFonts w:hint="eastAsia"/>
          <w:color w:val="auto"/>
          <w:highlight w:val="none"/>
        </w:rPr>
        <w:t>（1）环境空气</w:t>
      </w:r>
    </w:p>
    <w:p w14:paraId="0AD2D433">
      <w:pPr>
        <w:ind w:firstLine="480"/>
        <w:rPr>
          <w:rFonts w:hint="eastAsia"/>
          <w:color w:val="auto"/>
          <w:highlight w:val="none"/>
        </w:rPr>
      </w:pPr>
      <w:r>
        <w:rPr>
          <w:rFonts w:hint="eastAsia"/>
          <w:color w:val="auto"/>
          <w:highlight w:val="none"/>
        </w:rPr>
        <w:t>根据《环境空气质量功能区划分原则及技术方法》（HJ14-1996）、《环境空气质量 标准》（GB3095-2012）中环境空气质量功能区的分类：城镇规划中确定的居住区、商业交通居民混合区、文化区、一般工业区和农村地区均属于二类功能区。本项目位于工业园区，因此大气环境参照 GB3095-2012中二类功能区执行。</w:t>
      </w:r>
    </w:p>
    <w:p w14:paraId="1DE832C7">
      <w:pPr>
        <w:ind w:firstLine="480"/>
        <w:rPr>
          <w:rFonts w:hint="eastAsia"/>
          <w:color w:val="auto"/>
          <w:highlight w:val="none"/>
        </w:rPr>
      </w:pPr>
      <w:r>
        <w:rPr>
          <w:rFonts w:hint="eastAsia"/>
          <w:color w:val="auto"/>
          <w:highlight w:val="none"/>
        </w:rPr>
        <w:t>（2）地下水环境</w:t>
      </w:r>
    </w:p>
    <w:p w14:paraId="19A08203">
      <w:pPr>
        <w:ind w:firstLine="480"/>
        <w:rPr>
          <w:rFonts w:hint="eastAsia"/>
          <w:color w:val="auto"/>
          <w:highlight w:val="none"/>
        </w:rPr>
      </w:pPr>
      <w:r>
        <w:rPr>
          <w:rFonts w:hint="eastAsia"/>
          <w:color w:val="auto"/>
          <w:highlight w:val="none"/>
        </w:rPr>
        <w:t>根据《地下水质量标准》(GB/T14848-2017)，项目所在区域地下水以人体健康基准值为依据，适用于生活饮用水水源及工、农业用水，故本次评价地下水环境功能区划参照Ⅲ类水功能区执行。</w:t>
      </w:r>
    </w:p>
    <w:p w14:paraId="73048F3A">
      <w:pPr>
        <w:ind w:firstLine="480"/>
        <w:rPr>
          <w:rFonts w:hint="eastAsia"/>
          <w:color w:val="auto"/>
          <w:highlight w:val="none"/>
        </w:rPr>
      </w:pPr>
      <w:r>
        <w:rPr>
          <w:rFonts w:hint="eastAsia"/>
          <w:color w:val="auto"/>
          <w:highlight w:val="none"/>
        </w:rPr>
        <w:t>（3）声环境</w:t>
      </w:r>
    </w:p>
    <w:p w14:paraId="0E12578E">
      <w:pPr>
        <w:ind w:firstLine="480"/>
        <w:rPr>
          <w:rFonts w:hint="eastAsia"/>
          <w:color w:val="auto"/>
          <w:highlight w:val="none"/>
        </w:rPr>
      </w:pPr>
      <w:r>
        <w:rPr>
          <w:rFonts w:hint="eastAsia"/>
          <w:color w:val="auto"/>
          <w:highlight w:val="none"/>
        </w:rPr>
        <w:t>根据《声环境质量标准》（GB3096-2008）规定，本项目位于工业园区，根据《声环境质量标准》（GB3096-2008）规定，执行3类声环境功能区要求。</w:t>
      </w:r>
    </w:p>
    <w:p w14:paraId="5FED8676">
      <w:pPr>
        <w:ind w:firstLine="480"/>
        <w:rPr>
          <w:rFonts w:hint="eastAsia"/>
          <w:color w:val="auto"/>
          <w:highlight w:val="none"/>
        </w:rPr>
      </w:pPr>
      <w:r>
        <w:rPr>
          <w:rFonts w:hint="eastAsia"/>
          <w:color w:val="auto"/>
          <w:highlight w:val="none"/>
        </w:rPr>
        <w:t>（4）土壤环境功能</w:t>
      </w:r>
    </w:p>
    <w:p w14:paraId="7FE9C033">
      <w:pPr>
        <w:ind w:firstLine="480"/>
        <w:rPr>
          <w:rFonts w:hint="eastAsia"/>
          <w:color w:val="auto"/>
          <w:highlight w:val="none"/>
        </w:rPr>
      </w:pPr>
      <w:r>
        <w:rPr>
          <w:rFonts w:hint="eastAsia"/>
          <w:color w:val="auto"/>
          <w:highlight w:val="none"/>
        </w:rPr>
        <w:t>本项目位于工业园区，土地类型为第二类建设用地，属于建设用地功能区。</w:t>
      </w:r>
    </w:p>
    <w:p w14:paraId="1920621B">
      <w:pPr>
        <w:pStyle w:val="6"/>
        <w:rPr>
          <w:color w:val="auto"/>
          <w:highlight w:val="none"/>
        </w:rPr>
      </w:pPr>
      <w:r>
        <w:rPr>
          <w:rFonts w:hint="eastAsia"/>
          <w:color w:val="auto"/>
          <w:highlight w:val="none"/>
          <w:lang w:val="en-US" w:eastAsia="zh-CN"/>
        </w:rPr>
        <w:t xml:space="preserve"> </w:t>
      </w:r>
      <w:r>
        <w:rPr>
          <w:rFonts w:hint="eastAsia"/>
          <w:color w:val="auto"/>
          <w:highlight w:val="none"/>
        </w:rPr>
        <w:t>环境影响质量标准</w:t>
      </w:r>
    </w:p>
    <w:p w14:paraId="50A18A1F">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）环境空气质量标准</w:t>
      </w:r>
    </w:p>
    <w:p w14:paraId="47730727">
      <w:pPr>
        <w:ind w:firstLine="480"/>
        <w:rPr>
          <w:color w:val="auto"/>
          <w:highlight w:val="none"/>
        </w:rPr>
      </w:pPr>
      <w:r>
        <w:rPr>
          <w:rFonts w:hint="eastAsia"/>
          <w:color w:val="auto"/>
          <w:highlight w:val="none"/>
          <w:lang w:val="en-US" w:eastAsia="zh-CN"/>
        </w:rPr>
        <w:t>TSP、</w:t>
      </w:r>
      <w:r>
        <w:rPr>
          <w:color w:val="auto"/>
          <w:highlight w:val="none"/>
        </w:rPr>
        <w:t>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、CO、O</w:t>
      </w:r>
      <w:r>
        <w:rPr>
          <w:color w:val="auto"/>
          <w:highlight w:val="none"/>
          <w:vertAlign w:val="subscript"/>
        </w:rPr>
        <w:t>3</w:t>
      </w:r>
      <w:r>
        <w:rPr>
          <w:color w:val="auto"/>
          <w:highlight w:val="none"/>
        </w:rPr>
        <w:t>、PM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评价执行《环境空气质量标准》（GB3095-2012）及修改单中二级标准</w:t>
      </w:r>
      <w:r>
        <w:rPr>
          <w:rFonts w:hint="eastAsia"/>
          <w:color w:val="auto"/>
          <w:highlight w:val="none"/>
          <w:lang w:eastAsia="zh-CN"/>
        </w:rPr>
        <w:t>，</w:t>
      </w:r>
      <w:r>
        <w:rPr>
          <w:color w:val="auto"/>
          <w:highlight w:val="none"/>
        </w:rPr>
        <w:t>标准值见表2.3-5；</w:t>
      </w:r>
    </w:p>
    <w:p w14:paraId="1C506EDF">
      <w:pPr>
        <w:pStyle w:val="199"/>
        <w:spacing w:before="120"/>
        <w:rPr>
          <w:rFonts w:hint="eastAsia"/>
          <w:color w:val="auto"/>
          <w:sz w:val="24"/>
          <w:highlight w:val="none"/>
        </w:rPr>
      </w:pPr>
      <w:r>
        <w:rPr>
          <w:rFonts w:hint="eastAsia"/>
          <w:color w:val="auto"/>
          <w:sz w:val="24"/>
          <w:highlight w:val="none"/>
        </w:rPr>
        <w:t>表</w:t>
      </w:r>
      <w:r>
        <w:rPr>
          <w:color w:val="auto"/>
          <w:sz w:val="24"/>
          <w:highlight w:val="none"/>
        </w:rPr>
        <w:t>2.3-</w:t>
      </w:r>
      <w:r>
        <w:rPr>
          <w:rFonts w:hint="eastAsia"/>
          <w:color w:val="auto"/>
          <w:sz w:val="24"/>
          <w:highlight w:val="none"/>
        </w:rPr>
        <w:t>5</w:t>
      </w:r>
      <w:r>
        <w:rPr>
          <w:color w:val="auto"/>
          <w:sz w:val="24"/>
          <w:highlight w:val="none"/>
        </w:rPr>
        <w:t xml:space="preserve"> </w:t>
      </w:r>
      <w:r>
        <w:rPr>
          <w:rFonts w:hint="eastAsia"/>
          <w:color w:val="auto"/>
          <w:sz w:val="24"/>
          <w:highlight w:val="none"/>
        </w:rPr>
        <w:t xml:space="preserve">  </w:t>
      </w:r>
      <w:r>
        <w:rPr>
          <w:color w:val="auto"/>
          <w:sz w:val="24"/>
          <w:highlight w:val="none"/>
        </w:rPr>
        <w:t xml:space="preserve"> </w:t>
      </w:r>
      <w:r>
        <w:rPr>
          <w:rFonts w:hint="eastAsia"/>
          <w:color w:val="auto"/>
          <w:sz w:val="24"/>
          <w:highlight w:val="none"/>
        </w:rPr>
        <w:t>环境空气质量标准</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8"/>
        <w:gridCol w:w="2046"/>
        <w:gridCol w:w="1151"/>
        <w:gridCol w:w="962"/>
        <w:gridCol w:w="2746"/>
      </w:tblGrid>
      <w:tr w14:paraId="6E0FC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tcBorders>
              <w:tl2br w:val="nil"/>
              <w:tr2bl w:val="nil"/>
            </w:tcBorders>
            <w:noWrap w:val="0"/>
            <w:vAlign w:val="center"/>
          </w:tcPr>
          <w:p w14:paraId="698124CC">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污染物名称</w:t>
            </w:r>
          </w:p>
        </w:tc>
        <w:tc>
          <w:tcPr>
            <w:tcW w:w="1201" w:type="pct"/>
            <w:tcBorders>
              <w:tl2br w:val="nil"/>
              <w:tr2bl w:val="nil"/>
            </w:tcBorders>
            <w:noWrap w:val="0"/>
            <w:vAlign w:val="center"/>
          </w:tcPr>
          <w:p w14:paraId="516DA66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取值时间</w:t>
            </w:r>
          </w:p>
        </w:tc>
        <w:tc>
          <w:tcPr>
            <w:tcW w:w="676" w:type="pct"/>
            <w:tcBorders>
              <w:tl2br w:val="nil"/>
              <w:tr2bl w:val="nil"/>
            </w:tcBorders>
            <w:noWrap w:val="0"/>
            <w:vAlign w:val="center"/>
          </w:tcPr>
          <w:p w14:paraId="0BA3C26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浓度限值</w:t>
            </w:r>
          </w:p>
        </w:tc>
        <w:tc>
          <w:tcPr>
            <w:tcW w:w="565" w:type="pct"/>
            <w:tcBorders>
              <w:tl2br w:val="nil"/>
              <w:tr2bl w:val="nil"/>
            </w:tcBorders>
            <w:noWrap w:val="0"/>
            <w:vAlign w:val="center"/>
          </w:tcPr>
          <w:p w14:paraId="729D7FBA">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单位</w:t>
            </w:r>
          </w:p>
        </w:tc>
        <w:tc>
          <w:tcPr>
            <w:tcW w:w="1612" w:type="pct"/>
            <w:tcBorders>
              <w:tl2br w:val="nil"/>
              <w:tr2bl w:val="nil"/>
            </w:tcBorders>
            <w:noWrap w:val="0"/>
            <w:vAlign w:val="center"/>
          </w:tcPr>
          <w:p w14:paraId="4F03981D">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标准</w:t>
            </w:r>
          </w:p>
        </w:tc>
      </w:tr>
      <w:tr w14:paraId="40F4F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restart"/>
            <w:tcBorders>
              <w:tl2br w:val="nil"/>
              <w:tr2bl w:val="nil"/>
            </w:tcBorders>
            <w:noWrap w:val="0"/>
            <w:vAlign w:val="center"/>
          </w:tcPr>
          <w:p w14:paraId="52B55F2C">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TSP</w:t>
            </w:r>
          </w:p>
        </w:tc>
        <w:tc>
          <w:tcPr>
            <w:tcW w:w="1201" w:type="pct"/>
            <w:tcBorders>
              <w:tl2br w:val="nil"/>
              <w:tr2bl w:val="nil"/>
            </w:tcBorders>
            <w:noWrap w:val="0"/>
            <w:vAlign w:val="center"/>
          </w:tcPr>
          <w:p w14:paraId="3C04EC8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年平均</w:t>
            </w:r>
          </w:p>
        </w:tc>
        <w:tc>
          <w:tcPr>
            <w:tcW w:w="676" w:type="pct"/>
            <w:tcBorders>
              <w:tl2br w:val="nil"/>
              <w:tr2bl w:val="nil"/>
            </w:tcBorders>
            <w:noWrap w:val="0"/>
            <w:vAlign w:val="center"/>
          </w:tcPr>
          <w:p w14:paraId="5F4E64D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200</w:t>
            </w:r>
          </w:p>
        </w:tc>
        <w:tc>
          <w:tcPr>
            <w:tcW w:w="565" w:type="pct"/>
            <w:vMerge w:val="restart"/>
            <w:tcBorders>
              <w:tl2br w:val="nil"/>
              <w:tr2bl w:val="nil"/>
            </w:tcBorders>
            <w:noWrap w:val="0"/>
            <w:vAlign w:val="center"/>
          </w:tcPr>
          <w:p w14:paraId="5251D88D">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µg/m</w:t>
            </w:r>
            <w:r>
              <w:rPr>
                <w:rFonts w:hint="eastAsia"/>
                <w:color w:val="auto"/>
                <w:sz w:val="21"/>
                <w:szCs w:val="21"/>
                <w:highlight w:val="none"/>
                <w:vertAlign w:val="superscript"/>
                <w:lang w:val="en-US" w:eastAsia="zh-CN"/>
              </w:rPr>
              <w:t>3</w:t>
            </w:r>
          </w:p>
        </w:tc>
        <w:tc>
          <w:tcPr>
            <w:tcW w:w="1612" w:type="pct"/>
            <w:vMerge w:val="restart"/>
            <w:tcBorders>
              <w:tl2br w:val="nil"/>
              <w:tr2bl w:val="nil"/>
            </w:tcBorders>
            <w:noWrap w:val="0"/>
            <w:vAlign w:val="center"/>
          </w:tcPr>
          <w:p w14:paraId="4A8D1EE0">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《环境空气质量标准》（GB3095-2012）及2018修改单中二级标准</w:t>
            </w:r>
          </w:p>
        </w:tc>
      </w:tr>
      <w:tr w14:paraId="2F922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6317F7BA">
            <w:pPr>
              <w:spacing w:line="240" w:lineRule="auto"/>
              <w:ind w:firstLine="0" w:firstLineChars="0"/>
              <w:jc w:val="center"/>
              <w:rPr>
                <w:rFonts w:hint="eastAsia"/>
                <w:color w:val="auto"/>
                <w:sz w:val="21"/>
                <w:szCs w:val="21"/>
                <w:highlight w:val="none"/>
                <w:lang w:val="en-US" w:eastAsia="zh-CN"/>
              </w:rPr>
            </w:pPr>
          </w:p>
        </w:tc>
        <w:tc>
          <w:tcPr>
            <w:tcW w:w="1201" w:type="pct"/>
            <w:tcBorders>
              <w:tl2br w:val="nil"/>
              <w:tr2bl w:val="nil"/>
            </w:tcBorders>
            <w:noWrap w:val="0"/>
            <w:vAlign w:val="center"/>
          </w:tcPr>
          <w:p w14:paraId="09484320">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24小时平均</w:t>
            </w:r>
          </w:p>
        </w:tc>
        <w:tc>
          <w:tcPr>
            <w:tcW w:w="676" w:type="pct"/>
            <w:tcBorders>
              <w:tl2br w:val="nil"/>
              <w:tr2bl w:val="nil"/>
            </w:tcBorders>
            <w:noWrap w:val="0"/>
            <w:vAlign w:val="center"/>
          </w:tcPr>
          <w:p w14:paraId="7810DD46">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300</w:t>
            </w:r>
          </w:p>
        </w:tc>
        <w:tc>
          <w:tcPr>
            <w:tcW w:w="565" w:type="pct"/>
            <w:vMerge w:val="continue"/>
            <w:tcBorders>
              <w:tl2br w:val="nil"/>
              <w:tr2bl w:val="nil"/>
            </w:tcBorders>
            <w:noWrap w:val="0"/>
            <w:vAlign w:val="center"/>
          </w:tcPr>
          <w:p w14:paraId="22F63FF4">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512F77B2">
            <w:pPr>
              <w:spacing w:line="240" w:lineRule="auto"/>
              <w:ind w:firstLine="0" w:firstLineChars="0"/>
              <w:jc w:val="center"/>
              <w:rPr>
                <w:rFonts w:hint="eastAsia"/>
                <w:color w:val="auto"/>
                <w:sz w:val="21"/>
                <w:szCs w:val="21"/>
                <w:highlight w:val="none"/>
              </w:rPr>
            </w:pPr>
          </w:p>
        </w:tc>
      </w:tr>
      <w:tr w14:paraId="07376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restart"/>
            <w:tcBorders>
              <w:tl2br w:val="nil"/>
              <w:tr2bl w:val="nil"/>
            </w:tcBorders>
            <w:noWrap w:val="0"/>
            <w:vAlign w:val="center"/>
          </w:tcPr>
          <w:p w14:paraId="0E80C238">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10</w:t>
            </w:r>
          </w:p>
        </w:tc>
        <w:tc>
          <w:tcPr>
            <w:tcW w:w="1201" w:type="pct"/>
            <w:tcBorders>
              <w:tl2br w:val="nil"/>
              <w:tr2bl w:val="nil"/>
            </w:tcBorders>
            <w:noWrap w:val="0"/>
            <w:vAlign w:val="center"/>
          </w:tcPr>
          <w:p w14:paraId="5998E6F9">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年平均</w:t>
            </w:r>
          </w:p>
        </w:tc>
        <w:tc>
          <w:tcPr>
            <w:tcW w:w="676" w:type="pct"/>
            <w:tcBorders>
              <w:tl2br w:val="nil"/>
              <w:tr2bl w:val="nil"/>
            </w:tcBorders>
            <w:noWrap w:val="0"/>
            <w:vAlign w:val="center"/>
          </w:tcPr>
          <w:p w14:paraId="59AB90A7">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70</w:t>
            </w:r>
          </w:p>
        </w:tc>
        <w:tc>
          <w:tcPr>
            <w:tcW w:w="565" w:type="pct"/>
            <w:vMerge w:val="continue"/>
            <w:tcBorders>
              <w:tl2br w:val="nil"/>
              <w:tr2bl w:val="nil"/>
            </w:tcBorders>
            <w:noWrap w:val="0"/>
            <w:vAlign w:val="center"/>
          </w:tcPr>
          <w:p w14:paraId="315592FD">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389E86A1">
            <w:pPr>
              <w:spacing w:line="240" w:lineRule="auto"/>
              <w:ind w:firstLine="0" w:firstLineChars="0"/>
              <w:jc w:val="center"/>
              <w:rPr>
                <w:rFonts w:hint="eastAsia"/>
                <w:color w:val="auto"/>
                <w:sz w:val="21"/>
                <w:szCs w:val="21"/>
                <w:highlight w:val="none"/>
              </w:rPr>
            </w:pPr>
          </w:p>
        </w:tc>
      </w:tr>
      <w:tr w14:paraId="75974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2E1E4E2B">
            <w:pPr>
              <w:spacing w:line="240" w:lineRule="auto"/>
              <w:ind w:firstLine="0" w:firstLineChars="0"/>
              <w:jc w:val="center"/>
              <w:rPr>
                <w:rFonts w:hint="eastAsia"/>
                <w:color w:val="auto"/>
                <w:sz w:val="21"/>
                <w:szCs w:val="21"/>
                <w:highlight w:val="none"/>
                <w:lang w:val="en-US" w:eastAsia="zh-CN"/>
              </w:rPr>
            </w:pPr>
          </w:p>
        </w:tc>
        <w:tc>
          <w:tcPr>
            <w:tcW w:w="1201" w:type="pct"/>
            <w:tcBorders>
              <w:tl2br w:val="nil"/>
              <w:tr2bl w:val="nil"/>
            </w:tcBorders>
            <w:noWrap w:val="0"/>
            <w:vAlign w:val="center"/>
          </w:tcPr>
          <w:p w14:paraId="7006688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24小时平均</w:t>
            </w:r>
          </w:p>
        </w:tc>
        <w:tc>
          <w:tcPr>
            <w:tcW w:w="676" w:type="pct"/>
            <w:tcBorders>
              <w:tl2br w:val="nil"/>
              <w:tr2bl w:val="nil"/>
            </w:tcBorders>
            <w:noWrap w:val="0"/>
            <w:vAlign w:val="center"/>
          </w:tcPr>
          <w:p w14:paraId="65E9B7E7">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150</w:t>
            </w:r>
          </w:p>
        </w:tc>
        <w:tc>
          <w:tcPr>
            <w:tcW w:w="565" w:type="pct"/>
            <w:vMerge w:val="continue"/>
            <w:tcBorders>
              <w:tl2br w:val="nil"/>
              <w:tr2bl w:val="nil"/>
            </w:tcBorders>
            <w:noWrap w:val="0"/>
            <w:vAlign w:val="center"/>
          </w:tcPr>
          <w:p w14:paraId="24AD728F">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0E99CC40">
            <w:pPr>
              <w:spacing w:line="240" w:lineRule="auto"/>
              <w:ind w:firstLine="0" w:firstLineChars="0"/>
              <w:jc w:val="center"/>
              <w:rPr>
                <w:rFonts w:hint="eastAsia"/>
                <w:color w:val="auto"/>
                <w:sz w:val="21"/>
                <w:szCs w:val="21"/>
                <w:highlight w:val="none"/>
              </w:rPr>
            </w:pPr>
          </w:p>
        </w:tc>
      </w:tr>
      <w:tr w14:paraId="089B8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restart"/>
            <w:tcBorders>
              <w:tl2br w:val="nil"/>
              <w:tr2bl w:val="nil"/>
            </w:tcBorders>
            <w:noWrap w:val="0"/>
            <w:vAlign w:val="center"/>
          </w:tcPr>
          <w:p w14:paraId="58DBB08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PM</w:t>
            </w:r>
            <w:r>
              <w:rPr>
                <w:rFonts w:hint="eastAsia"/>
                <w:color w:val="auto"/>
                <w:sz w:val="21"/>
                <w:szCs w:val="21"/>
                <w:highlight w:val="none"/>
                <w:vertAlign w:val="subscript"/>
                <w:lang w:val="en-US" w:eastAsia="zh-CN"/>
              </w:rPr>
              <w:t>2.5</w:t>
            </w:r>
          </w:p>
        </w:tc>
        <w:tc>
          <w:tcPr>
            <w:tcW w:w="1201" w:type="pct"/>
            <w:tcBorders>
              <w:tl2br w:val="nil"/>
              <w:tr2bl w:val="nil"/>
            </w:tcBorders>
            <w:noWrap w:val="0"/>
            <w:vAlign w:val="top"/>
          </w:tcPr>
          <w:p w14:paraId="23F4D14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年平均</w:t>
            </w:r>
          </w:p>
        </w:tc>
        <w:tc>
          <w:tcPr>
            <w:tcW w:w="676" w:type="pct"/>
            <w:tcBorders>
              <w:tl2br w:val="nil"/>
              <w:tr2bl w:val="nil"/>
            </w:tcBorders>
            <w:noWrap w:val="0"/>
            <w:vAlign w:val="center"/>
          </w:tcPr>
          <w:p w14:paraId="4532B0B9">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35</w:t>
            </w:r>
          </w:p>
        </w:tc>
        <w:tc>
          <w:tcPr>
            <w:tcW w:w="565" w:type="pct"/>
            <w:vMerge w:val="continue"/>
            <w:tcBorders>
              <w:tl2br w:val="nil"/>
              <w:tr2bl w:val="nil"/>
            </w:tcBorders>
            <w:noWrap w:val="0"/>
            <w:vAlign w:val="center"/>
          </w:tcPr>
          <w:p w14:paraId="0CCCE13E">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0FBDD42E">
            <w:pPr>
              <w:spacing w:line="240" w:lineRule="auto"/>
              <w:ind w:firstLine="0" w:firstLineChars="0"/>
              <w:jc w:val="center"/>
              <w:rPr>
                <w:rFonts w:hint="eastAsia"/>
                <w:color w:val="auto"/>
                <w:sz w:val="21"/>
                <w:szCs w:val="21"/>
                <w:highlight w:val="none"/>
              </w:rPr>
            </w:pPr>
          </w:p>
        </w:tc>
      </w:tr>
      <w:tr w14:paraId="21654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04E4EC74">
            <w:pPr>
              <w:spacing w:line="240" w:lineRule="auto"/>
              <w:ind w:firstLine="0" w:firstLineChars="0"/>
              <w:jc w:val="center"/>
              <w:rPr>
                <w:rFonts w:hint="eastAsia"/>
                <w:color w:val="auto"/>
                <w:sz w:val="21"/>
                <w:szCs w:val="21"/>
                <w:highlight w:val="none"/>
                <w:lang w:val="en-US" w:eastAsia="zh-CN"/>
              </w:rPr>
            </w:pPr>
          </w:p>
        </w:tc>
        <w:tc>
          <w:tcPr>
            <w:tcW w:w="1201" w:type="pct"/>
            <w:tcBorders>
              <w:tl2br w:val="nil"/>
              <w:tr2bl w:val="nil"/>
            </w:tcBorders>
            <w:noWrap w:val="0"/>
            <w:vAlign w:val="top"/>
          </w:tcPr>
          <w:p w14:paraId="1469A0E8">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24小时平均</w:t>
            </w:r>
          </w:p>
        </w:tc>
        <w:tc>
          <w:tcPr>
            <w:tcW w:w="676" w:type="pct"/>
            <w:tcBorders>
              <w:tl2br w:val="nil"/>
              <w:tr2bl w:val="nil"/>
            </w:tcBorders>
            <w:noWrap w:val="0"/>
            <w:vAlign w:val="center"/>
          </w:tcPr>
          <w:p w14:paraId="7F28585F">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75</w:t>
            </w:r>
          </w:p>
        </w:tc>
        <w:tc>
          <w:tcPr>
            <w:tcW w:w="565" w:type="pct"/>
            <w:vMerge w:val="continue"/>
            <w:tcBorders>
              <w:tl2br w:val="nil"/>
              <w:tr2bl w:val="nil"/>
            </w:tcBorders>
            <w:noWrap w:val="0"/>
            <w:vAlign w:val="center"/>
          </w:tcPr>
          <w:p w14:paraId="106A904E">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38D77CAC">
            <w:pPr>
              <w:spacing w:line="240" w:lineRule="auto"/>
              <w:ind w:firstLine="0" w:firstLineChars="0"/>
              <w:jc w:val="center"/>
              <w:rPr>
                <w:rFonts w:hint="eastAsia"/>
                <w:color w:val="auto"/>
                <w:sz w:val="21"/>
                <w:szCs w:val="21"/>
                <w:highlight w:val="none"/>
              </w:rPr>
            </w:pPr>
          </w:p>
        </w:tc>
      </w:tr>
      <w:tr w14:paraId="73212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restart"/>
            <w:tcBorders>
              <w:tl2br w:val="nil"/>
              <w:tr2bl w:val="nil"/>
            </w:tcBorders>
            <w:noWrap w:val="0"/>
            <w:vAlign w:val="center"/>
          </w:tcPr>
          <w:p w14:paraId="44D9434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SO</w:t>
            </w:r>
            <w:r>
              <w:rPr>
                <w:rFonts w:hint="eastAsia"/>
                <w:color w:val="auto"/>
                <w:sz w:val="21"/>
                <w:szCs w:val="21"/>
                <w:highlight w:val="none"/>
                <w:vertAlign w:val="subscript"/>
                <w:lang w:val="en-US" w:eastAsia="zh-CN"/>
              </w:rPr>
              <w:t>2</w:t>
            </w:r>
          </w:p>
        </w:tc>
        <w:tc>
          <w:tcPr>
            <w:tcW w:w="1201" w:type="pct"/>
            <w:tcBorders>
              <w:tl2br w:val="nil"/>
              <w:tr2bl w:val="nil"/>
            </w:tcBorders>
            <w:noWrap w:val="0"/>
            <w:vAlign w:val="center"/>
          </w:tcPr>
          <w:p w14:paraId="215B94AB">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年平均</w:t>
            </w:r>
          </w:p>
        </w:tc>
        <w:tc>
          <w:tcPr>
            <w:tcW w:w="676" w:type="pct"/>
            <w:tcBorders>
              <w:tl2br w:val="nil"/>
              <w:tr2bl w:val="nil"/>
            </w:tcBorders>
            <w:noWrap w:val="0"/>
            <w:vAlign w:val="center"/>
          </w:tcPr>
          <w:p w14:paraId="1B71D188">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60</w:t>
            </w:r>
          </w:p>
        </w:tc>
        <w:tc>
          <w:tcPr>
            <w:tcW w:w="565" w:type="pct"/>
            <w:vMerge w:val="continue"/>
            <w:tcBorders>
              <w:tl2br w:val="nil"/>
              <w:tr2bl w:val="nil"/>
            </w:tcBorders>
            <w:noWrap w:val="0"/>
            <w:vAlign w:val="center"/>
          </w:tcPr>
          <w:p w14:paraId="7C146C34">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3046A51E">
            <w:pPr>
              <w:spacing w:line="240" w:lineRule="auto"/>
              <w:ind w:firstLine="0" w:firstLineChars="0"/>
              <w:jc w:val="center"/>
              <w:rPr>
                <w:rFonts w:hint="eastAsia"/>
                <w:color w:val="auto"/>
                <w:sz w:val="21"/>
                <w:szCs w:val="21"/>
                <w:highlight w:val="none"/>
              </w:rPr>
            </w:pPr>
          </w:p>
        </w:tc>
      </w:tr>
      <w:tr w14:paraId="04E29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3B7E1E3A">
            <w:pPr>
              <w:spacing w:line="240" w:lineRule="auto"/>
              <w:ind w:firstLine="0" w:firstLineChars="0"/>
              <w:jc w:val="center"/>
              <w:rPr>
                <w:rFonts w:hint="eastAsia"/>
                <w:color w:val="auto"/>
                <w:sz w:val="21"/>
                <w:szCs w:val="21"/>
                <w:highlight w:val="none"/>
                <w:lang w:val="en-US" w:eastAsia="zh-CN"/>
              </w:rPr>
            </w:pPr>
          </w:p>
        </w:tc>
        <w:tc>
          <w:tcPr>
            <w:tcW w:w="1201" w:type="pct"/>
            <w:tcBorders>
              <w:tl2br w:val="nil"/>
              <w:tr2bl w:val="nil"/>
            </w:tcBorders>
            <w:noWrap w:val="0"/>
            <w:vAlign w:val="center"/>
          </w:tcPr>
          <w:p w14:paraId="62E3609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24小时平均</w:t>
            </w:r>
          </w:p>
        </w:tc>
        <w:tc>
          <w:tcPr>
            <w:tcW w:w="676" w:type="pct"/>
            <w:tcBorders>
              <w:tl2br w:val="nil"/>
              <w:tr2bl w:val="nil"/>
            </w:tcBorders>
            <w:noWrap w:val="0"/>
            <w:vAlign w:val="center"/>
          </w:tcPr>
          <w:p w14:paraId="7E35E532">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150</w:t>
            </w:r>
          </w:p>
        </w:tc>
        <w:tc>
          <w:tcPr>
            <w:tcW w:w="565" w:type="pct"/>
            <w:vMerge w:val="continue"/>
            <w:tcBorders>
              <w:tl2br w:val="nil"/>
              <w:tr2bl w:val="nil"/>
            </w:tcBorders>
            <w:noWrap w:val="0"/>
            <w:vAlign w:val="center"/>
          </w:tcPr>
          <w:p w14:paraId="12D0CAC8">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1F20C185">
            <w:pPr>
              <w:spacing w:line="240" w:lineRule="auto"/>
              <w:ind w:firstLine="0" w:firstLineChars="0"/>
              <w:jc w:val="center"/>
              <w:rPr>
                <w:rFonts w:hint="eastAsia"/>
                <w:color w:val="auto"/>
                <w:sz w:val="21"/>
                <w:szCs w:val="21"/>
                <w:highlight w:val="none"/>
              </w:rPr>
            </w:pPr>
          </w:p>
        </w:tc>
      </w:tr>
      <w:tr w14:paraId="1EDB1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30DAE8A2">
            <w:pPr>
              <w:spacing w:line="240" w:lineRule="auto"/>
              <w:ind w:firstLine="0" w:firstLineChars="0"/>
              <w:jc w:val="center"/>
              <w:rPr>
                <w:rFonts w:hint="eastAsia"/>
                <w:color w:val="auto"/>
                <w:sz w:val="21"/>
                <w:szCs w:val="21"/>
                <w:highlight w:val="none"/>
                <w:lang w:val="en-US" w:eastAsia="zh-CN"/>
              </w:rPr>
            </w:pPr>
          </w:p>
        </w:tc>
        <w:tc>
          <w:tcPr>
            <w:tcW w:w="1201" w:type="pct"/>
            <w:tcBorders>
              <w:tl2br w:val="nil"/>
              <w:tr2bl w:val="nil"/>
            </w:tcBorders>
            <w:noWrap w:val="0"/>
            <w:vAlign w:val="center"/>
          </w:tcPr>
          <w:p w14:paraId="502DD4A1">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1小时平均</w:t>
            </w:r>
          </w:p>
        </w:tc>
        <w:tc>
          <w:tcPr>
            <w:tcW w:w="676" w:type="pct"/>
            <w:tcBorders>
              <w:tl2br w:val="nil"/>
              <w:tr2bl w:val="nil"/>
            </w:tcBorders>
            <w:noWrap w:val="0"/>
            <w:vAlign w:val="center"/>
          </w:tcPr>
          <w:p w14:paraId="7FCF3F59">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500</w:t>
            </w:r>
          </w:p>
        </w:tc>
        <w:tc>
          <w:tcPr>
            <w:tcW w:w="565" w:type="pct"/>
            <w:vMerge w:val="continue"/>
            <w:tcBorders>
              <w:tl2br w:val="nil"/>
              <w:tr2bl w:val="nil"/>
            </w:tcBorders>
            <w:noWrap w:val="0"/>
            <w:vAlign w:val="center"/>
          </w:tcPr>
          <w:p w14:paraId="42D9A68B">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32F2BF81">
            <w:pPr>
              <w:spacing w:line="240" w:lineRule="auto"/>
              <w:ind w:firstLine="0" w:firstLineChars="0"/>
              <w:jc w:val="center"/>
              <w:rPr>
                <w:rFonts w:hint="eastAsia"/>
                <w:color w:val="auto"/>
                <w:sz w:val="21"/>
                <w:szCs w:val="21"/>
                <w:highlight w:val="none"/>
              </w:rPr>
            </w:pPr>
          </w:p>
        </w:tc>
      </w:tr>
      <w:tr w14:paraId="1170B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restart"/>
            <w:tcBorders>
              <w:tl2br w:val="nil"/>
              <w:tr2bl w:val="nil"/>
            </w:tcBorders>
            <w:noWrap w:val="0"/>
            <w:vAlign w:val="center"/>
          </w:tcPr>
          <w:p w14:paraId="06D8E35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2</w:t>
            </w:r>
          </w:p>
        </w:tc>
        <w:tc>
          <w:tcPr>
            <w:tcW w:w="1201" w:type="pct"/>
            <w:tcBorders>
              <w:tl2br w:val="nil"/>
              <w:tr2bl w:val="nil"/>
            </w:tcBorders>
            <w:noWrap w:val="0"/>
            <w:vAlign w:val="center"/>
          </w:tcPr>
          <w:p w14:paraId="25250A1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年平均</w:t>
            </w:r>
          </w:p>
        </w:tc>
        <w:tc>
          <w:tcPr>
            <w:tcW w:w="676" w:type="pct"/>
            <w:tcBorders>
              <w:tl2br w:val="nil"/>
              <w:tr2bl w:val="nil"/>
            </w:tcBorders>
            <w:noWrap w:val="0"/>
            <w:vAlign w:val="center"/>
          </w:tcPr>
          <w:p w14:paraId="24BBB22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40</w:t>
            </w:r>
          </w:p>
        </w:tc>
        <w:tc>
          <w:tcPr>
            <w:tcW w:w="565" w:type="pct"/>
            <w:vMerge w:val="continue"/>
            <w:tcBorders>
              <w:tl2br w:val="nil"/>
              <w:tr2bl w:val="nil"/>
            </w:tcBorders>
            <w:noWrap w:val="0"/>
            <w:vAlign w:val="center"/>
          </w:tcPr>
          <w:p w14:paraId="2CC2CA2E">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50621BC6">
            <w:pPr>
              <w:spacing w:line="240" w:lineRule="auto"/>
              <w:ind w:firstLine="0" w:firstLineChars="0"/>
              <w:jc w:val="center"/>
              <w:rPr>
                <w:rFonts w:hint="eastAsia"/>
                <w:color w:val="auto"/>
                <w:sz w:val="21"/>
                <w:szCs w:val="21"/>
                <w:highlight w:val="none"/>
              </w:rPr>
            </w:pPr>
          </w:p>
        </w:tc>
      </w:tr>
      <w:tr w14:paraId="075C2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50135D61">
            <w:pPr>
              <w:spacing w:line="240" w:lineRule="auto"/>
              <w:ind w:firstLine="0" w:firstLineChars="0"/>
              <w:jc w:val="center"/>
              <w:rPr>
                <w:rFonts w:hint="eastAsia"/>
                <w:color w:val="auto"/>
                <w:sz w:val="21"/>
                <w:szCs w:val="21"/>
                <w:highlight w:val="none"/>
                <w:lang w:val="en-US" w:eastAsia="zh-CN"/>
              </w:rPr>
            </w:pPr>
          </w:p>
        </w:tc>
        <w:tc>
          <w:tcPr>
            <w:tcW w:w="1201" w:type="pct"/>
            <w:tcBorders>
              <w:tl2br w:val="nil"/>
              <w:tr2bl w:val="nil"/>
            </w:tcBorders>
            <w:noWrap w:val="0"/>
            <w:vAlign w:val="center"/>
          </w:tcPr>
          <w:p w14:paraId="2BEA55E9">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24小时平均</w:t>
            </w:r>
          </w:p>
        </w:tc>
        <w:tc>
          <w:tcPr>
            <w:tcW w:w="676" w:type="pct"/>
            <w:tcBorders>
              <w:tl2br w:val="nil"/>
              <w:tr2bl w:val="nil"/>
            </w:tcBorders>
            <w:noWrap w:val="0"/>
            <w:vAlign w:val="center"/>
          </w:tcPr>
          <w:p w14:paraId="1AFC466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80</w:t>
            </w:r>
          </w:p>
        </w:tc>
        <w:tc>
          <w:tcPr>
            <w:tcW w:w="565" w:type="pct"/>
            <w:vMerge w:val="continue"/>
            <w:tcBorders>
              <w:tl2br w:val="nil"/>
              <w:tr2bl w:val="nil"/>
            </w:tcBorders>
            <w:noWrap w:val="0"/>
            <w:vAlign w:val="center"/>
          </w:tcPr>
          <w:p w14:paraId="3A93C5EC">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3AB53532">
            <w:pPr>
              <w:spacing w:line="240" w:lineRule="auto"/>
              <w:ind w:firstLine="0" w:firstLineChars="0"/>
              <w:jc w:val="center"/>
              <w:rPr>
                <w:rFonts w:hint="eastAsia"/>
                <w:color w:val="auto"/>
                <w:sz w:val="21"/>
                <w:szCs w:val="21"/>
                <w:highlight w:val="none"/>
              </w:rPr>
            </w:pPr>
          </w:p>
        </w:tc>
      </w:tr>
      <w:tr w14:paraId="67E5A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3C4E0BCB">
            <w:pPr>
              <w:spacing w:line="240" w:lineRule="auto"/>
              <w:ind w:firstLine="0" w:firstLineChars="0"/>
              <w:jc w:val="center"/>
              <w:rPr>
                <w:rFonts w:hint="eastAsia"/>
                <w:color w:val="auto"/>
                <w:sz w:val="21"/>
                <w:szCs w:val="21"/>
                <w:highlight w:val="none"/>
                <w:lang w:val="en-US" w:eastAsia="zh-CN"/>
              </w:rPr>
            </w:pPr>
          </w:p>
        </w:tc>
        <w:tc>
          <w:tcPr>
            <w:tcW w:w="1201" w:type="pct"/>
            <w:tcBorders>
              <w:tl2br w:val="nil"/>
              <w:tr2bl w:val="nil"/>
            </w:tcBorders>
            <w:noWrap w:val="0"/>
            <w:vAlign w:val="center"/>
          </w:tcPr>
          <w:p w14:paraId="34F62169">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1小时平均</w:t>
            </w:r>
          </w:p>
        </w:tc>
        <w:tc>
          <w:tcPr>
            <w:tcW w:w="676" w:type="pct"/>
            <w:tcBorders>
              <w:tl2br w:val="nil"/>
              <w:tr2bl w:val="nil"/>
            </w:tcBorders>
            <w:noWrap w:val="0"/>
            <w:vAlign w:val="center"/>
          </w:tcPr>
          <w:p w14:paraId="0BC84624">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200</w:t>
            </w:r>
          </w:p>
        </w:tc>
        <w:tc>
          <w:tcPr>
            <w:tcW w:w="565" w:type="pct"/>
            <w:vMerge w:val="continue"/>
            <w:tcBorders>
              <w:tl2br w:val="nil"/>
              <w:tr2bl w:val="nil"/>
            </w:tcBorders>
            <w:noWrap w:val="0"/>
            <w:vAlign w:val="center"/>
          </w:tcPr>
          <w:p w14:paraId="75328D91">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60DEA44D">
            <w:pPr>
              <w:spacing w:line="240" w:lineRule="auto"/>
              <w:ind w:firstLine="0" w:firstLineChars="0"/>
              <w:jc w:val="center"/>
              <w:rPr>
                <w:rFonts w:hint="eastAsia"/>
                <w:color w:val="auto"/>
                <w:sz w:val="21"/>
                <w:szCs w:val="21"/>
                <w:highlight w:val="none"/>
              </w:rPr>
            </w:pPr>
          </w:p>
        </w:tc>
      </w:tr>
      <w:tr w14:paraId="3E870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restart"/>
            <w:tcBorders>
              <w:tl2br w:val="nil"/>
              <w:tr2bl w:val="nil"/>
            </w:tcBorders>
            <w:noWrap w:val="0"/>
            <w:vAlign w:val="center"/>
          </w:tcPr>
          <w:p w14:paraId="72CE4ECA">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O</w:t>
            </w:r>
            <w:r>
              <w:rPr>
                <w:rFonts w:hint="eastAsia"/>
                <w:color w:val="auto"/>
                <w:sz w:val="21"/>
                <w:szCs w:val="21"/>
                <w:highlight w:val="none"/>
                <w:vertAlign w:val="subscript"/>
                <w:lang w:val="en-US" w:eastAsia="zh-CN"/>
              </w:rPr>
              <w:t>3</w:t>
            </w:r>
          </w:p>
        </w:tc>
        <w:tc>
          <w:tcPr>
            <w:tcW w:w="1201" w:type="pct"/>
            <w:tcBorders>
              <w:tl2br w:val="nil"/>
              <w:tr2bl w:val="nil"/>
            </w:tcBorders>
            <w:noWrap w:val="0"/>
            <w:vAlign w:val="top"/>
          </w:tcPr>
          <w:p w14:paraId="4C4F1CE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日最大8小时平均</w:t>
            </w:r>
          </w:p>
        </w:tc>
        <w:tc>
          <w:tcPr>
            <w:tcW w:w="676" w:type="pct"/>
            <w:tcBorders>
              <w:tl2br w:val="nil"/>
              <w:tr2bl w:val="nil"/>
            </w:tcBorders>
            <w:noWrap w:val="0"/>
            <w:vAlign w:val="center"/>
          </w:tcPr>
          <w:p w14:paraId="663B2ED3">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160</w:t>
            </w:r>
          </w:p>
        </w:tc>
        <w:tc>
          <w:tcPr>
            <w:tcW w:w="565" w:type="pct"/>
            <w:vMerge w:val="continue"/>
            <w:tcBorders>
              <w:tl2br w:val="nil"/>
              <w:tr2bl w:val="nil"/>
            </w:tcBorders>
            <w:noWrap w:val="0"/>
            <w:vAlign w:val="center"/>
          </w:tcPr>
          <w:p w14:paraId="605378DD">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5CF4E8F4">
            <w:pPr>
              <w:spacing w:line="240" w:lineRule="auto"/>
              <w:ind w:firstLine="0" w:firstLineChars="0"/>
              <w:jc w:val="center"/>
              <w:rPr>
                <w:rFonts w:hint="eastAsia"/>
                <w:color w:val="auto"/>
                <w:sz w:val="21"/>
                <w:szCs w:val="21"/>
                <w:highlight w:val="none"/>
              </w:rPr>
            </w:pPr>
          </w:p>
        </w:tc>
      </w:tr>
      <w:tr w14:paraId="6DFFF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0B7F7831">
            <w:pPr>
              <w:spacing w:line="240" w:lineRule="auto"/>
              <w:ind w:firstLine="0" w:firstLineChars="0"/>
              <w:jc w:val="center"/>
              <w:rPr>
                <w:rFonts w:hint="eastAsia"/>
                <w:color w:val="auto"/>
                <w:sz w:val="21"/>
                <w:szCs w:val="21"/>
                <w:highlight w:val="none"/>
                <w:lang w:val="en-US" w:eastAsia="zh-CN"/>
              </w:rPr>
            </w:pPr>
          </w:p>
        </w:tc>
        <w:tc>
          <w:tcPr>
            <w:tcW w:w="1201" w:type="pct"/>
            <w:tcBorders>
              <w:tl2br w:val="nil"/>
              <w:tr2bl w:val="nil"/>
            </w:tcBorders>
            <w:noWrap w:val="0"/>
            <w:vAlign w:val="top"/>
          </w:tcPr>
          <w:p w14:paraId="545E724E">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1小时平均</w:t>
            </w:r>
          </w:p>
        </w:tc>
        <w:tc>
          <w:tcPr>
            <w:tcW w:w="676" w:type="pct"/>
            <w:tcBorders>
              <w:tl2br w:val="nil"/>
              <w:tr2bl w:val="nil"/>
            </w:tcBorders>
            <w:noWrap w:val="0"/>
            <w:vAlign w:val="center"/>
          </w:tcPr>
          <w:p w14:paraId="7D1207D5">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200</w:t>
            </w:r>
          </w:p>
        </w:tc>
        <w:tc>
          <w:tcPr>
            <w:tcW w:w="565" w:type="pct"/>
            <w:vMerge w:val="continue"/>
            <w:tcBorders>
              <w:tl2br w:val="nil"/>
              <w:tr2bl w:val="nil"/>
            </w:tcBorders>
            <w:noWrap w:val="0"/>
            <w:vAlign w:val="center"/>
          </w:tcPr>
          <w:p w14:paraId="48BF839A">
            <w:pPr>
              <w:spacing w:line="240" w:lineRule="auto"/>
              <w:ind w:firstLine="0" w:firstLineChars="0"/>
              <w:jc w:val="center"/>
              <w:rPr>
                <w:rFonts w:hint="eastAsia"/>
                <w:color w:val="auto"/>
                <w:sz w:val="21"/>
                <w:szCs w:val="21"/>
                <w:highlight w:val="none"/>
                <w:lang w:val="en-US" w:eastAsia="zh-CN"/>
              </w:rPr>
            </w:pPr>
          </w:p>
        </w:tc>
        <w:tc>
          <w:tcPr>
            <w:tcW w:w="1612" w:type="pct"/>
            <w:vMerge w:val="continue"/>
            <w:tcBorders>
              <w:tl2br w:val="nil"/>
              <w:tr2bl w:val="nil"/>
            </w:tcBorders>
            <w:noWrap w:val="0"/>
            <w:vAlign w:val="center"/>
          </w:tcPr>
          <w:p w14:paraId="05C4E829">
            <w:pPr>
              <w:spacing w:line="240" w:lineRule="auto"/>
              <w:ind w:firstLine="0" w:firstLineChars="0"/>
              <w:jc w:val="center"/>
              <w:rPr>
                <w:rFonts w:hint="eastAsia"/>
                <w:color w:val="auto"/>
                <w:sz w:val="21"/>
                <w:szCs w:val="21"/>
                <w:highlight w:val="none"/>
              </w:rPr>
            </w:pPr>
          </w:p>
        </w:tc>
      </w:tr>
      <w:tr w14:paraId="2A911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restart"/>
            <w:tcBorders>
              <w:tl2br w:val="nil"/>
              <w:tr2bl w:val="nil"/>
            </w:tcBorders>
            <w:noWrap w:val="0"/>
            <w:vAlign w:val="center"/>
          </w:tcPr>
          <w:p w14:paraId="316D798B">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CO</w:t>
            </w:r>
          </w:p>
        </w:tc>
        <w:tc>
          <w:tcPr>
            <w:tcW w:w="1201" w:type="pct"/>
            <w:tcBorders>
              <w:tl2br w:val="nil"/>
              <w:tr2bl w:val="nil"/>
            </w:tcBorders>
            <w:noWrap w:val="0"/>
            <w:vAlign w:val="top"/>
          </w:tcPr>
          <w:p w14:paraId="573AFD78">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24小时平均</w:t>
            </w:r>
          </w:p>
        </w:tc>
        <w:tc>
          <w:tcPr>
            <w:tcW w:w="676" w:type="pct"/>
            <w:tcBorders>
              <w:tl2br w:val="nil"/>
              <w:tr2bl w:val="nil"/>
            </w:tcBorders>
            <w:noWrap w:val="0"/>
            <w:vAlign w:val="center"/>
          </w:tcPr>
          <w:p w14:paraId="3FE355BC">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4</w:t>
            </w:r>
          </w:p>
        </w:tc>
        <w:tc>
          <w:tcPr>
            <w:tcW w:w="565" w:type="pct"/>
            <w:vMerge w:val="restart"/>
            <w:tcBorders>
              <w:tl2br w:val="nil"/>
              <w:tr2bl w:val="nil"/>
            </w:tcBorders>
            <w:noWrap w:val="0"/>
            <w:vAlign w:val="center"/>
          </w:tcPr>
          <w:p w14:paraId="12F9E548">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mg/m</w:t>
            </w:r>
            <w:r>
              <w:rPr>
                <w:rFonts w:hint="eastAsia"/>
                <w:color w:val="auto"/>
                <w:sz w:val="21"/>
                <w:szCs w:val="21"/>
                <w:highlight w:val="none"/>
                <w:vertAlign w:val="superscript"/>
                <w:lang w:val="en-US" w:eastAsia="zh-CN"/>
              </w:rPr>
              <w:t>3</w:t>
            </w:r>
          </w:p>
        </w:tc>
        <w:tc>
          <w:tcPr>
            <w:tcW w:w="1612" w:type="pct"/>
            <w:vMerge w:val="continue"/>
            <w:tcBorders>
              <w:tl2br w:val="nil"/>
              <w:tr2bl w:val="nil"/>
            </w:tcBorders>
            <w:noWrap w:val="0"/>
            <w:vAlign w:val="center"/>
          </w:tcPr>
          <w:p w14:paraId="7B3EDA26">
            <w:pPr>
              <w:spacing w:line="240" w:lineRule="auto"/>
              <w:ind w:firstLine="0" w:firstLineChars="0"/>
              <w:jc w:val="center"/>
              <w:rPr>
                <w:rFonts w:hint="eastAsia"/>
                <w:color w:val="auto"/>
                <w:sz w:val="21"/>
                <w:szCs w:val="21"/>
                <w:highlight w:val="none"/>
              </w:rPr>
            </w:pPr>
          </w:p>
        </w:tc>
      </w:tr>
      <w:tr w14:paraId="08293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4" w:type="pct"/>
            <w:vMerge w:val="continue"/>
            <w:tcBorders>
              <w:tl2br w:val="nil"/>
              <w:tr2bl w:val="nil"/>
            </w:tcBorders>
            <w:noWrap w:val="0"/>
            <w:vAlign w:val="center"/>
          </w:tcPr>
          <w:p w14:paraId="433E1C00">
            <w:pPr>
              <w:spacing w:line="240" w:lineRule="auto"/>
              <w:ind w:firstLine="0" w:firstLineChars="0"/>
              <w:jc w:val="center"/>
              <w:rPr>
                <w:rFonts w:hint="eastAsia"/>
                <w:color w:val="auto"/>
                <w:sz w:val="21"/>
                <w:szCs w:val="21"/>
                <w:highlight w:val="none"/>
              </w:rPr>
            </w:pPr>
          </w:p>
        </w:tc>
        <w:tc>
          <w:tcPr>
            <w:tcW w:w="1201" w:type="pct"/>
            <w:tcBorders>
              <w:tl2br w:val="nil"/>
              <w:tr2bl w:val="nil"/>
            </w:tcBorders>
            <w:noWrap w:val="0"/>
            <w:vAlign w:val="top"/>
          </w:tcPr>
          <w:p w14:paraId="09374A99">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1小时平均</w:t>
            </w:r>
          </w:p>
        </w:tc>
        <w:tc>
          <w:tcPr>
            <w:tcW w:w="676" w:type="pct"/>
            <w:tcBorders>
              <w:tl2br w:val="nil"/>
              <w:tr2bl w:val="nil"/>
            </w:tcBorders>
            <w:noWrap w:val="0"/>
            <w:vAlign w:val="center"/>
          </w:tcPr>
          <w:p w14:paraId="59B3D77A">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10</w:t>
            </w:r>
          </w:p>
        </w:tc>
        <w:tc>
          <w:tcPr>
            <w:tcW w:w="565" w:type="pct"/>
            <w:vMerge w:val="continue"/>
            <w:tcBorders>
              <w:tl2br w:val="nil"/>
              <w:tr2bl w:val="nil"/>
            </w:tcBorders>
            <w:noWrap w:val="0"/>
            <w:vAlign w:val="center"/>
          </w:tcPr>
          <w:p w14:paraId="73B0E92C">
            <w:pPr>
              <w:spacing w:line="240" w:lineRule="auto"/>
              <w:ind w:firstLine="0" w:firstLineChars="0"/>
              <w:jc w:val="center"/>
              <w:rPr>
                <w:rFonts w:hint="eastAsia"/>
                <w:color w:val="auto"/>
                <w:sz w:val="21"/>
                <w:szCs w:val="21"/>
                <w:highlight w:val="none"/>
              </w:rPr>
            </w:pPr>
          </w:p>
        </w:tc>
        <w:tc>
          <w:tcPr>
            <w:tcW w:w="1612" w:type="pct"/>
            <w:vMerge w:val="continue"/>
            <w:tcBorders>
              <w:tl2br w:val="nil"/>
              <w:tr2bl w:val="nil"/>
            </w:tcBorders>
            <w:noWrap w:val="0"/>
            <w:vAlign w:val="center"/>
          </w:tcPr>
          <w:p w14:paraId="5F308010">
            <w:pPr>
              <w:spacing w:line="240" w:lineRule="auto"/>
              <w:ind w:firstLine="0" w:firstLineChars="0"/>
              <w:jc w:val="center"/>
              <w:rPr>
                <w:rFonts w:hint="eastAsia"/>
                <w:color w:val="auto"/>
                <w:sz w:val="21"/>
                <w:szCs w:val="21"/>
                <w:highlight w:val="none"/>
              </w:rPr>
            </w:pPr>
          </w:p>
        </w:tc>
      </w:tr>
    </w:tbl>
    <w:p w14:paraId="456FDA2F">
      <w:pPr>
        <w:ind w:firstLine="480"/>
        <w:rPr>
          <w:color w:val="auto"/>
          <w:highlight w:val="none"/>
        </w:rPr>
      </w:pPr>
      <w:r>
        <w:rPr>
          <w:rFonts w:hint="eastAsia"/>
          <w:color w:val="auto"/>
          <w:highlight w:val="none"/>
        </w:rPr>
        <w:t>（2）地下水环境</w:t>
      </w:r>
    </w:p>
    <w:p w14:paraId="63E5F206">
      <w:pPr>
        <w:ind w:firstLine="480"/>
        <w:rPr>
          <w:rFonts w:hint="eastAsia"/>
          <w:color w:val="auto"/>
          <w:highlight w:val="none"/>
        </w:rPr>
      </w:pPr>
      <w:r>
        <w:rPr>
          <w:rFonts w:hint="eastAsia"/>
          <w:color w:val="auto"/>
          <w:highlight w:val="none"/>
        </w:rPr>
        <w:t>地下水质量执行《地下水质量标准》</w:t>
      </w:r>
      <w:r>
        <w:rPr>
          <w:color w:val="auto"/>
          <w:highlight w:val="none"/>
        </w:rPr>
        <w:t>(GB/T14848-2017</w:t>
      </w:r>
      <w:r>
        <w:rPr>
          <w:rFonts w:hint="eastAsia"/>
          <w:color w:val="auto"/>
          <w:highlight w:val="none"/>
        </w:rPr>
        <w:t>）中的</w:t>
      </w:r>
      <w:r>
        <w:rPr>
          <w:rFonts w:hint="eastAsia" w:hAnsi="宋体" w:cs="宋体"/>
          <w:color w:val="auto"/>
          <w:highlight w:val="none"/>
        </w:rPr>
        <w:t>Ⅲ</w:t>
      </w:r>
      <w:r>
        <w:rPr>
          <w:rFonts w:hint="eastAsia"/>
          <w:color w:val="auto"/>
          <w:highlight w:val="none"/>
        </w:rPr>
        <w:t>类标准，详见表</w:t>
      </w:r>
      <w:r>
        <w:rPr>
          <w:color w:val="auto"/>
          <w:highlight w:val="none"/>
        </w:rPr>
        <w:t>2.3-</w:t>
      </w:r>
      <w:r>
        <w:rPr>
          <w:rFonts w:hint="eastAsia"/>
          <w:color w:val="auto"/>
          <w:highlight w:val="none"/>
        </w:rPr>
        <w:t>6。</w:t>
      </w:r>
    </w:p>
    <w:p w14:paraId="5FC670FB">
      <w:pPr>
        <w:pStyle w:val="40"/>
        <w:rPr>
          <w:rFonts w:hint="eastAsia"/>
          <w:color w:val="auto"/>
          <w:highlight w:val="none"/>
        </w:rPr>
      </w:pPr>
    </w:p>
    <w:p w14:paraId="4F0136B2">
      <w:pPr>
        <w:pStyle w:val="17"/>
        <w:rPr>
          <w:rFonts w:hint="eastAsia"/>
          <w:color w:val="auto"/>
          <w:highlight w:val="none"/>
        </w:rPr>
      </w:pPr>
    </w:p>
    <w:p w14:paraId="7C8BB00F">
      <w:pPr>
        <w:rPr>
          <w:rFonts w:hint="eastAsia"/>
          <w:color w:val="auto"/>
          <w:highlight w:val="none"/>
        </w:rPr>
      </w:pPr>
    </w:p>
    <w:p w14:paraId="70BBC369">
      <w:pPr>
        <w:pStyle w:val="40"/>
        <w:rPr>
          <w:color w:val="auto"/>
          <w:highlight w:val="none"/>
        </w:rPr>
      </w:pPr>
    </w:p>
    <w:p w14:paraId="3775D5A6">
      <w:pPr>
        <w:pStyle w:val="199"/>
        <w:spacing w:before="120"/>
        <w:ind w:firstLine="480"/>
        <w:rPr>
          <w:color w:val="auto"/>
          <w:sz w:val="24"/>
          <w:highlight w:val="none"/>
        </w:rPr>
      </w:pPr>
      <w:r>
        <w:rPr>
          <w:rFonts w:hint="eastAsia"/>
          <w:color w:val="auto"/>
          <w:sz w:val="24"/>
          <w:highlight w:val="none"/>
        </w:rPr>
        <w:t>表</w:t>
      </w:r>
      <w:r>
        <w:rPr>
          <w:color w:val="auto"/>
          <w:sz w:val="24"/>
          <w:highlight w:val="none"/>
        </w:rPr>
        <w:t>2.3-</w:t>
      </w:r>
      <w:r>
        <w:rPr>
          <w:rFonts w:hint="eastAsia"/>
          <w:color w:val="auto"/>
          <w:sz w:val="24"/>
          <w:highlight w:val="none"/>
        </w:rPr>
        <w:t>6</w:t>
      </w:r>
      <w:r>
        <w:rPr>
          <w:color w:val="auto"/>
          <w:sz w:val="24"/>
          <w:highlight w:val="none"/>
        </w:rPr>
        <w:t xml:space="preserve"> </w:t>
      </w:r>
      <w:r>
        <w:rPr>
          <w:rFonts w:hint="eastAsia"/>
          <w:color w:val="auto"/>
          <w:sz w:val="24"/>
          <w:highlight w:val="none"/>
        </w:rPr>
        <w:t xml:space="preserve">  地下水质量评价标准（单位：</w:t>
      </w:r>
      <w:r>
        <w:rPr>
          <w:color w:val="auto"/>
          <w:sz w:val="24"/>
          <w:highlight w:val="none"/>
        </w:rPr>
        <w:t>mg/L</w:t>
      </w:r>
      <w:r>
        <w:rPr>
          <w:rFonts w:hint="eastAsia"/>
          <w:color w:val="auto"/>
          <w:sz w:val="24"/>
          <w:highlight w:val="none"/>
        </w:rPr>
        <w:t>）</w:t>
      </w:r>
    </w:p>
    <w:tbl>
      <w:tblPr>
        <w:tblStyle w:val="41"/>
        <w:tblW w:w="5000" w:type="pct"/>
        <w:tblInd w:w="10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442"/>
        <w:gridCol w:w="2711"/>
        <w:gridCol w:w="2402"/>
        <w:gridCol w:w="1745"/>
      </w:tblGrid>
      <w:tr w14:paraId="691304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4159" w:type="dxa"/>
            <w:gridSpan w:val="2"/>
            <w:noWrap w:val="0"/>
            <w:vAlign w:val="center"/>
          </w:tcPr>
          <w:p w14:paraId="6E75C9AA">
            <w:pPr>
              <w:spacing w:line="320" w:lineRule="exact"/>
              <w:ind w:firstLine="0" w:firstLineChars="0"/>
              <w:jc w:val="center"/>
              <w:rPr>
                <w:color w:val="auto"/>
                <w:sz w:val="21"/>
                <w:szCs w:val="21"/>
                <w:highlight w:val="none"/>
              </w:rPr>
            </w:pPr>
            <w:r>
              <w:rPr>
                <w:color w:val="auto"/>
                <w:sz w:val="21"/>
                <w:szCs w:val="21"/>
                <w:highlight w:val="none"/>
              </w:rPr>
              <w:t>项目</w:t>
            </w:r>
          </w:p>
        </w:tc>
        <w:tc>
          <w:tcPr>
            <w:tcW w:w="2406" w:type="dxa"/>
            <w:noWrap w:val="0"/>
            <w:vAlign w:val="center"/>
          </w:tcPr>
          <w:p w14:paraId="5D309BD7">
            <w:pPr>
              <w:widowControl/>
              <w:spacing w:line="320" w:lineRule="exact"/>
              <w:ind w:firstLine="0" w:firstLineChars="0"/>
              <w:jc w:val="center"/>
              <w:rPr>
                <w:color w:val="auto"/>
                <w:sz w:val="21"/>
                <w:szCs w:val="21"/>
                <w:highlight w:val="none"/>
              </w:rPr>
            </w:pPr>
            <w:r>
              <w:rPr>
                <w:color w:val="auto"/>
                <w:sz w:val="21"/>
                <w:szCs w:val="21"/>
                <w:highlight w:val="none"/>
              </w:rPr>
              <w:t>单位</w:t>
            </w:r>
          </w:p>
        </w:tc>
        <w:tc>
          <w:tcPr>
            <w:tcW w:w="1747" w:type="dxa"/>
            <w:noWrap w:val="0"/>
            <w:vAlign w:val="center"/>
          </w:tcPr>
          <w:p w14:paraId="42D17706">
            <w:pPr>
              <w:widowControl/>
              <w:spacing w:line="320" w:lineRule="exact"/>
              <w:ind w:firstLine="0" w:firstLineChars="0"/>
              <w:jc w:val="center"/>
              <w:rPr>
                <w:color w:val="auto"/>
                <w:sz w:val="21"/>
                <w:szCs w:val="21"/>
                <w:highlight w:val="none"/>
              </w:rPr>
            </w:pPr>
            <w:r>
              <w:rPr>
                <w:color w:val="auto"/>
                <w:sz w:val="21"/>
                <w:szCs w:val="21"/>
                <w:highlight w:val="none"/>
              </w:rPr>
              <w:t>标准值</w:t>
            </w:r>
          </w:p>
        </w:tc>
      </w:tr>
      <w:tr w14:paraId="6AA770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restart"/>
            <w:noWrap w:val="0"/>
            <w:vAlign w:val="center"/>
          </w:tcPr>
          <w:p w14:paraId="06892473">
            <w:pPr>
              <w:widowControl/>
              <w:spacing w:line="320" w:lineRule="exact"/>
              <w:ind w:firstLine="0" w:firstLineChars="0"/>
              <w:jc w:val="center"/>
              <w:rPr>
                <w:color w:val="auto"/>
                <w:sz w:val="21"/>
                <w:szCs w:val="21"/>
                <w:highlight w:val="none"/>
              </w:rPr>
            </w:pPr>
            <w:r>
              <w:rPr>
                <w:color w:val="auto"/>
                <w:sz w:val="21"/>
                <w:szCs w:val="21"/>
                <w:highlight w:val="none"/>
              </w:rPr>
              <w:t>感官性状及一般化学指标</w:t>
            </w:r>
          </w:p>
        </w:tc>
        <w:tc>
          <w:tcPr>
            <w:tcW w:w="2715" w:type="dxa"/>
            <w:noWrap w:val="0"/>
            <w:vAlign w:val="center"/>
          </w:tcPr>
          <w:p w14:paraId="3D5BB71F">
            <w:pPr>
              <w:widowControl/>
              <w:spacing w:line="320" w:lineRule="exact"/>
              <w:ind w:firstLine="0" w:firstLineChars="0"/>
              <w:jc w:val="center"/>
              <w:rPr>
                <w:color w:val="auto"/>
                <w:sz w:val="21"/>
                <w:szCs w:val="21"/>
                <w:highlight w:val="none"/>
              </w:rPr>
            </w:pPr>
            <w:r>
              <w:rPr>
                <w:color w:val="auto"/>
                <w:sz w:val="21"/>
                <w:szCs w:val="21"/>
                <w:highlight w:val="none"/>
              </w:rPr>
              <w:t>pH</w:t>
            </w:r>
          </w:p>
        </w:tc>
        <w:tc>
          <w:tcPr>
            <w:tcW w:w="2406" w:type="dxa"/>
            <w:noWrap w:val="0"/>
            <w:vAlign w:val="center"/>
          </w:tcPr>
          <w:p w14:paraId="680C3C58">
            <w:pPr>
              <w:widowControl/>
              <w:spacing w:line="320" w:lineRule="exact"/>
              <w:ind w:firstLine="0" w:firstLineChars="0"/>
              <w:jc w:val="center"/>
              <w:rPr>
                <w:color w:val="auto"/>
                <w:sz w:val="21"/>
                <w:szCs w:val="21"/>
                <w:highlight w:val="none"/>
              </w:rPr>
            </w:pPr>
            <w:r>
              <w:rPr>
                <w:color w:val="auto"/>
                <w:sz w:val="21"/>
                <w:szCs w:val="21"/>
                <w:highlight w:val="none"/>
              </w:rPr>
              <w:t>-</w:t>
            </w:r>
          </w:p>
        </w:tc>
        <w:tc>
          <w:tcPr>
            <w:tcW w:w="1747" w:type="dxa"/>
            <w:noWrap w:val="0"/>
            <w:vAlign w:val="center"/>
          </w:tcPr>
          <w:p w14:paraId="5B991748">
            <w:pPr>
              <w:widowControl/>
              <w:spacing w:line="320" w:lineRule="exact"/>
              <w:ind w:firstLine="0" w:firstLineChars="0"/>
              <w:jc w:val="center"/>
              <w:rPr>
                <w:color w:val="auto"/>
                <w:sz w:val="21"/>
                <w:szCs w:val="21"/>
                <w:highlight w:val="none"/>
              </w:rPr>
            </w:pPr>
            <w:r>
              <w:rPr>
                <w:color w:val="auto"/>
                <w:sz w:val="21"/>
                <w:szCs w:val="21"/>
                <w:highlight w:val="none"/>
              </w:rPr>
              <w:t>6.5～8.5</w:t>
            </w:r>
          </w:p>
        </w:tc>
      </w:tr>
      <w:tr w14:paraId="55B780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742FF18C">
            <w:pPr>
              <w:widowControl/>
              <w:spacing w:line="240" w:lineRule="auto"/>
              <w:ind w:firstLine="0" w:firstLineChars="0"/>
              <w:jc w:val="left"/>
              <w:rPr>
                <w:color w:val="auto"/>
                <w:sz w:val="21"/>
                <w:szCs w:val="21"/>
                <w:highlight w:val="none"/>
              </w:rPr>
            </w:pPr>
          </w:p>
        </w:tc>
        <w:tc>
          <w:tcPr>
            <w:tcW w:w="2715" w:type="dxa"/>
            <w:noWrap w:val="0"/>
            <w:vAlign w:val="center"/>
          </w:tcPr>
          <w:p w14:paraId="556346D2">
            <w:pPr>
              <w:widowControl/>
              <w:spacing w:line="320" w:lineRule="exact"/>
              <w:ind w:firstLine="0" w:firstLineChars="0"/>
              <w:jc w:val="center"/>
              <w:rPr>
                <w:color w:val="auto"/>
                <w:sz w:val="21"/>
                <w:szCs w:val="21"/>
                <w:highlight w:val="none"/>
              </w:rPr>
            </w:pPr>
            <w:r>
              <w:rPr>
                <w:color w:val="auto"/>
                <w:sz w:val="21"/>
                <w:szCs w:val="21"/>
                <w:highlight w:val="none"/>
              </w:rPr>
              <w:t>总硬度</w:t>
            </w:r>
          </w:p>
        </w:tc>
        <w:tc>
          <w:tcPr>
            <w:tcW w:w="2406" w:type="dxa"/>
            <w:noWrap w:val="0"/>
            <w:vAlign w:val="center"/>
          </w:tcPr>
          <w:p w14:paraId="7A1DB3C1">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636D07EC">
            <w:pPr>
              <w:widowControl/>
              <w:spacing w:line="320" w:lineRule="exact"/>
              <w:ind w:firstLine="0" w:firstLineChars="0"/>
              <w:jc w:val="center"/>
              <w:rPr>
                <w:color w:val="auto"/>
                <w:sz w:val="21"/>
                <w:szCs w:val="21"/>
                <w:highlight w:val="none"/>
              </w:rPr>
            </w:pPr>
            <w:r>
              <w:rPr>
                <w:color w:val="auto"/>
                <w:sz w:val="21"/>
                <w:szCs w:val="21"/>
                <w:highlight w:val="none"/>
              </w:rPr>
              <w:t>≤450</w:t>
            </w:r>
          </w:p>
        </w:tc>
      </w:tr>
      <w:tr w14:paraId="138071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1FF28CFA">
            <w:pPr>
              <w:widowControl/>
              <w:spacing w:line="240" w:lineRule="auto"/>
              <w:ind w:firstLine="0" w:firstLineChars="0"/>
              <w:jc w:val="left"/>
              <w:rPr>
                <w:color w:val="auto"/>
                <w:sz w:val="21"/>
                <w:szCs w:val="21"/>
                <w:highlight w:val="none"/>
              </w:rPr>
            </w:pPr>
          </w:p>
        </w:tc>
        <w:tc>
          <w:tcPr>
            <w:tcW w:w="2715" w:type="dxa"/>
            <w:noWrap w:val="0"/>
            <w:vAlign w:val="center"/>
          </w:tcPr>
          <w:p w14:paraId="43328A03">
            <w:pPr>
              <w:widowControl/>
              <w:spacing w:line="320" w:lineRule="exact"/>
              <w:ind w:firstLine="0" w:firstLineChars="0"/>
              <w:jc w:val="center"/>
              <w:rPr>
                <w:color w:val="auto"/>
                <w:sz w:val="21"/>
                <w:szCs w:val="21"/>
                <w:highlight w:val="none"/>
              </w:rPr>
            </w:pPr>
            <w:r>
              <w:rPr>
                <w:color w:val="auto"/>
                <w:sz w:val="21"/>
                <w:szCs w:val="21"/>
                <w:highlight w:val="none"/>
              </w:rPr>
              <w:t>溶解性总固体</w:t>
            </w:r>
          </w:p>
        </w:tc>
        <w:tc>
          <w:tcPr>
            <w:tcW w:w="2406" w:type="dxa"/>
            <w:noWrap w:val="0"/>
            <w:vAlign w:val="center"/>
          </w:tcPr>
          <w:p w14:paraId="26A76014">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453243EA">
            <w:pPr>
              <w:widowControl/>
              <w:spacing w:line="320" w:lineRule="exact"/>
              <w:ind w:firstLine="0" w:firstLineChars="0"/>
              <w:jc w:val="center"/>
              <w:rPr>
                <w:color w:val="auto"/>
                <w:sz w:val="21"/>
                <w:szCs w:val="21"/>
                <w:highlight w:val="none"/>
              </w:rPr>
            </w:pPr>
            <w:r>
              <w:rPr>
                <w:color w:val="auto"/>
                <w:sz w:val="21"/>
                <w:szCs w:val="21"/>
                <w:highlight w:val="none"/>
              </w:rPr>
              <w:t>≤1000</w:t>
            </w:r>
          </w:p>
        </w:tc>
      </w:tr>
      <w:tr w14:paraId="671606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41D21816">
            <w:pPr>
              <w:widowControl/>
              <w:spacing w:line="240" w:lineRule="auto"/>
              <w:ind w:firstLine="0" w:firstLineChars="0"/>
              <w:jc w:val="left"/>
              <w:rPr>
                <w:color w:val="auto"/>
                <w:sz w:val="21"/>
                <w:szCs w:val="21"/>
                <w:highlight w:val="none"/>
              </w:rPr>
            </w:pPr>
          </w:p>
        </w:tc>
        <w:tc>
          <w:tcPr>
            <w:tcW w:w="2715" w:type="dxa"/>
            <w:noWrap w:val="0"/>
            <w:vAlign w:val="center"/>
          </w:tcPr>
          <w:p w14:paraId="521AE79A">
            <w:pPr>
              <w:widowControl/>
              <w:spacing w:line="320" w:lineRule="exact"/>
              <w:ind w:firstLine="0" w:firstLineChars="0"/>
              <w:jc w:val="center"/>
              <w:rPr>
                <w:color w:val="auto"/>
                <w:sz w:val="21"/>
                <w:szCs w:val="21"/>
                <w:highlight w:val="none"/>
              </w:rPr>
            </w:pPr>
            <w:r>
              <w:rPr>
                <w:color w:val="auto"/>
                <w:sz w:val="21"/>
                <w:szCs w:val="21"/>
                <w:highlight w:val="none"/>
              </w:rPr>
              <w:t>耗氧量（COD</w:t>
            </w:r>
            <w:r>
              <w:rPr>
                <w:color w:val="auto"/>
                <w:sz w:val="21"/>
                <w:szCs w:val="21"/>
                <w:highlight w:val="none"/>
                <w:vertAlign w:val="subscript"/>
              </w:rPr>
              <w:t>Mn</w:t>
            </w:r>
            <w:r>
              <w:rPr>
                <w:color w:val="auto"/>
                <w:sz w:val="21"/>
                <w:szCs w:val="21"/>
                <w:highlight w:val="none"/>
              </w:rPr>
              <w:t>法）</w:t>
            </w:r>
          </w:p>
        </w:tc>
        <w:tc>
          <w:tcPr>
            <w:tcW w:w="2406" w:type="dxa"/>
            <w:noWrap w:val="0"/>
            <w:vAlign w:val="center"/>
          </w:tcPr>
          <w:p w14:paraId="67A99FAA">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6F892BF8">
            <w:pPr>
              <w:widowControl/>
              <w:spacing w:line="320" w:lineRule="exact"/>
              <w:ind w:firstLine="0" w:firstLineChars="0"/>
              <w:jc w:val="center"/>
              <w:rPr>
                <w:color w:val="auto"/>
                <w:sz w:val="21"/>
                <w:szCs w:val="21"/>
                <w:highlight w:val="none"/>
              </w:rPr>
            </w:pPr>
            <w:r>
              <w:rPr>
                <w:color w:val="auto"/>
                <w:sz w:val="21"/>
                <w:szCs w:val="21"/>
                <w:highlight w:val="none"/>
              </w:rPr>
              <w:t>≤3.0</w:t>
            </w:r>
          </w:p>
        </w:tc>
      </w:tr>
      <w:tr w14:paraId="66556B6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2E06DB21">
            <w:pPr>
              <w:widowControl/>
              <w:spacing w:line="240" w:lineRule="auto"/>
              <w:ind w:firstLine="0" w:firstLineChars="0"/>
              <w:jc w:val="left"/>
              <w:rPr>
                <w:color w:val="auto"/>
                <w:sz w:val="21"/>
                <w:szCs w:val="21"/>
                <w:highlight w:val="none"/>
              </w:rPr>
            </w:pPr>
          </w:p>
        </w:tc>
        <w:tc>
          <w:tcPr>
            <w:tcW w:w="2715" w:type="dxa"/>
            <w:noWrap w:val="0"/>
            <w:vAlign w:val="center"/>
          </w:tcPr>
          <w:p w14:paraId="48E8917A">
            <w:pPr>
              <w:widowControl/>
              <w:spacing w:line="320" w:lineRule="exact"/>
              <w:ind w:firstLine="0" w:firstLineChars="0"/>
              <w:jc w:val="center"/>
              <w:rPr>
                <w:color w:val="auto"/>
                <w:sz w:val="21"/>
                <w:szCs w:val="21"/>
                <w:highlight w:val="none"/>
              </w:rPr>
            </w:pPr>
            <w:r>
              <w:rPr>
                <w:color w:val="auto"/>
                <w:sz w:val="21"/>
                <w:szCs w:val="21"/>
                <w:highlight w:val="none"/>
              </w:rPr>
              <w:t>氨氮</w:t>
            </w:r>
          </w:p>
        </w:tc>
        <w:tc>
          <w:tcPr>
            <w:tcW w:w="2406" w:type="dxa"/>
            <w:noWrap w:val="0"/>
            <w:vAlign w:val="center"/>
          </w:tcPr>
          <w:p w14:paraId="3FB7B643">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17319861">
            <w:pPr>
              <w:widowControl/>
              <w:spacing w:line="320" w:lineRule="exact"/>
              <w:ind w:firstLine="0" w:firstLineChars="0"/>
              <w:jc w:val="center"/>
              <w:rPr>
                <w:color w:val="auto"/>
                <w:sz w:val="21"/>
                <w:szCs w:val="21"/>
                <w:highlight w:val="none"/>
              </w:rPr>
            </w:pPr>
            <w:r>
              <w:rPr>
                <w:color w:val="auto"/>
                <w:sz w:val="21"/>
                <w:szCs w:val="21"/>
                <w:highlight w:val="none"/>
              </w:rPr>
              <w:t>≤0.50</w:t>
            </w:r>
          </w:p>
        </w:tc>
      </w:tr>
      <w:tr w14:paraId="3C895E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037FCA70">
            <w:pPr>
              <w:widowControl/>
              <w:spacing w:line="240" w:lineRule="auto"/>
              <w:ind w:firstLine="0" w:firstLineChars="0"/>
              <w:jc w:val="left"/>
              <w:rPr>
                <w:color w:val="auto"/>
                <w:sz w:val="21"/>
                <w:szCs w:val="21"/>
                <w:highlight w:val="none"/>
              </w:rPr>
            </w:pPr>
          </w:p>
        </w:tc>
        <w:tc>
          <w:tcPr>
            <w:tcW w:w="2715" w:type="dxa"/>
            <w:noWrap w:val="0"/>
            <w:vAlign w:val="center"/>
          </w:tcPr>
          <w:p w14:paraId="6F583598">
            <w:pPr>
              <w:widowControl/>
              <w:spacing w:line="320" w:lineRule="exact"/>
              <w:ind w:firstLine="0" w:firstLineChars="0"/>
              <w:jc w:val="center"/>
              <w:rPr>
                <w:color w:val="auto"/>
                <w:sz w:val="21"/>
                <w:szCs w:val="21"/>
                <w:highlight w:val="none"/>
              </w:rPr>
            </w:pPr>
            <w:r>
              <w:rPr>
                <w:color w:val="auto"/>
                <w:sz w:val="21"/>
                <w:szCs w:val="21"/>
                <w:highlight w:val="none"/>
              </w:rPr>
              <w:t>硫酸盐</w:t>
            </w:r>
          </w:p>
        </w:tc>
        <w:tc>
          <w:tcPr>
            <w:tcW w:w="2406" w:type="dxa"/>
            <w:noWrap w:val="0"/>
            <w:vAlign w:val="center"/>
          </w:tcPr>
          <w:p w14:paraId="2CC1877C">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30104FFA">
            <w:pPr>
              <w:widowControl/>
              <w:spacing w:line="320" w:lineRule="exact"/>
              <w:ind w:firstLine="0" w:firstLineChars="0"/>
              <w:jc w:val="center"/>
              <w:rPr>
                <w:color w:val="auto"/>
                <w:sz w:val="21"/>
                <w:szCs w:val="21"/>
                <w:highlight w:val="none"/>
              </w:rPr>
            </w:pPr>
            <w:r>
              <w:rPr>
                <w:color w:val="auto"/>
                <w:sz w:val="21"/>
                <w:szCs w:val="21"/>
                <w:highlight w:val="none"/>
              </w:rPr>
              <w:t>≤250</w:t>
            </w:r>
          </w:p>
        </w:tc>
      </w:tr>
      <w:tr w14:paraId="7A95D9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7461F16A">
            <w:pPr>
              <w:widowControl/>
              <w:spacing w:line="240" w:lineRule="auto"/>
              <w:ind w:firstLine="0" w:firstLineChars="0"/>
              <w:jc w:val="left"/>
              <w:rPr>
                <w:color w:val="auto"/>
                <w:sz w:val="21"/>
                <w:szCs w:val="21"/>
                <w:highlight w:val="none"/>
              </w:rPr>
            </w:pPr>
          </w:p>
        </w:tc>
        <w:tc>
          <w:tcPr>
            <w:tcW w:w="2715" w:type="dxa"/>
            <w:noWrap w:val="0"/>
            <w:vAlign w:val="center"/>
          </w:tcPr>
          <w:p w14:paraId="560392EC">
            <w:pPr>
              <w:widowControl/>
              <w:spacing w:line="320" w:lineRule="exact"/>
              <w:ind w:firstLine="0" w:firstLineChars="0"/>
              <w:jc w:val="center"/>
              <w:rPr>
                <w:color w:val="auto"/>
                <w:sz w:val="21"/>
                <w:szCs w:val="21"/>
                <w:highlight w:val="none"/>
              </w:rPr>
            </w:pPr>
            <w:r>
              <w:rPr>
                <w:color w:val="auto"/>
                <w:sz w:val="21"/>
                <w:szCs w:val="21"/>
                <w:highlight w:val="none"/>
              </w:rPr>
              <w:t>氯化物</w:t>
            </w:r>
          </w:p>
        </w:tc>
        <w:tc>
          <w:tcPr>
            <w:tcW w:w="2406" w:type="dxa"/>
            <w:noWrap w:val="0"/>
            <w:vAlign w:val="center"/>
          </w:tcPr>
          <w:p w14:paraId="38B06A50">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6EEDF320">
            <w:pPr>
              <w:widowControl/>
              <w:spacing w:line="320" w:lineRule="exact"/>
              <w:ind w:firstLine="0" w:firstLineChars="0"/>
              <w:jc w:val="center"/>
              <w:rPr>
                <w:color w:val="auto"/>
                <w:sz w:val="21"/>
                <w:szCs w:val="21"/>
                <w:highlight w:val="none"/>
              </w:rPr>
            </w:pPr>
            <w:r>
              <w:rPr>
                <w:color w:val="auto"/>
                <w:sz w:val="21"/>
                <w:szCs w:val="21"/>
                <w:highlight w:val="none"/>
              </w:rPr>
              <w:t>≤250</w:t>
            </w:r>
          </w:p>
        </w:tc>
      </w:tr>
      <w:tr w14:paraId="518D58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67FB624E">
            <w:pPr>
              <w:widowControl/>
              <w:spacing w:line="240" w:lineRule="auto"/>
              <w:ind w:firstLine="0" w:firstLineChars="0"/>
              <w:jc w:val="left"/>
              <w:rPr>
                <w:color w:val="auto"/>
                <w:sz w:val="21"/>
                <w:szCs w:val="21"/>
                <w:highlight w:val="none"/>
              </w:rPr>
            </w:pPr>
          </w:p>
        </w:tc>
        <w:tc>
          <w:tcPr>
            <w:tcW w:w="2715" w:type="dxa"/>
            <w:noWrap w:val="0"/>
            <w:vAlign w:val="center"/>
          </w:tcPr>
          <w:p w14:paraId="2012C8DF">
            <w:pPr>
              <w:widowControl/>
              <w:spacing w:line="320" w:lineRule="exact"/>
              <w:ind w:firstLine="0" w:firstLineChars="0"/>
              <w:jc w:val="center"/>
              <w:rPr>
                <w:color w:val="auto"/>
                <w:sz w:val="21"/>
                <w:szCs w:val="21"/>
                <w:highlight w:val="none"/>
              </w:rPr>
            </w:pPr>
            <w:r>
              <w:rPr>
                <w:color w:val="auto"/>
                <w:sz w:val="21"/>
                <w:szCs w:val="21"/>
                <w:highlight w:val="none"/>
              </w:rPr>
              <w:t>挥发性酚类</w:t>
            </w:r>
          </w:p>
        </w:tc>
        <w:tc>
          <w:tcPr>
            <w:tcW w:w="2406" w:type="dxa"/>
            <w:noWrap w:val="0"/>
            <w:vAlign w:val="center"/>
          </w:tcPr>
          <w:p w14:paraId="2FF015F8">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798CFB58">
            <w:pPr>
              <w:widowControl/>
              <w:spacing w:line="320" w:lineRule="exact"/>
              <w:ind w:firstLine="0" w:firstLineChars="0"/>
              <w:jc w:val="center"/>
              <w:rPr>
                <w:color w:val="auto"/>
                <w:sz w:val="21"/>
                <w:szCs w:val="21"/>
                <w:highlight w:val="none"/>
              </w:rPr>
            </w:pPr>
            <w:r>
              <w:rPr>
                <w:color w:val="auto"/>
                <w:sz w:val="21"/>
                <w:szCs w:val="21"/>
                <w:highlight w:val="none"/>
              </w:rPr>
              <w:t>≤0.002</w:t>
            </w:r>
          </w:p>
        </w:tc>
      </w:tr>
      <w:tr w14:paraId="6D66F4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5869DDF2">
            <w:pPr>
              <w:widowControl/>
              <w:spacing w:line="240" w:lineRule="auto"/>
              <w:ind w:firstLine="0" w:firstLineChars="0"/>
              <w:jc w:val="left"/>
              <w:rPr>
                <w:color w:val="auto"/>
                <w:sz w:val="21"/>
                <w:szCs w:val="21"/>
                <w:highlight w:val="none"/>
              </w:rPr>
            </w:pPr>
          </w:p>
        </w:tc>
        <w:tc>
          <w:tcPr>
            <w:tcW w:w="2715" w:type="dxa"/>
            <w:noWrap w:val="0"/>
            <w:vAlign w:val="center"/>
          </w:tcPr>
          <w:p w14:paraId="1A3829A9">
            <w:pPr>
              <w:widowControl/>
              <w:spacing w:line="320" w:lineRule="exact"/>
              <w:ind w:firstLine="0" w:firstLineChars="0"/>
              <w:jc w:val="center"/>
              <w:rPr>
                <w:color w:val="auto"/>
                <w:sz w:val="21"/>
                <w:szCs w:val="21"/>
                <w:highlight w:val="none"/>
              </w:rPr>
            </w:pPr>
            <w:r>
              <w:rPr>
                <w:color w:val="auto"/>
                <w:sz w:val="21"/>
                <w:szCs w:val="21"/>
                <w:highlight w:val="none"/>
              </w:rPr>
              <w:t>铁</w:t>
            </w:r>
          </w:p>
        </w:tc>
        <w:tc>
          <w:tcPr>
            <w:tcW w:w="2406" w:type="dxa"/>
            <w:noWrap w:val="0"/>
            <w:vAlign w:val="center"/>
          </w:tcPr>
          <w:p w14:paraId="7FA6947F">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4AE53E0B">
            <w:pPr>
              <w:widowControl/>
              <w:spacing w:line="320" w:lineRule="exact"/>
              <w:ind w:firstLine="0" w:firstLineChars="0"/>
              <w:jc w:val="center"/>
              <w:rPr>
                <w:color w:val="auto"/>
                <w:sz w:val="21"/>
                <w:szCs w:val="21"/>
                <w:highlight w:val="none"/>
              </w:rPr>
            </w:pPr>
            <w:r>
              <w:rPr>
                <w:color w:val="auto"/>
                <w:sz w:val="21"/>
                <w:szCs w:val="21"/>
                <w:highlight w:val="none"/>
              </w:rPr>
              <w:t>≤0.3</w:t>
            </w:r>
          </w:p>
        </w:tc>
      </w:tr>
      <w:tr w14:paraId="2EE9CC5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24A8FC71">
            <w:pPr>
              <w:widowControl/>
              <w:spacing w:line="240" w:lineRule="auto"/>
              <w:ind w:firstLine="0" w:firstLineChars="0"/>
              <w:jc w:val="left"/>
              <w:rPr>
                <w:color w:val="auto"/>
                <w:sz w:val="21"/>
                <w:szCs w:val="21"/>
                <w:highlight w:val="none"/>
              </w:rPr>
            </w:pPr>
          </w:p>
        </w:tc>
        <w:tc>
          <w:tcPr>
            <w:tcW w:w="2715" w:type="dxa"/>
            <w:noWrap w:val="0"/>
            <w:vAlign w:val="center"/>
          </w:tcPr>
          <w:p w14:paraId="3F70108E">
            <w:pPr>
              <w:widowControl/>
              <w:spacing w:line="320" w:lineRule="exact"/>
              <w:ind w:firstLine="0" w:firstLineChars="0"/>
              <w:jc w:val="center"/>
              <w:rPr>
                <w:color w:val="auto"/>
                <w:sz w:val="21"/>
                <w:szCs w:val="21"/>
                <w:highlight w:val="none"/>
              </w:rPr>
            </w:pPr>
            <w:r>
              <w:rPr>
                <w:color w:val="auto"/>
                <w:sz w:val="21"/>
                <w:szCs w:val="21"/>
                <w:highlight w:val="none"/>
              </w:rPr>
              <w:t>锰</w:t>
            </w:r>
          </w:p>
        </w:tc>
        <w:tc>
          <w:tcPr>
            <w:tcW w:w="2406" w:type="dxa"/>
            <w:noWrap w:val="0"/>
            <w:vAlign w:val="center"/>
          </w:tcPr>
          <w:p w14:paraId="432484FE">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694C48A9">
            <w:pPr>
              <w:widowControl/>
              <w:spacing w:line="320" w:lineRule="exact"/>
              <w:ind w:firstLine="0" w:firstLineChars="0"/>
              <w:jc w:val="center"/>
              <w:rPr>
                <w:color w:val="auto"/>
                <w:sz w:val="21"/>
                <w:szCs w:val="21"/>
                <w:highlight w:val="none"/>
              </w:rPr>
            </w:pPr>
            <w:r>
              <w:rPr>
                <w:color w:val="auto"/>
                <w:sz w:val="21"/>
                <w:szCs w:val="21"/>
                <w:highlight w:val="none"/>
              </w:rPr>
              <w:t>≤0.10</w:t>
            </w:r>
          </w:p>
        </w:tc>
      </w:tr>
      <w:tr w14:paraId="7C3D5A9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restart"/>
            <w:noWrap w:val="0"/>
            <w:vAlign w:val="center"/>
          </w:tcPr>
          <w:p w14:paraId="79345BC1">
            <w:pPr>
              <w:widowControl/>
              <w:spacing w:line="320" w:lineRule="exact"/>
              <w:ind w:firstLine="0" w:firstLineChars="0"/>
              <w:jc w:val="center"/>
              <w:rPr>
                <w:color w:val="auto"/>
                <w:sz w:val="21"/>
                <w:szCs w:val="21"/>
                <w:highlight w:val="none"/>
              </w:rPr>
            </w:pPr>
            <w:r>
              <w:rPr>
                <w:color w:val="auto"/>
                <w:sz w:val="21"/>
                <w:szCs w:val="21"/>
                <w:highlight w:val="none"/>
              </w:rPr>
              <w:t>毒理学指标</w:t>
            </w:r>
          </w:p>
        </w:tc>
        <w:tc>
          <w:tcPr>
            <w:tcW w:w="2715" w:type="dxa"/>
            <w:noWrap w:val="0"/>
            <w:vAlign w:val="center"/>
          </w:tcPr>
          <w:p w14:paraId="61BF954C">
            <w:pPr>
              <w:widowControl/>
              <w:spacing w:line="320" w:lineRule="exact"/>
              <w:ind w:firstLine="0" w:firstLineChars="0"/>
              <w:jc w:val="center"/>
              <w:rPr>
                <w:color w:val="auto"/>
                <w:sz w:val="21"/>
                <w:szCs w:val="21"/>
                <w:highlight w:val="none"/>
              </w:rPr>
            </w:pPr>
            <w:r>
              <w:rPr>
                <w:color w:val="auto"/>
                <w:sz w:val="21"/>
                <w:szCs w:val="21"/>
                <w:highlight w:val="none"/>
              </w:rPr>
              <w:t>硝酸盐</w:t>
            </w:r>
          </w:p>
        </w:tc>
        <w:tc>
          <w:tcPr>
            <w:tcW w:w="2406" w:type="dxa"/>
            <w:noWrap w:val="0"/>
            <w:vAlign w:val="center"/>
          </w:tcPr>
          <w:p w14:paraId="02F2CB70">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0ABE2414">
            <w:pPr>
              <w:widowControl/>
              <w:spacing w:line="320" w:lineRule="exact"/>
              <w:ind w:firstLine="0" w:firstLineChars="0"/>
              <w:jc w:val="center"/>
              <w:rPr>
                <w:color w:val="auto"/>
                <w:sz w:val="21"/>
                <w:szCs w:val="21"/>
                <w:highlight w:val="none"/>
              </w:rPr>
            </w:pPr>
            <w:r>
              <w:rPr>
                <w:color w:val="auto"/>
                <w:sz w:val="21"/>
                <w:szCs w:val="21"/>
                <w:highlight w:val="none"/>
              </w:rPr>
              <w:t>≤20.0</w:t>
            </w:r>
          </w:p>
        </w:tc>
      </w:tr>
      <w:tr w14:paraId="50C514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27073799">
            <w:pPr>
              <w:widowControl/>
              <w:spacing w:line="240" w:lineRule="auto"/>
              <w:ind w:firstLine="0" w:firstLineChars="0"/>
              <w:jc w:val="left"/>
              <w:rPr>
                <w:color w:val="auto"/>
                <w:sz w:val="21"/>
                <w:szCs w:val="21"/>
                <w:highlight w:val="none"/>
              </w:rPr>
            </w:pPr>
          </w:p>
        </w:tc>
        <w:tc>
          <w:tcPr>
            <w:tcW w:w="2715" w:type="dxa"/>
            <w:noWrap w:val="0"/>
            <w:vAlign w:val="center"/>
          </w:tcPr>
          <w:p w14:paraId="14B64354">
            <w:pPr>
              <w:widowControl/>
              <w:spacing w:line="320" w:lineRule="exact"/>
              <w:ind w:firstLine="0" w:firstLineChars="0"/>
              <w:jc w:val="center"/>
              <w:rPr>
                <w:color w:val="auto"/>
                <w:sz w:val="21"/>
                <w:szCs w:val="21"/>
                <w:highlight w:val="none"/>
              </w:rPr>
            </w:pPr>
            <w:r>
              <w:rPr>
                <w:color w:val="auto"/>
                <w:sz w:val="21"/>
                <w:szCs w:val="21"/>
                <w:highlight w:val="none"/>
              </w:rPr>
              <w:t>亚硝酸盐</w:t>
            </w:r>
          </w:p>
        </w:tc>
        <w:tc>
          <w:tcPr>
            <w:tcW w:w="2406" w:type="dxa"/>
            <w:noWrap w:val="0"/>
            <w:vAlign w:val="center"/>
          </w:tcPr>
          <w:p w14:paraId="29436321">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44876F6B">
            <w:pPr>
              <w:widowControl/>
              <w:spacing w:line="320" w:lineRule="exact"/>
              <w:ind w:firstLine="0" w:firstLineChars="0"/>
              <w:jc w:val="center"/>
              <w:rPr>
                <w:color w:val="auto"/>
                <w:sz w:val="21"/>
                <w:szCs w:val="21"/>
                <w:highlight w:val="none"/>
              </w:rPr>
            </w:pPr>
            <w:r>
              <w:rPr>
                <w:color w:val="auto"/>
                <w:sz w:val="21"/>
                <w:szCs w:val="21"/>
                <w:highlight w:val="none"/>
              </w:rPr>
              <w:t>≤1.00</w:t>
            </w:r>
          </w:p>
        </w:tc>
      </w:tr>
      <w:tr w14:paraId="699E2A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6E96B955">
            <w:pPr>
              <w:widowControl/>
              <w:spacing w:line="240" w:lineRule="auto"/>
              <w:ind w:firstLine="0" w:firstLineChars="0"/>
              <w:jc w:val="left"/>
              <w:rPr>
                <w:color w:val="auto"/>
                <w:sz w:val="21"/>
                <w:szCs w:val="21"/>
                <w:highlight w:val="none"/>
              </w:rPr>
            </w:pPr>
          </w:p>
        </w:tc>
        <w:tc>
          <w:tcPr>
            <w:tcW w:w="2715" w:type="dxa"/>
            <w:noWrap w:val="0"/>
            <w:vAlign w:val="center"/>
          </w:tcPr>
          <w:p w14:paraId="531DA50C">
            <w:pPr>
              <w:widowControl/>
              <w:spacing w:line="320" w:lineRule="exact"/>
              <w:ind w:firstLine="0" w:firstLineChars="0"/>
              <w:jc w:val="center"/>
              <w:rPr>
                <w:color w:val="auto"/>
                <w:sz w:val="21"/>
                <w:szCs w:val="21"/>
                <w:highlight w:val="none"/>
              </w:rPr>
            </w:pPr>
            <w:r>
              <w:rPr>
                <w:color w:val="auto"/>
                <w:sz w:val="21"/>
                <w:szCs w:val="21"/>
                <w:highlight w:val="none"/>
              </w:rPr>
              <w:t>氰化物</w:t>
            </w:r>
          </w:p>
        </w:tc>
        <w:tc>
          <w:tcPr>
            <w:tcW w:w="2406" w:type="dxa"/>
            <w:noWrap w:val="0"/>
            <w:vAlign w:val="center"/>
          </w:tcPr>
          <w:p w14:paraId="2FF1575A">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46F5D640">
            <w:pPr>
              <w:widowControl/>
              <w:spacing w:line="320" w:lineRule="exact"/>
              <w:ind w:firstLine="0" w:firstLineChars="0"/>
              <w:jc w:val="center"/>
              <w:rPr>
                <w:color w:val="auto"/>
                <w:sz w:val="21"/>
                <w:szCs w:val="21"/>
                <w:highlight w:val="none"/>
              </w:rPr>
            </w:pPr>
            <w:r>
              <w:rPr>
                <w:color w:val="auto"/>
                <w:sz w:val="21"/>
                <w:szCs w:val="21"/>
                <w:highlight w:val="none"/>
              </w:rPr>
              <w:t>≤0.05</w:t>
            </w:r>
          </w:p>
        </w:tc>
      </w:tr>
      <w:tr w14:paraId="5BF6B5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6DF8A57D">
            <w:pPr>
              <w:widowControl/>
              <w:spacing w:line="240" w:lineRule="auto"/>
              <w:ind w:firstLine="0" w:firstLineChars="0"/>
              <w:jc w:val="left"/>
              <w:rPr>
                <w:color w:val="auto"/>
                <w:sz w:val="21"/>
                <w:szCs w:val="21"/>
                <w:highlight w:val="none"/>
              </w:rPr>
            </w:pPr>
          </w:p>
        </w:tc>
        <w:tc>
          <w:tcPr>
            <w:tcW w:w="2715" w:type="dxa"/>
            <w:noWrap w:val="0"/>
            <w:vAlign w:val="center"/>
          </w:tcPr>
          <w:p w14:paraId="3D81143C">
            <w:pPr>
              <w:widowControl/>
              <w:spacing w:line="320" w:lineRule="exact"/>
              <w:ind w:firstLine="0" w:firstLineChars="0"/>
              <w:jc w:val="center"/>
              <w:rPr>
                <w:color w:val="auto"/>
                <w:sz w:val="21"/>
                <w:szCs w:val="21"/>
                <w:highlight w:val="none"/>
              </w:rPr>
            </w:pPr>
            <w:r>
              <w:rPr>
                <w:color w:val="auto"/>
                <w:sz w:val="21"/>
                <w:szCs w:val="21"/>
                <w:highlight w:val="none"/>
              </w:rPr>
              <w:t>氟化物</w:t>
            </w:r>
          </w:p>
        </w:tc>
        <w:tc>
          <w:tcPr>
            <w:tcW w:w="2406" w:type="dxa"/>
            <w:noWrap w:val="0"/>
            <w:vAlign w:val="center"/>
          </w:tcPr>
          <w:p w14:paraId="4135AE66">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51567C40">
            <w:pPr>
              <w:widowControl/>
              <w:spacing w:line="320" w:lineRule="exact"/>
              <w:ind w:firstLine="0" w:firstLineChars="0"/>
              <w:jc w:val="center"/>
              <w:rPr>
                <w:color w:val="auto"/>
                <w:sz w:val="21"/>
                <w:szCs w:val="21"/>
                <w:highlight w:val="none"/>
              </w:rPr>
            </w:pPr>
            <w:r>
              <w:rPr>
                <w:color w:val="auto"/>
                <w:sz w:val="21"/>
                <w:szCs w:val="21"/>
                <w:highlight w:val="none"/>
              </w:rPr>
              <w:t>≤1.0</w:t>
            </w:r>
          </w:p>
        </w:tc>
      </w:tr>
      <w:tr w14:paraId="15DB3E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793A6549">
            <w:pPr>
              <w:widowControl/>
              <w:spacing w:line="240" w:lineRule="auto"/>
              <w:ind w:firstLine="0" w:firstLineChars="0"/>
              <w:jc w:val="left"/>
              <w:rPr>
                <w:color w:val="auto"/>
                <w:sz w:val="21"/>
                <w:szCs w:val="21"/>
                <w:highlight w:val="none"/>
              </w:rPr>
            </w:pPr>
          </w:p>
        </w:tc>
        <w:tc>
          <w:tcPr>
            <w:tcW w:w="2715" w:type="dxa"/>
            <w:noWrap w:val="0"/>
            <w:vAlign w:val="center"/>
          </w:tcPr>
          <w:p w14:paraId="7B38B702">
            <w:pPr>
              <w:widowControl/>
              <w:spacing w:line="320" w:lineRule="exact"/>
              <w:ind w:firstLine="0" w:firstLineChars="0"/>
              <w:jc w:val="center"/>
              <w:rPr>
                <w:color w:val="auto"/>
                <w:sz w:val="21"/>
                <w:szCs w:val="21"/>
                <w:highlight w:val="none"/>
              </w:rPr>
            </w:pPr>
            <w:r>
              <w:rPr>
                <w:color w:val="auto"/>
                <w:sz w:val="21"/>
                <w:szCs w:val="21"/>
                <w:highlight w:val="none"/>
              </w:rPr>
              <w:t>汞</w:t>
            </w:r>
          </w:p>
        </w:tc>
        <w:tc>
          <w:tcPr>
            <w:tcW w:w="2406" w:type="dxa"/>
            <w:noWrap w:val="0"/>
            <w:vAlign w:val="center"/>
          </w:tcPr>
          <w:p w14:paraId="3F3B9B44">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510F1DE2">
            <w:pPr>
              <w:widowControl/>
              <w:spacing w:line="320" w:lineRule="exact"/>
              <w:ind w:firstLine="0" w:firstLineChars="0"/>
              <w:jc w:val="center"/>
              <w:rPr>
                <w:color w:val="auto"/>
                <w:sz w:val="21"/>
                <w:szCs w:val="21"/>
                <w:highlight w:val="none"/>
              </w:rPr>
            </w:pPr>
            <w:r>
              <w:rPr>
                <w:color w:val="auto"/>
                <w:sz w:val="21"/>
                <w:szCs w:val="21"/>
                <w:highlight w:val="none"/>
              </w:rPr>
              <w:t>≤0.001</w:t>
            </w:r>
          </w:p>
        </w:tc>
      </w:tr>
      <w:tr w14:paraId="47F057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68846891">
            <w:pPr>
              <w:widowControl/>
              <w:spacing w:line="240" w:lineRule="auto"/>
              <w:ind w:firstLine="0" w:firstLineChars="0"/>
              <w:jc w:val="left"/>
              <w:rPr>
                <w:color w:val="auto"/>
                <w:sz w:val="21"/>
                <w:szCs w:val="21"/>
                <w:highlight w:val="none"/>
              </w:rPr>
            </w:pPr>
          </w:p>
        </w:tc>
        <w:tc>
          <w:tcPr>
            <w:tcW w:w="2715" w:type="dxa"/>
            <w:noWrap w:val="0"/>
            <w:vAlign w:val="center"/>
          </w:tcPr>
          <w:p w14:paraId="023778A7">
            <w:pPr>
              <w:widowControl/>
              <w:spacing w:line="320" w:lineRule="exact"/>
              <w:ind w:firstLine="0" w:firstLineChars="0"/>
              <w:jc w:val="center"/>
              <w:rPr>
                <w:color w:val="auto"/>
                <w:sz w:val="21"/>
                <w:szCs w:val="21"/>
                <w:highlight w:val="none"/>
              </w:rPr>
            </w:pPr>
            <w:r>
              <w:rPr>
                <w:color w:val="auto"/>
                <w:sz w:val="21"/>
                <w:szCs w:val="21"/>
                <w:highlight w:val="none"/>
              </w:rPr>
              <w:t>砷</w:t>
            </w:r>
          </w:p>
        </w:tc>
        <w:tc>
          <w:tcPr>
            <w:tcW w:w="2406" w:type="dxa"/>
            <w:noWrap w:val="0"/>
            <w:vAlign w:val="center"/>
          </w:tcPr>
          <w:p w14:paraId="79777048">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7590A6FE">
            <w:pPr>
              <w:widowControl/>
              <w:spacing w:line="320" w:lineRule="exact"/>
              <w:ind w:firstLine="0" w:firstLineChars="0"/>
              <w:jc w:val="center"/>
              <w:rPr>
                <w:color w:val="auto"/>
                <w:sz w:val="21"/>
                <w:szCs w:val="21"/>
                <w:highlight w:val="none"/>
              </w:rPr>
            </w:pPr>
            <w:r>
              <w:rPr>
                <w:color w:val="auto"/>
                <w:sz w:val="21"/>
                <w:szCs w:val="21"/>
                <w:highlight w:val="none"/>
              </w:rPr>
              <w:t>≤0.01</w:t>
            </w:r>
          </w:p>
        </w:tc>
      </w:tr>
      <w:tr w14:paraId="674807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55AF80A9">
            <w:pPr>
              <w:widowControl/>
              <w:spacing w:line="240" w:lineRule="auto"/>
              <w:ind w:firstLine="0" w:firstLineChars="0"/>
              <w:jc w:val="left"/>
              <w:rPr>
                <w:color w:val="auto"/>
                <w:sz w:val="21"/>
                <w:szCs w:val="21"/>
                <w:highlight w:val="none"/>
              </w:rPr>
            </w:pPr>
          </w:p>
        </w:tc>
        <w:tc>
          <w:tcPr>
            <w:tcW w:w="2715" w:type="dxa"/>
            <w:noWrap w:val="0"/>
            <w:vAlign w:val="center"/>
          </w:tcPr>
          <w:p w14:paraId="3F638B8B">
            <w:pPr>
              <w:widowControl/>
              <w:spacing w:line="320" w:lineRule="exact"/>
              <w:ind w:firstLine="0" w:firstLineChars="0"/>
              <w:jc w:val="center"/>
              <w:rPr>
                <w:color w:val="auto"/>
                <w:sz w:val="21"/>
                <w:szCs w:val="21"/>
                <w:highlight w:val="none"/>
              </w:rPr>
            </w:pPr>
            <w:r>
              <w:rPr>
                <w:color w:val="auto"/>
                <w:sz w:val="21"/>
                <w:szCs w:val="21"/>
                <w:highlight w:val="none"/>
              </w:rPr>
              <w:t>铅</w:t>
            </w:r>
          </w:p>
        </w:tc>
        <w:tc>
          <w:tcPr>
            <w:tcW w:w="2406" w:type="dxa"/>
            <w:noWrap w:val="0"/>
            <w:vAlign w:val="center"/>
          </w:tcPr>
          <w:p w14:paraId="18AA35C7">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70237399">
            <w:pPr>
              <w:widowControl/>
              <w:spacing w:line="320" w:lineRule="exact"/>
              <w:ind w:firstLine="0" w:firstLineChars="0"/>
              <w:jc w:val="center"/>
              <w:rPr>
                <w:color w:val="auto"/>
                <w:sz w:val="21"/>
                <w:szCs w:val="21"/>
                <w:highlight w:val="none"/>
              </w:rPr>
            </w:pPr>
            <w:r>
              <w:rPr>
                <w:color w:val="auto"/>
                <w:sz w:val="21"/>
                <w:szCs w:val="21"/>
                <w:highlight w:val="none"/>
              </w:rPr>
              <w:t>≤0.01</w:t>
            </w:r>
          </w:p>
        </w:tc>
      </w:tr>
      <w:tr w14:paraId="0B7ED5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7DA30482">
            <w:pPr>
              <w:widowControl/>
              <w:spacing w:line="240" w:lineRule="auto"/>
              <w:ind w:firstLine="0" w:firstLineChars="0"/>
              <w:jc w:val="left"/>
              <w:rPr>
                <w:color w:val="auto"/>
                <w:sz w:val="21"/>
                <w:szCs w:val="21"/>
                <w:highlight w:val="none"/>
              </w:rPr>
            </w:pPr>
          </w:p>
        </w:tc>
        <w:tc>
          <w:tcPr>
            <w:tcW w:w="2715" w:type="dxa"/>
            <w:noWrap w:val="0"/>
            <w:vAlign w:val="center"/>
          </w:tcPr>
          <w:p w14:paraId="599F6474">
            <w:pPr>
              <w:widowControl/>
              <w:spacing w:line="320" w:lineRule="exact"/>
              <w:ind w:firstLine="0" w:firstLineChars="0"/>
              <w:jc w:val="center"/>
              <w:rPr>
                <w:color w:val="auto"/>
                <w:sz w:val="21"/>
                <w:szCs w:val="21"/>
                <w:highlight w:val="none"/>
              </w:rPr>
            </w:pPr>
            <w:r>
              <w:rPr>
                <w:color w:val="auto"/>
                <w:sz w:val="21"/>
                <w:szCs w:val="21"/>
                <w:highlight w:val="none"/>
              </w:rPr>
              <w:t>镉</w:t>
            </w:r>
          </w:p>
        </w:tc>
        <w:tc>
          <w:tcPr>
            <w:tcW w:w="2406" w:type="dxa"/>
            <w:noWrap w:val="0"/>
            <w:vAlign w:val="center"/>
          </w:tcPr>
          <w:p w14:paraId="70CEAB83">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65727BF6">
            <w:pPr>
              <w:widowControl/>
              <w:spacing w:line="320" w:lineRule="exact"/>
              <w:ind w:firstLine="0" w:firstLineChars="0"/>
              <w:jc w:val="center"/>
              <w:rPr>
                <w:color w:val="auto"/>
                <w:sz w:val="21"/>
                <w:szCs w:val="21"/>
                <w:highlight w:val="none"/>
              </w:rPr>
            </w:pPr>
            <w:r>
              <w:rPr>
                <w:color w:val="auto"/>
                <w:sz w:val="21"/>
                <w:szCs w:val="21"/>
                <w:highlight w:val="none"/>
              </w:rPr>
              <w:t>≤0.005</w:t>
            </w:r>
          </w:p>
        </w:tc>
      </w:tr>
      <w:tr w14:paraId="529DD3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61FCAAE0">
            <w:pPr>
              <w:widowControl/>
              <w:spacing w:line="240" w:lineRule="auto"/>
              <w:ind w:firstLine="0" w:firstLineChars="0"/>
              <w:jc w:val="left"/>
              <w:rPr>
                <w:color w:val="auto"/>
                <w:sz w:val="21"/>
                <w:szCs w:val="21"/>
                <w:highlight w:val="none"/>
              </w:rPr>
            </w:pPr>
          </w:p>
        </w:tc>
        <w:tc>
          <w:tcPr>
            <w:tcW w:w="2715" w:type="dxa"/>
            <w:noWrap w:val="0"/>
            <w:vAlign w:val="center"/>
          </w:tcPr>
          <w:p w14:paraId="14809E29">
            <w:pPr>
              <w:widowControl/>
              <w:spacing w:line="320" w:lineRule="exact"/>
              <w:ind w:firstLine="0" w:firstLineChars="0"/>
              <w:jc w:val="center"/>
              <w:rPr>
                <w:color w:val="auto"/>
                <w:sz w:val="21"/>
                <w:szCs w:val="21"/>
                <w:highlight w:val="none"/>
              </w:rPr>
            </w:pPr>
            <w:r>
              <w:rPr>
                <w:color w:val="auto"/>
                <w:sz w:val="21"/>
                <w:szCs w:val="21"/>
                <w:highlight w:val="none"/>
              </w:rPr>
              <w:t>铬（六价）</w:t>
            </w:r>
          </w:p>
        </w:tc>
        <w:tc>
          <w:tcPr>
            <w:tcW w:w="2406" w:type="dxa"/>
            <w:noWrap w:val="0"/>
            <w:vAlign w:val="center"/>
          </w:tcPr>
          <w:p w14:paraId="23BF6AB3">
            <w:pPr>
              <w:widowControl/>
              <w:spacing w:line="320" w:lineRule="exact"/>
              <w:ind w:firstLine="0" w:firstLineChars="0"/>
              <w:jc w:val="center"/>
              <w:rPr>
                <w:color w:val="auto"/>
                <w:sz w:val="21"/>
                <w:szCs w:val="21"/>
                <w:highlight w:val="none"/>
              </w:rPr>
            </w:pPr>
            <w:r>
              <w:rPr>
                <w:color w:val="auto"/>
                <w:sz w:val="21"/>
                <w:szCs w:val="21"/>
                <w:highlight w:val="none"/>
              </w:rPr>
              <w:t>mg/L</w:t>
            </w:r>
          </w:p>
        </w:tc>
        <w:tc>
          <w:tcPr>
            <w:tcW w:w="1747" w:type="dxa"/>
            <w:noWrap w:val="0"/>
            <w:vAlign w:val="center"/>
          </w:tcPr>
          <w:p w14:paraId="30640C14">
            <w:pPr>
              <w:widowControl/>
              <w:spacing w:line="320" w:lineRule="exact"/>
              <w:ind w:firstLine="0" w:firstLineChars="0"/>
              <w:jc w:val="center"/>
              <w:rPr>
                <w:color w:val="auto"/>
                <w:sz w:val="21"/>
                <w:szCs w:val="21"/>
                <w:highlight w:val="none"/>
              </w:rPr>
            </w:pPr>
            <w:r>
              <w:rPr>
                <w:color w:val="auto"/>
                <w:sz w:val="21"/>
                <w:szCs w:val="21"/>
                <w:highlight w:val="none"/>
              </w:rPr>
              <w:t>≤0.05</w:t>
            </w:r>
          </w:p>
        </w:tc>
      </w:tr>
      <w:tr w14:paraId="3E10E3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restart"/>
            <w:noWrap w:val="0"/>
            <w:vAlign w:val="center"/>
          </w:tcPr>
          <w:p w14:paraId="4F82C1B9">
            <w:pPr>
              <w:widowControl/>
              <w:spacing w:line="320" w:lineRule="exact"/>
              <w:ind w:firstLine="0" w:firstLineChars="0"/>
              <w:jc w:val="center"/>
              <w:rPr>
                <w:color w:val="auto"/>
                <w:sz w:val="21"/>
                <w:szCs w:val="21"/>
                <w:highlight w:val="none"/>
              </w:rPr>
            </w:pPr>
            <w:r>
              <w:rPr>
                <w:color w:val="auto"/>
                <w:sz w:val="21"/>
                <w:szCs w:val="21"/>
                <w:highlight w:val="none"/>
              </w:rPr>
              <w:t>微生物指标</w:t>
            </w:r>
          </w:p>
        </w:tc>
        <w:tc>
          <w:tcPr>
            <w:tcW w:w="2715" w:type="dxa"/>
            <w:noWrap w:val="0"/>
            <w:vAlign w:val="center"/>
          </w:tcPr>
          <w:p w14:paraId="41682E4E">
            <w:pPr>
              <w:widowControl/>
              <w:spacing w:line="320" w:lineRule="exact"/>
              <w:ind w:firstLine="0" w:firstLineChars="0"/>
              <w:jc w:val="center"/>
              <w:rPr>
                <w:color w:val="auto"/>
                <w:sz w:val="21"/>
                <w:szCs w:val="21"/>
                <w:highlight w:val="none"/>
              </w:rPr>
            </w:pPr>
            <w:r>
              <w:rPr>
                <w:color w:val="auto"/>
                <w:sz w:val="21"/>
                <w:szCs w:val="21"/>
                <w:highlight w:val="none"/>
              </w:rPr>
              <w:t>总大肠菌群</w:t>
            </w:r>
          </w:p>
        </w:tc>
        <w:tc>
          <w:tcPr>
            <w:tcW w:w="2406" w:type="dxa"/>
            <w:noWrap w:val="0"/>
            <w:vAlign w:val="center"/>
          </w:tcPr>
          <w:p w14:paraId="6711CB0D">
            <w:pPr>
              <w:widowControl/>
              <w:spacing w:line="320" w:lineRule="exact"/>
              <w:ind w:firstLine="0" w:firstLineChars="0"/>
              <w:jc w:val="center"/>
              <w:rPr>
                <w:color w:val="auto"/>
                <w:sz w:val="21"/>
                <w:szCs w:val="21"/>
                <w:highlight w:val="none"/>
              </w:rPr>
            </w:pPr>
            <w:r>
              <w:rPr>
                <w:color w:val="auto"/>
                <w:sz w:val="21"/>
                <w:szCs w:val="21"/>
                <w:highlight w:val="none"/>
              </w:rPr>
              <w:t>个/L</w:t>
            </w:r>
          </w:p>
        </w:tc>
        <w:tc>
          <w:tcPr>
            <w:tcW w:w="1747" w:type="dxa"/>
            <w:noWrap w:val="0"/>
            <w:vAlign w:val="center"/>
          </w:tcPr>
          <w:p w14:paraId="433EA54F">
            <w:pPr>
              <w:widowControl/>
              <w:spacing w:line="320" w:lineRule="exact"/>
              <w:ind w:firstLine="0" w:firstLineChars="0"/>
              <w:jc w:val="center"/>
              <w:rPr>
                <w:color w:val="auto"/>
                <w:sz w:val="21"/>
                <w:szCs w:val="21"/>
                <w:highlight w:val="none"/>
              </w:rPr>
            </w:pPr>
            <w:r>
              <w:rPr>
                <w:color w:val="auto"/>
                <w:sz w:val="21"/>
                <w:szCs w:val="21"/>
                <w:highlight w:val="none"/>
              </w:rPr>
              <w:t>≤3.0</w:t>
            </w:r>
          </w:p>
        </w:tc>
      </w:tr>
      <w:tr w14:paraId="6E0A89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44" w:type="dxa"/>
            <w:vMerge w:val="continue"/>
            <w:noWrap w:val="0"/>
            <w:vAlign w:val="center"/>
          </w:tcPr>
          <w:p w14:paraId="6622B193">
            <w:pPr>
              <w:widowControl/>
              <w:spacing w:line="240" w:lineRule="auto"/>
              <w:ind w:firstLine="0" w:firstLineChars="0"/>
              <w:jc w:val="left"/>
              <w:rPr>
                <w:color w:val="auto"/>
                <w:sz w:val="21"/>
                <w:szCs w:val="21"/>
                <w:highlight w:val="none"/>
              </w:rPr>
            </w:pPr>
          </w:p>
        </w:tc>
        <w:tc>
          <w:tcPr>
            <w:tcW w:w="2715" w:type="dxa"/>
            <w:noWrap w:val="0"/>
            <w:vAlign w:val="center"/>
          </w:tcPr>
          <w:p w14:paraId="5FB32718">
            <w:pPr>
              <w:widowControl/>
              <w:spacing w:line="320" w:lineRule="exact"/>
              <w:ind w:firstLine="0" w:firstLineChars="0"/>
              <w:jc w:val="center"/>
              <w:rPr>
                <w:color w:val="auto"/>
                <w:sz w:val="21"/>
                <w:szCs w:val="21"/>
                <w:highlight w:val="none"/>
              </w:rPr>
            </w:pPr>
            <w:r>
              <w:rPr>
                <w:color w:val="auto"/>
                <w:sz w:val="21"/>
                <w:szCs w:val="21"/>
                <w:highlight w:val="none"/>
              </w:rPr>
              <w:t>菌落总数</w:t>
            </w:r>
          </w:p>
        </w:tc>
        <w:tc>
          <w:tcPr>
            <w:tcW w:w="2406" w:type="dxa"/>
            <w:noWrap w:val="0"/>
            <w:vAlign w:val="center"/>
          </w:tcPr>
          <w:p w14:paraId="1659EA1A">
            <w:pPr>
              <w:widowControl/>
              <w:spacing w:line="320" w:lineRule="exact"/>
              <w:ind w:firstLine="0" w:firstLineChars="0"/>
              <w:jc w:val="center"/>
              <w:rPr>
                <w:color w:val="auto"/>
                <w:sz w:val="21"/>
                <w:szCs w:val="21"/>
                <w:highlight w:val="none"/>
              </w:rPr>
            </w:pPr>
            <w:r>
              <w:rPr>
                <w:color w:val="auto"/>
                <w:sz w:val="21"/>
                <w:szCs w:val="21"/>
                <w:highlight w:val="none"/>
              </w:rPr>
              <w:t>个/mL</w:t>
            </w:r>
          </w:p>
        </w:tc>
        <w:tc>
          <w:tcPr>
            <w:tcW w:w="1747" w:type="dxa"/>
            <w:noWrap w:val="0"/>
            <w:vAlign w:val="center"/>
          </w:tcPr>
          <w:p w14:paraId="47D09C05">
            <w:pPr>
              <w:widowControl/>
              <w:spacing w:line="320" w:lineRule="exact"/>
              <w:ind w:firstLine="0" w:firstLineChars="0"/>
              <w:jc w:val="center"/>
              <w:rPr>
                <w:color w:val="auto"/>
                <w:sz w:val="21"/>
                <w:szCs w:val="21"/>
                <w:highlight w:val="none"/>
              </w:rPr>
            </w:pPr>
            <w:r>
              <w:rPr>
                <w:color w:val="auto"/>
                <w:sz w:val="21"/>
                <w:szCs w:val="21"/>
                <w:highlight w:val="none"/>
              </w:rPr>
              <w:t>≤100</w:t>
            </w:r>
          </w:p>
        </w:tc>
      </w:tr>
    </w:tbl>
    <w:p w14:paraId="65A207F2">
      <w:pPr>
        <w:ind w:firstLine="480"/>
        <w:rPr>
          <w:color w:val="auto"/>
          <w:highlight w:val="none"/>
        </w:rPr>
      </w:pPr>
      <w:r>
        <w:rPr>
          <w:rFonts w:hint="eastAsia"/>
          <w:color w:val="auto"/>
          <w:highlight w:val="none"/>
        </w:rPr>
        <w:t>（3）声环境</w:t>
      </w:r>
    </w:p>
    <w:p w14:paraId="201E411A">
      <w:pPr>
        <w:ind w:firstLine="480"/>
        <w:rPr>
          <w:color w:val="auto"/>
          <w:highlight w:val="none"/>
        </w:rPr>
      </w:pPr>
      <w:r>
        <w:rPr>
          <w:rFonts w:hint="eastAsia"/>
          <w:color w:val="auto"/>
          <w:highlight w:val="none"/>
        </w:rPr>
        <w:t>区域声环境质量评价执行《声环境质量标准》（</w:t>
      </w:r>
      <w:r>
        <w:rPr>
          <w:color w:val="auto"/>
          <w:highlight w:val="none"/>
        </w:rPr>
        <w:t>GB3096-2008</w:t>
      </w:r>
      <w:r>
        <w:rPr>
          <w:rFonts w:hint="eastAsia"/>
          <w:color w:val="auto"/>
          <w:highlight w:val="none"/>
        </w:rPr>
        <w:t>）中的</w:t>
      </w:r>
      <w:r>
        <w:rPr>
          <w:color w:val="auto"/>
          <w:highlight w:val="none"/>
        </w:rPr>
        <w:t>3</w:t>
      </w:r>
      <w:r>
        <w:rPr>
          <w:rFonts w:hint="eastAsia"/>
          <w:color w:val="auto"/>
          <w:highlight w:val="none"/>
        </w:rPr>
        <w:t>类标准，标准值见表</w:t>
      </w:r>
      <w:r>
        <w:rPr>
          <w:color w:val="auto"/>
          <w:highlight w:val="none"/>
        </w:rPr>
        <w:t>2.3-</w:t>
      </w:r>
      <w:r>
        <w:rPr>
          <w:rFonts w:hint="eastAsia"/>
          <w:color w:val="auto"/>
          <w:highlight w:val="none"/>
        </w:rPr>
        <w:t>7。</w:t>
      </w:r>
    </w:p>
    <w:p w14:paraId="5F3D6CDE">
      <w:pPr>
        <w:pStyle w:val="199"/>
        <w:spacing w:before="120"/>
        <w:rPr>
          <w:color w:val="auto"/>
          <w:sz w:val="24"/>
          <w:highlight w:val="none"/>
        </w:rPr>
      </w:pPr>
      <w:r>
        <w:rPr>
          <w:rFonts w:hint="eastAsia"/>
          <w:color w:val="auto"/>
          <w:sz w:val="24"/>
          <w:highlight w:val="none"/>
        </w:rPr>
        <w:t>表</w:t>
      </w:r>
      <w:r>
        <w:rPr>
          <w:color w:val="auto"/>
          <w:sz w:val="24"/>
          <w:highlight w:val="none"/>
        </w:rPr>
        <w:t>2.3-</w:t>
      </w:r>
      <w:r>
        <w:rPr>
          <w:rFonts w:hint="eastAsia"/>
          <w:color w:val="auto"/>
          <w:sz w:val="24"/>
          <w:highlight w:val="none"/>
        </w:rPr>
        <w:t>7</w:t>
      </w:r>
      <w:r>
        <w:rPr>
          <w:color w:val="auto"/>
          <w:sz w:val="24"/>
          <w:highlight w:val="none"/>
        </w:rPr>
        <w:t xml:space="preserve">  </w:t>
      </w:r>
      <w:r>
        <w:rPr>
          <w:rFonts w:hint="eastAsia"/>
          <w:color w:val="auto"/>
          <w:sz w:val="24"/>
          <w:highlight w:val="none"/>
        </w:rPr>
        <w:t>声环境质量标准</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163"/>
        <w:gridCol w:w="1087"/>
        <w:gridCol w:w="1087"/>
        <w:gridCol w:w="949"/>
        <w:gridCol w:w="2849"/>
      </w:tblGrid>
      <w:tr w14:paraId="46D90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4" w:type="pct"/>
            <w:gridSpan w:val="2"/>
            <w:noWrap w:val="0"/>
            <w:vAlign w:val="center"/>
          </w:tcPr>
          <w:p w14:paraId="5BF847F9">
            <w:pPr>
              <w:spacing w:line="360" w:lineRule="exact"/>
              <w:ind w:firstLine="0" w:firstLineChars="0"/>
              <w:jc w:val="center"/>
              <w:rPr>
                <w:color w:val="auto"/>
                <w:sz w:val="21"/>
                <w:szCs w:val="21"/>
                <w:highlight w:val="none"/>
              </w:rPr>
            </w:pPr>
            <w:r>
              <w:rPr>
                <w:rFonts w:hint="eastAsia"/>
                <w:color w:val="auto"/>
                <w:sz w:val="21"/>
                <w:szCs w:val="21"/>
                <w:highlight w:val="none"/>
              </w:rPr>
              <w:t>标准类别</w:t>
            </w:r>
          </w:p>
        </w:tc>
        <w:tc>
          <w:tcPr>
            <w:tcW w:w="1276" w:type="pct"/>
            <w:gridSpan w:val="2"/>
            <w:noWrap w:val="0"/>
            <w:vAlign w:val="center"/>
          </w:tcPr>
          <w:p w14:paraId="097380F9">
            <w:pPr>
              <w:spacing w:line="360" w:lineRule="exact"/>
              <w:ind w:firstLine="0" w:firstLineChars="0"/>
              <w:jc w:val="center"/>
              <w:rPr>
                <w:color w:val="auto"/>
                <w:sz w:val="21"/>
                <w:szCs w:val="21"/>
                <w:highlight w:val="none"/>
              </w:rPr>
            </w:pPr>
            <w:r>
              <w:rPr>
                <w:rFonts w:hint="eastAsia"/>
                <w:color w:val="auto"/>
                <w:sz w:val="21"/>
                <w:szCs w:val="21"/>
                <w:highlight w:val="none"/>
              </w:rPr>
              <w:t>标准值</w:t>
            </w:r>
          </w:p>
        </w:tc>
        <w:tc>
          <w:tcPr>
            <w:tcW w:w="557" w:type="pct"/>
            <w:noWrap w:val="0"/>
            <w:vAlign w:val="center"/>
          </w:tcPr>
          <w:p w14:paraId="3C62996B">
            <w:pPr>
              <w:snapToGrid w:val="0"/>
              <w:spacing w:line="360" w:lineRule="exact"/>
              <w:ind w:firstLine="0" w:firstLineChars="0"/>
              <w:jc w:val="center"/>
              <w:rPr>
                <w:color w:val="auto"/>
                <w:sz w:val="21"/>
                <w:szCs w:val="21"/>
                <w:highlight w:val="none"/>
              </w:rPr>
            </w:pPr>
            <w:r>
              <w:rPr>
                <w:rFonts w:hint="eastAsia"/>
                <w:color w:val="auto"/>
                <w:sz w:val="21"/>
                <w:szCs w:val="21"/>
                <w:highlight w:val="none"/>
              </w:rPr>
              <w:t>单位</w:t>
            </w:r>
          </w:p>
        </w:tc>
        <w:tc>
          <w:tcPr>
            <w:tcW w:w="1673" w:type="pct"/>
            <w:noWrap w:val="0"/>
            <w:vAlign w:val="center"/>
          </w:tcPr>
          <w:p w14:paraId="66ED5CD0">
            <w:pPr>
              <w:spacing w:line="360" w:lineRule="exact"/>
              <w:ind w:firstLine="0" w:firstLineChars="0"/>
              <w:jc w:val="center"/>
              <w:rPr>
                <w:color w:val="auto"/>
                <w:sz w:val="21"/>
                <w:szCs w:val="21"/>
                <w:highlight w:val="none"/>
              </w:rPr>
            </w:pPr>
            <w:r>
              <w:rPr>
                <w:rFonts w:hint="eastAsia"/>
                <w:color w:val="auto"/>
                <w:sz w:val="21"/>
                <w:szCs w:val="21"/>
                <w:highlight w:val="none"/>
              </w:rPr>
              <w:t>标准来源</w:t>
            </w:r>
          </w:p>
        </w:tc>
      </w:tr>
      <w:tr w14:paraId="31131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1" w:type="pct"/>
            <w:vMerge w:val="restart"/>
            <w:noWrap w:val="0"/>
            <w:vAlign w:val="center"/>
          </w:tcPr>
          <w:p w14:paraId="5CE51FB4">
            <w:pPr>
              <w:spacing w:line="360" w:lineRule="exact"/>
              <w:ind w:firstLine="0" w:firstLineChars="0"/>
              <w:jc w:val="center"/>
              <w:rPr>
                <w:color w:val="auto"/>
                <w:sz w:val="21"/>
                <w:szCs w:val="21"/>
                <w:highlight w:val="none"/>
              </w:rPr>
            </w:pPr>
            <w:r>
              <w:rPr>
                <w:rFonts w:hint="eastAsia"/>
                <w:color w:val="auto"/>
                <w:sz w:val="21"/>
                <w:szCs w:val="21"/>
                <w:highlight w:val="none"/>
              </w:rPr>
              <w:t>声环境</w:t>
            </w:r>
          </w:p>
        </w:tc>
        <w:tc>
          <w:tcPr>
            <w:tcW w:w="683" w:type="pct"/>
            <w:noWrap w:val="0"/>
            <w:vAlign w:val="center"/>
          </w:tcPr>
          <w:p w14:paraId="3262F344">
            <w:pPr>
              <w:snapToGrid w:val="0"/>
              <w:spacing w:line="360" w:lineRule="exact"/>
              <w:ind w:firstLine="0" w:firstLineChars="0"/>
              <w:jc w:val="center"/>
              <w:rPr>
                <w:color w:val="auto"/>
                <w:sz w:val="21"/>
                <w:szCs w:val="21"/>
                <w:highlight w:val="none"/>
              </w:rPr>
            </w:pPr>
            <w:r>
              <w:rPr>
                <w:rFonts w:hint="eastAsia"/>
                <w:color w:val="auto"/>
                <w:sz w:val="21"/>
                <w:szCs w:val="21"/>
                <w:highlight w:val="none"/>
              </w:rPr>
              <w:t>分类</w:t>
            </w:r>
          </w:p>
        </w:tc>
        <w:tc>
          <w:tcPr>
            <w:tcW w:w="638" w:type="pct"/>
            <w:noWrap w:val="0"/>
            <w:vAlign w:val="center"/>
          </w:tcPr>
          <w:p w14:paraId="27883695">
            <w:pPr>
              <w:snapToGrid w:val="0"/>
              <w:spacing w:line="360" w:lineRule="exact"/>
              <w:ind w:firstLine="0" w:firstLineChars="0"/>
              <w:jc w:val="center"/>
              <w:rPr>
                <w:color w:val="auto"/>
                <w:sz w:val="21"/>
                <w:szCs w:val="21"/>
                <w:highlight w:val="none"/>
              </w:rPr>
            </w:pPr>
            <w:r>
              <w:rPr>
                <w:rFonts w:hint="eastAsia"/>
                <w:color w:val="auto"/>
                <w:sz w:val="21"/>
                <w:szCs w:val="21"/>
                <w:highlight w:val="none"/>
              </w:rPr>
              <w:t>昼间</w:t>
            </w:r>
          </w:p>
        </w:tc>
        <w:tc>
          <w:tcPr>
            <w:tcW w:w="638" w:type="pct"/>
            <w:noWrap w:val="0"/>
            <w:vAlign w:val="center"/>
          </w:tcPr>
          <w:p w14:paraId="36A71796">
            <w:pPr>
              <w:snapToGrid w:val="0"/>
              <w:spacing w:line="360" w:lineRule="exact"/>
              <w:ind w:firstLine="0" w:firstLineChars="0"/>
              <w:jc w:val="center"/>
              <w:rPr>
                <w:color w:val="auto"/>
                <w:sz w:val="21"/>
                <w:szCs w:val="21"/>
                <w:highlight w:val="none"/>
              </w:rPr>
            </w:pPr>
            <w:r>
              <w:rPr>
                <w:rFonts w:hint="eastAsia"/>
                <w:color w:val="auto"/>
                <w:sz w:val="21"/>
                <w:szCs w:val="21"/>
                <w:highlight w:val="none"/>
              </w:rPr>
              <w:t>夜间</w:t>
            </w:r>
          </w:p>
        </w:tc>
        <w:tc>
          <w:tcPr>
            <w:tcW w:w="557" w:type="pct"/>
            <w:vMerge w:val="restart"/>
            <w:noWrap w:val="0"/>
            <w:vAlign w:val="center"/>
          </w:tcPr>
          <w:p w14:paraId="16984715">
            <w:pPr>
              <w:snapToGrid w:val="0"/>
              <w:spacing w:line="360" w:lineRule="exact"/>
              <w:ind w:firstLine="0" w:firstLineChars="0"/>
              <w:jc w:val="center"/>
              <w:rPr>
                <w:color w:val="auto"/>
                <w:sz w:val="21"/>
                <w:szCs w:val="21"/>
                <w:highlight w:val="none"/>
              </w:rPr>
            </w:pPr>
            <w:r>
              <w:rPr>
                <w:color w:val="auto"/>
                <w:sz w:val="21"/>
                <w:szCs w:val="21"/>
                <w:highlight w:val="none"/>
              </w:rPr>
              <w:t>dB(A)</w:t>
            </w:r>
          </w:p>
        </w:tc>
        <w:tc>
          <w:tcPr>
            <w:tcW w:w="1673" w:type="pct"/>
            <w:vMerge w:val="restart"/>
            <w:noWrap w:val="0"/>
            <w:vAlign w:val="center"/>
          </w:tcPr>
          <w:p w14:paraId="50F93682">
            <w:pPr>
              <w:spacing w:line="360" w:lineRule="exact"/>
              <w:ind w:firstLine="0" w:firstLineChars="0"/>
              <w:jc w:val="center"/>
              <w:rPr>
                <w:color w:val="auto"/>
                <w:sz w:val="21"/>
                <w:szCs w:val="21"/>
                <w:highlight w:val="none"/>
              </w:rPr>
            </w:pPr>
            <w:r>
              <w:rPr>
                <w:rFonts w:hint="eastAsia"/>
                <w:color w:val="auto"/>
                <w:sz w:val="21"/>
                <w:szCs w:val="21"/>
                <w:highlight w:val="none"/>
              </w:rPr>
              <w:t>《声环境质量标准》</w:t>
            </w:r>
          </w:p>
          <w:p w14:paraId="7FA6DBD6">
            <w:pPr>
              <w:spacing w:line="360" w:lineRule="exact"/>
              <w:ind w:firstLine="0" w:firstLineChars="0"/>
              <w:jc w:val="center"/>
              <w:rPr>
                <w:color w:val="auto"/>
                <w:sz w:val="21"/>
                <w:szCs w:val="21"/>
                <w:highlight w:val="none"/>
              </w:rPr>
            </w:pPr>
            <w:r>
              <w:rPr>
                <w:rFonts w:hint="eastAsia"/>
                <w:color w:val="auto"/>
                <w:sz w:val="21"/>
                <w:szCs w:val="21"/>
                <w:highlight w:val="none"/>
              </w:rPr>
              <w:t>（</w:t>
            </w:r>
            <w:r>
              <w:rPr>
                <w:color w:val="auto"/>
                <w:sz w:val="21"/>
                <w:szCs w:val="21"/>
                <w:highlight w:val="none"/>
              </w:rPr>
              <w:t>GB3096-2008</w:t>
            </w:r>
            <w:r>
              <w:rPr>
                <w:rFonts w:hint="eastAsia"/>
                <w:color w:val="auto"/>
                <w:sz w:val="21"/>
                <w:szCs w:val="21"/>
                <w:highlight w:val="none"/>
              </w:rPr>
              <w:t>）中</w:t>
            </w:r>
            <w:r>
              <w:rPr>
                <w:color w:val="auto"/>
                <w:sz w:val="21"/>
                <w:szCs w:val="21"/>
                <w:highlight w:val="none"/>
              </w:rPr>
              <w:t>3</w:t>
            </w:r>
            <w:r>
              <w:rPr>
                <w:rFonts w:hint="eastAsia"/>
                <w:color w:val="auto"/>
                <w:sz w:val="21"/>
                <w:szCs w:val="21"/>
                <w:highlight w:val="none"/>
              </w:rPr>
              <w:t>类标准</w:t>
            </w:r>
          </w:p>
        </w:tc>
      </w:tr>
      <w:tr w14:paraId="543EA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11" w:type="pct"/>
            <w:vMerge w:val="continue"/>
            <w:noWrap w:val="0"/>
            <w:vAlign w:val="center"/>
          </w:tcPr>
          <w:p w14:paraId="3BDF6427">
            <w:pPr>
              <w:spacing w:line="360" w:lineRule="exact"/>
              <w:ind w:firstLine="0" w:firstLineChars="0"/>
              <w:jc w:val="center"/>
              <w:rPr>
                <w:color w:val="auto"/>
                <w:sz w:val="21"/>
                <w:szCs w:val="21"/>
                <w:highlight w:val="none"/>
              </w:rPr>
            </w:pPr>
          </w:p>
        </w:tc>
        <w:tc>
          <w:tcPr>
            <w:tcW w:w="683" w:type="pct"/>
            <w:noWrap w:val="0"/>
            <w:vAlign w:val="center"/>
          </w:tcPr>
          <w:p w14:paraId="0A27DF5D">
            <w:pPr>
              <w:snapToGrid w:val="0"/>
              <w:spacing w:line="360" w:lineRule="exact"/>
              <w:ind w:firstLine="0" w:firstLineChars="0"/>
              <w:jc w:val="center"/>
              <w:rPr>
                <w:color w:val="auto"/>
                <w:sz w:val="21"/>
                <w:szCs w:val="21"/>
                <w:highlight w:val="none"/>
              </w:rPr>
            </w:pPr>
            <w:r>
              <w:rPr>
                <w:color w:val="auto"/>
                <w:sz w:val="21"/>
                <w:szCs w:val="21"/>
                <w:highlight w:val="none"/>
              </w:rPr>
              <w:t>3</w:t>
            </w:r>
            <w:r>
              <w:rPr>
                <w:rFonts w:hint="eastAsia"/>
                <w:color w:val="auto"/>
                <w:sz w:val="21"/>
                <w:szCs w:val="21"/>
                <w:highlight w:val="none"/>
              </w:rPr>
              <w:t>类</w:t>
            </w:r>
          </w:p>
        </w:tc>
        <w:tc>
          <w:tcPr>
            <w:tcW w:w="638" w:type="pct"/>
            <w:noWrap w:val="0"/>
            <w:vAlign w:val="center"/>
          </w:tcPr>
          <w:p w14:paraId="7A396335">
            <w:pPr>
              <w:snapToGrid w:val="0"/>
              <w:spacing w:line="360" w:lineRule="exact"/>
              <w:ind w:firstLine="0" w:firstLineChars="0"/>
              <w:jc w:val="center"/>
              <w:rPr>
                <w:color w:val="auto"/>
                <w:sz w:val="21"/>
                <w:szCs w:val="21"/>
                <w:highlight w:val="none"/>
              </w:rPr>
            </w:pPr>
            <w:r>
              <w:rPr>
                <w:color w:val="auto"/>
                <w:sz w:val="21"/>
                <w:szCs w:val="21"/>
                <w:highlight w:val="none"/>
              </w:rPr>
              <w:t>65</w:t>
            </w:r>
          </w:p>
        </w:tc>
        <w:tc>
          <w:tcPr>
            <w:tcW w:w="638" w:type="pct"/>
            <w:noWrap w:val="0"/>
            <w:vAlign w:val="center"/>
          </w:tcPr>
          <w:p w14:paraId="544B5140">
            <w:pPr>
              <w:snapToGrid w:val="0"/>
              <w:spacing w:line="360" w:lineRule="exact"/>
              <w:ind w:firstLine="0" w:firstLineChars="0"/>
              <w:jc w:val="center"/>
              <w:rPr>
                <w:color w:val="auto"/>
                <w:sz w:val="21"/>
                <w:szCs w:val="21"/>
                <w:highlight w:val="none"/>
              </w:rPr>
            </w:pPr>
            <w:r>
              <w:rPr>
                <w:color w:val="auto"/>
                <w:sz w:val="21"/>
                <w:szCs w:val="21"/>
                <w:highlight w:val="none"/>
              </w:rPr>
              <w:t>55</w:t>
            </w:r>
          </w:p>
        </w:tc>
        <w:tc>
          <w:tcPr>
            <w:tcW w:w="557" w:type="pct"/>
            <w:vMerge w:val="continue"/>
            <w:noWrap w:val="0"/>
            <w:vAlign w:val="center"/>
          </w:tcPr>
          <w:p w14:paraId="1382538C">
            <w:pPr>
              <w:snapToGrid w:val="0"/>
              <w:spacing w:line="360" w:lineRule="exact"/>
              <w:ind w:firstLine="0" w:firstLineChars="0"/>
              <w:jc w:val="center"/>
              <w:rPr>
                <w:color w:val="auto"/>
                <w:sz w:val="21"/>
                <w:szCs w:val="21"/>
                <w:highlight w:val="none"/>
              </w:rPr>
            </w:pPr>
          </w:p>
        </w:tc>
        <w:tc>
          <w:tcPr>
            <w:tcW w:w="1673" w:type="pct"/>
            <w:vMerge w:val="continue"/>
            <w:noWrap w:val="0"/>
            <w:vAlign w:val="center"/>
          </w:tcPr>
          <w:p w14:paraId="2BD6C548">
            <w:pPr>
              <w:snapToGrid w:val="0"/>
              <w:spacing w:line="360" w:lineRule="exact"/>
              <w:ind w:firstLine="420"/>
              <w:rPr>
                <w:color w:val="auto"/>
                <w:sz w:val="21"/>
                <w:szCs w:val="21"/>
                <w:highlight w:val="none"/>
              </w:rPr>
            </w:pPr>
          </w:p>
        </w:tc>
      </w:tr>
    </w:tbl>
    <w:p w14:paraId="4DC98162">
      <w:pPr>
        <w:pStyle w:val="181"/>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）土壤环境</w:t>
      </w:r>
    </w:p>
    <w:p w14:paraId="500C24E8">
      <w:pPr>
        <w:ind w:firstLine="480"/>
        <w:rPr>
          <w:rFonts w:hint="eastAsia"/>
          <w:color w:val="auto"/>
          <w:highlight w:val="none"/>
        </w:rPr>
      </w:pPr>
      <w:r>
        <w:rPr>
          <w:rFonts w:hint="eastAsia"/>
          <w:color w:val="auto"/>
          <w:highlight w:val="none"/>
        </w:rPr>
        <w:t>土壤环境评价执行《土壤环境质量</w:t>
      </w:r>
      <w:r>
        <w:rPr>
          <w:color w:val="auto"/>
          <w:highlight w:val="none"/>
        </w:rPr>
        <w:t>—</w:t>
      </w:r>
      <w:r>
        <w:rPr>
          <w:rFonts w:hint="eastAsia"/>
          <w:color w:val="auto"/>
          <w:highlight w:val="none"/>
        </w:rPr>
        <w:t>建设用地土壤污染风险管控标准（试行）》（</w:t>
      </w:r>
      <w:r>
        <w:rPr>
          <w:color w:val="auto"/>
          <w:highlight w:val="none"/>
        </w:rPr>
        <w:t>GB36600-2018</w:t>
      </w:r>
      <w:r>
        <w:rPr>
          <w:rFonts w:hint="eastAsia"/>
          <w:color w:val="auto"/>
          <w:highlight w:val="none"/>
        </w:rPr>
        <w:t>）第二类用地标准，见表</w:t>
      </w:r>
      <w:r>
        <w:rPr>
          <w:color w:val="auto"/>
          <w:highlight w:val="none"/>
        </w:rPr>
        <w:t>2.3-</w:t>
      </w:r>
      <w:r>
        <w:rPr>
          <w:rFonts w:hint="eastAsia"/>
          <w:color w:val="auto"/>
          <w:highlight w:val="none"/>
        </w:rPr>
        <w:t>8。</w:t>
      </w:r>
    </w:p>
    <w:p w14:paraId="0B9D6812">
      <w:pPr>
        <w:pStyle w:val="40"/>
        <w:rPr>
          <w:rFonts w:hint="eastAsia"/>
          <w:color w:val="auto"/>
          <w:highlight w:val="none"/>
        </w:rPr>
      </w:pPr>
    </w:p>
    <w:p w14:paraId="5CDB7F16">
      <w:pPr>
        <w:pStyle w:val="199"/>
        <w:spacing w:before="120"/>
        <w:rPr>
          <w:rFonts w:hint="eastAsia"/>
          <w:color w:val="auto"/>
          <w:sz w:val="24"/>
          <w:highlight w:val="none"/>
        </w:rPr>
      </w:pPr>
    </w:p>
    <w:p w14:paraId="6C37F5A8">
      <w:pPr>
        <w:pStyle w:val="199"/>
        <w:spacing w:before="120"/>
        <w:rPr>
          <w:color w:val="auto"/>
          <w:sz w:val="24"/>
          <w:highlight w:val="none"/>
        </w:rPr>
      </w:pPr>
      <w:r>
        <w:rPr>
          <w:rFonts w:hint="eastAsia"/>
          <w:color w:val="auto"/>
          <w:sz w:val="24"/>
          <w:highlight w:val="none"/>
        </w:rPr>
        <w:t>表</w:t>
      </w:r>
      <w:r>
        <w:rPr>
          <w:color w:val="auto"/>
          <w:sz w:val="24"/>
          <w:highlight w:val="none"/>
        </w:rPr>
        <w:t>2.3-</w:t>
      </w:r>
      <w:r>
        <w:rPr>
          <w:rFonts w:hint="eastAsia"/>
          <w:color w:val="auto"/>
          <w:sz w:val="24"/>
          <w:highlight w:val="none"/>
        </w:rPr>
        <w:t>8</w:t>
      </w:r>
      <w:r>
        <w:rPr>
          <w:color w:val="auto"/>
          <w:sz w:val="24"/>
          <w:highlight w:val="none"/>
        </w:rPr>
        <w:t xml:space="preserve">    </w:t>
      </w:r>
      <w:r>
        <w:rPr>
          <w:rFonts w:hint="eastAsia"/>
          <w:color w:val="auto"/>
          <w:sz w:val="24"/>
          <w:highlight w:val="none"/>
        </w:rPr>
        <w:t>土壤环境质量评价标准一览表（单位</w:t>
      </w:r>
      <w:r>
        <w:rPr>
          <w:color w:val="auto"/>
          <w:sz w:val="24"/>
          <w:highlight w:val="none"/>
        </w:rPr>
        <w:t>mg/kg</w:t>
      </w:r>
      <w:r>
        <w:rPr>
          <w:rFonts w:hint="eastAsia"/>
          <w:color w:val="auto"/>
          <w:sz w:val="24"/>
          <w:highlight w:val="none"/>
        </w:rPr>
        <w:t>）</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9"/>
        <w:gridCol w:w="1995"/>
        <w:gridCol w:w="2824"/>
        <w:gridCol w:w="2808"/>
      </w:tblGrid>
      <w:tr w14:paraId="4EBD3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436" w:type="pct"/>
            <w:noWrap w:val="0"/>
            <w:vAlign w:val="center"/>
          </w:tcPr>
          <w:p w14:paraId="796251B7">
            <w:pPr>
              <w:widowControl/>
              <w:spacing w:line="320" w:lineRule="exact"/>
              <w:ind w:firstLine="0" w:firstLineChars="0"/>
              <w:jc w:val="center"/>
              <w:rPr>
                <w:color w:val="auto"/>
                <w:sz w:val="21"/>
                <w:szCs w:val="21"/>
                <w:highlight w:val="none"/>
              </w:rPr>
            </w:pPr>
            <w:r>
              <w:rPr>
                <w:rFonts w:hint="eastAsia"/>
                <w:color w:val="auto"/>
                <w:sz w:val="21"/>
                <w:szCs w:val="21"/>
                <w:highlight w:val="none"/>
              </w:rPr>
              <w:t>序号</w:t>
            </w:r>
          </w:p>
        </w:tc>
        <w:tc>
          <w:tcPr>
            <w:tcW w:w="1194" w:type="pct"/>
            <w:noWrap w:val="0"/>
            <w:vAlign w:val="center"/>
          </w:tcPr>
          <w:p w14:paraId="7DA749EB">
            <w:pPr>
              <w:widowControl/>
              <w:spacing w:line="320" w:lineRule="exact"/>
              <w:ind w:firstLine="0" w:firstLineChars="0"/>
              <w:jc w:val="center"/>
              <w:rPr>
                <w:color w:val="auto"/>
                <w:sz w:val="21"/>
                <w:szCs w:val="21"/>
                <w:highlight w:val="none"/>
              </w:rPr>
            </w:pPr>
            <w:r>
              <w:rPr>
                <w:rFonts w:hint="eastAsia"/>
                <w:color w:val="auto"/>
                <w:sz w:val="21"/>
                <w:szCs w:val="21"/>
                <w:highlight w:val="none"/>
              </w:rPr>
              <w:t>污染物项目</w:t>
            </w:r>
          </w:p>
        </w:tc>
        <w:tc>
          <w:tcPr>
            <w:tcW w:w="1690" w:type="pct"/>
            <w:noWrap w:val="0"/>
            <w:vAlign w:val="center"/>
          </w:tcPr>
          <w:p w14:paraId="27E90BF1">
            <w:pPr>
              <w:widowControl/>
              <w:topLinePunct/>
              <w:adjustRightInd w:val="0"/>
              <w:spacing w:line="320" w:lineRule="exact"/>
              <w:ind w:firstLine="0" w:firstLineChars="0"/>
              <w:jc w:val="center"/>
              <w:textAlignment w:val="baseline"/>
              <w:rPr>
                <w:color w:val="auto"/>
                <w:sz w:val="21"/>
                <w:szCs w:val="21"/>
                <w:highlight w:val="none"/>
              </w:rPr>
            </w:pPr>
            <w:r>
              <w:rPr>
                <w:rFonts w:hint="eastAsia"/>
                <w:color w:val="auto"/>
                <w:sz w:val="21"/>
                <w:szCs w:val="21"/>
                <w:highlight w:val="none"/>
              </w:rPr>
              <w:t>筛选值（第二类用地）</w:t>
            </w:r>
          </w:p>
        </w:tc>
        <w:tc>
          <w:tcPr>
            <w:tcW w:w="1680" w:type="pct"/>
            <w:noWrap w:val="0"/>
            <w:vAlign w:val="center"/>
          </w:tcPr>
          <w:p w14:paraId="1220AADF">
            <w:pPr>
              <w:widowControl/>
              <w:spacing w:line="320" w:lineRule="exact"/>
              <w:ind w:firstLine="0" w:firstLineChars="0"/>
              <w:jc w:val="center"/>
              <w:rPr>
                <w:color w:val="auto"/>
                <w:sz w:val="21"/>
                <w:szCs w:val="21"/>
                <w:highlight w:val="none"/>
              </w:rPr>
            </w:pPr>
            <w:r>
              <w:rPr>
                <w:rFonts w:hint="eastAsia"/>
                <w:color w:val="auto"/>
                <w:sz w:val="21"/>
                <w:szCs w:val="21"/>
                <w:highlight w:val="none"/>
              </w:rPr>
              <w:t>标准来源</w:t>
            </w:r>
          </w:p>
        </w:tc>
      </w:tr>
      <w:tr w14:paraId="2F73D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0FCA9596">
            <w:pPr>
              <w:widowControl/>
              <w:spacing w:line="320" w:lineRule="exact"/>
              <w:ind w:firstLine="0" w:firstLineChars="0"/>
              <w:jc w:val="center"/>
              <w:rPr>
                <w:color w:val="auto"/>
                <w:sz w:val="21"/>
                <w:szCs w:val="21"/>
                <w:highlight w:val="none"/>
              </w:rPr>
            </w:pPr>
            <w:r>
              <w:rPr>
                <w:color w:val="auto"/>
                <w:sz w:val="21"/>
                <w:szCs w:val="21"/>
                <w:highlight w:val="none"/>
              </w:rPr>
              <w:t>1</w:t>
            </w:r>
          </w:p>
        </w:tc>
        <w:tc>
          <w:tcPr>
            <w:tcW w:w="1194" w:type="pct"/>
            <w:noWrap w:val="0"/>
            <w:vAlign w:val="center"/>
          </w:tcPr>
          <w:p w14:paraId="13313428">
            <w:pPr>
              <w:widowControl/>
              <w:spacing w:line="320" w:lineRule="exact"/>
              <w:ind w:firstLine="0" w:firstLineChars="0"/>
              <w:jc w:val="center"/>
              <w:rPr>
                <w:color w:val="auto"/>
                <w:sz w:val="21"/>
                <w:szCs w:val="21"/>
                <w:highlight w:val="none"/>
              </w:rPr>
            </w:pPr>
            <w:r>
              <w:rPr>
                <w:rFonts w:hint="eastAsia"/>
                <w:color w:val="auto"/>
                <w:sz w:val="21"/>
                <w:szCs w:val="21"/>
                <w:highlight w:val="none"/>
              </w:rPr>
              <w:t>砷</w:t>
            </w:r>
          </w:p>
        </w:tc>
        <w:tc>
          <w:tcPr>
            <w:tcW w:w="1690" w:type="pct"/>
            <w:noWrap w:val="0"/>
            <w:vAlign w:val="center"/>
          </w:tcPr>
          <w:p w14:paraId="34BAB0A0">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60</w:t>
            </w:r>
          </w:p>
        </w:tc>
        <w:tc>
          <w:tcPr>
            <w:tcW w:w="1680" w:type="pct"/>
            <w:vMerge w:val="restart"/>
            <w:noWrap w:val="0"/>
            <w:vAlign w:val="center"/>
          </w:tcPr>
          <w:p w14:paraId="00CDA25E">
            <w:pPr>
              <w:widowControl/>
              <w:spacing w:line="320" w:lineRule="exact"/>
              <w:ind w:firstLine="0" w:firstLineChars="0"/>
              <w:jc w:val="center"/>
              <w:rPr>
                <w:color w:val="auto"/>
                <w:sz w:val="21"/>
                <w:szCs w:val="21"/>
                <w:highlight w:val="none"/>
              </w:rPr>
            </w:pPr>
            <w:r>
              <w:rPr>
                <w:rFonts w:hint="eastAsia"/>
                <w:color w:val="auto"/>
                <w:sz w:val="21"/>
                <w:szCs w:val="21"/>
                <w:highlight w:val="none"/>
              </w:rPr>
              <w:t>《土壤环境质量</w:t>
            </w:r>
            <w:r>
              <w:rPr>
                <w:color w:val="auto"/>
                <w:sz w:val="21"/>
                <w:szCs w:val="21"/>
                <w:highlight w:val="none"/>
              </w:rPr>
              <w:t>—</w:t>
            </w:r>
            <w:r>
              <w:rPr>
                <w:rFonts w:hint="eastAsia"/>
                <w:color w:val="auto"/>
                <w:sz w:val="21"/>
                <w:szCs w:val="21"/>
                <w:highlight w:val="none"/>
              </w:rPr>
              <w:t>建设用地土壤污染风险管控标准（试行）》（</w:t>
            </w:r>
            <w:r>
              <w:rPr>
                <w:color w:val="auto"/>
                <w:sz w:val="21"/>
                <w:szCs w:val="21"/>
                <w:highlight w:val="none"/>
              </w:rPr>
              <w:t>GB36600-2018</w:t>
            </w:r>
            <w:r>
              <w:rPr>
                <w:rFonts w:hint="eastAsia"/>
                <w:color w:val="auto"/>
                <w:sz w:val="21"/>
                <w:szCs w:val="21"/>
                <w:highlight w:val="none"/>
              </w:rPr>
              <w:t>）第二类用地标准</w:t>
            </w:r>
          </w:p>
        </w:tc>
      </w:tr>
      <w:tr w14:paraId="7CF16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39AFAE12">
            <w:pPr>
              <w:widowControl/>
              <w:spacing w:line="320" w:lineRule="exact"/>
              <w:ind w:firstLine="0" w:firstLineChars="0"/>
              <w:jc w:val="center"/>
              <w:rPr>
                <w:color w:val="auto"/>
                <w:sz w:val="21"/>
                <w:szCs w:val="21"/>
                <w:highlight w:val="none"/>
              </w:rPr>
            </w:pPr>
            <w:r>
              <w:rPr>
                <w:color w:val="auto"/>
                <w:sz w:val="21"/>
                <w:szCs w:val="21"/>
                <w:highlight w:val="none"/>
              </w:rPr>
              <w:t>2</w:t>
            </w:r>
          </w:p>
        </w:tc>
        <w:tc>
          <w:tcPr>
            <w:tcW w:w="1194" w:type="pct"/>
            <w:noWrap w:val="0"/>
            <w:vAlign w:val="center"/>
          </w:tcPr>
          <w:p w14:paraId="7EE7E474">
            <w:pPr>
              <w:widowControl/>
              <w:spacing w:line="320" w:lineRule="exact"/>
              <w:ind w:firstLine="0" w:firstLineChars="0"/>
              <w:jc w:val="center"/>
              <w:rPr>
                <w:color w:val="auto"/>
                <w:sz w:val="21"/>
                <w:szCs w:val="21"/>
                <w:highlight w:val="none"/>
              </w:rPr>
            </w:pPr>
            <w:r>
              <w:rPr>
                <w:rFonts w:hint="eastAsia"/>
                <w:color w:val="auto"/>
                <w:sz w:val="21"/>
                <w:szCs w:val="21"/>
                <w:highlight w:val="none"/>
              </w:rPr>
              <w:t>镉</w:t>
            </w:r>
          </w:p>
        </w:tc>
        <w:tc>
          <w:tcPr>
            <w:tcW w:w="1690" w:type="pct"/>
            <w:noWrap w:val="0"/>
            <w:vAlign w:val="center"/>
          </w:tcPr>
          <w:p w14:paraId="5CC2AD1B">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65</w:t>
            </w:r>
          </w:p>
        </w:tc>
        <w:tc>
          <w:tcPr>
            <w:tcW w:w="1680" w:type="pct"/>
            <w:vMerge w:val="continue"/>
            <w:noWrap w:val="0"/>
            <w:vAlign w:val="center"/>
          </w:tcPr>
          <w:p w14:paraId="6AC8E464">
            <w:pPr>
              <w:widowControl/>
              <w:spacing w:line="320" w:lineRule="exact"/>
              <w:ind w:firstLine="0" w:firstLineChars="0"/>
              <w:jc w:val="center"/>
              <w:rPr>
                <w:color w:val="auto"/>
                <w:sz w:val="21"/>
                <w:szCs w:val="21"/>
                <w:highlight w:val="none"/>
              </w:rPr>
            </w:pPr>
          </w:p>
        </w:tc>
      </w:tr>
      <w:tr w14:paraId="491ED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53A3A828">
            <w:pPr>
              <w:widowControl/>
              <w:spacing w:line="320" w:lineRule="exact"/>
              <w:ind w:firstLine="0" w:firstLineChars="0"/>
              <w:jc w:val="center"/>
              <w:rPr>
                <w:color w:val="auto"/>
                <w:sz w:val="21"/>
                <w:szCs w:val="21"/>
                <w:highlight w:val="none"/>
              </w:rPr>
            </w:pPr>
            <w:r>
              <w:rPr>
                <w:color w:val="auto"/>
                <w:sz w:val="21"/>
                <w:szCs w:val="21"/>
                <w:highlight w:val="none"/>
              </w:rPr>
              <w:t>3</w:t>
            </w:r>
          </w:p>
        </w:tc>
        <w:tc>
          <w:tcPr>
            <w:tcW w:w="1194" w:type="pct"/>
            <w:noWrap w:val="0"/>
            <w:vAlign w:val="center"/>
          </w:tcPr>
          <w:p w14:paraId="0D26B8AA">
            <w:pPr>
              <w:widowControl/>
              <w:spacing w:line="320" w:lineRule="exact"/>
              <w:ind w:firstLine="0" w:firstLineChars="0"/>
              <w:jc w:val="center"/>
              <w:rPr>
                <w:color w:val="auto"/>
                <w:sz w:val="21"/>
                <w:szCs w:val="21"/>
                <w:highlight w:val="none"/>
              </w:rPr>
            </w:pPr>
            <w:r>
              <w:rPr>
                <w:rFonts w:hint="eastAsia"/>
                <w:color w:val="auto"/>
                <w:sz w:val="21"/>
                <w:szCs w:val="21"/>
                <w:highlight w:val="none"/>
              </w:rPr>
              <w:t>铬（六价）</w:t>
            </w:r>
          </w:p>
        </w:tc>
        <w:tc>
          <w:tcPr>
            <w:tcW w:w="1690" w:type="pct"/>
            <w:noWrap w:val="0"/>
            <w:vAlign w:val="center"/>
          </w:tcPr>
          <w:p w14:paraId="2CA62CF5">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5.7</w:t>
            </w:r>
          </w:p>
        </w:tc>
        <w:tc>
          <w:tcPr>
            <w:tcW w:w="1680" w:type="pct"/>
            <w:vMerge w:val="continue"/>
            <w:noWrap w:val="0"/>
            <w:vAlign w:val="center"/>
          </w:tcPr>
          <w:p w14:paraId="2F3BCF62">
            <w:pPr>
              <w:widowControl/>
              <w:spacing w:line="320" w:lineRule="exact"/>
              <w:ind w:firstLine="0" w:firstLineChars="0"/>
              <w:jc w:val="center"/>
              <w:rPr>
                <w:color w:val="auto"/>
                <w:sz w:val="21"/>
                <w:szCs w:val="21"/>
                <w:highlight w:val="none"/>
              </w:rPr>
            </w:pPr>
          </w:p>
        </w:tc>
      </w:tr>
      <w:tr w14:paraId="032F0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499E709F">
            <w:pPr>
              <w:widowControl/>
              <w:spacing w:line="320" w:lineRule="exact"/>
              <w:ind w:firstLine="0" w:firstLineChars="0"/>
              <w:jc w:val="center"/>
              <w:rPr>
                <w:color w:val="auto"/>
                <w:sz w:val="21"/>
                <w:szCs w:val="21"/>
                <w:highlight w:val="none"/>
              </w:rPr>
            </w:pPr>
            <w:r>
              <w:rPr>
                <w:color w:val="auto"/>
                <w:sz w:val="21"/>
                <w:szCs w:val="21"/>
                <w:highlight w:val="none"/>
              </w:rPr>
              <w:t>4</w:t>
            </w:r>
          </w:p>
        </w:tc>
        <w:tc>
          <w:tcPr>
            <w:tcW w:w="1194" w:type="pct"/>
            <w:noWrap w:val="0"/>
            <w:vAlign w:val="center"/>
          </w:tcPr>
          <w:p w14:paraId="77CC9613">
            <w:pPr>
              <w:widowControl/>
              <w:spacing w:line="320" w:lineRule="exact"/>
              <w:ind w:firstLine="0" w:firstLineChars="0"/>
              <w:jc w:val="center"/>
              <w:rPr>
                <w:color w:val="auto"/>
                <w:sz w:val="21"/>
                <w:szCs w:val="21"/>
                <w:highlight w:val="none"/>
              </w:rPr>
            </w:pPr>
            <w:r>
              <w:rPr>
                <w:rFonts w:hint="eastAsia"/>
                <w:color w:val="auto"/>
                <w:sz w:val="21"/>
                <w:szCs w:val="21"/>
                <w:highlight w:val="none"/>
              </w:rPr>
              <w:t>铜</w:t>
            </w:r>
          </w:p>
        </w:tc>
        <w:tc>
          <w:tcPr>
            <w:tcW w:w="1690" w:type="pct"/>
            <w:noWrap w:val="0"/>
            <w:vAlign w:val="center"/>
          </w:tcPr>
          <w:p w14:paraId="592E2131">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18000</w:t>
            </w:r>
          </w:p>
        </w:tc>
        <w:tc>
          <w:tcPr>
            <w:tcW w:w="1680" w:type="pct"/>
            <w:vMerge w:val="continue"/>
            <w:noWrap w:val="0"/>
            <w:vAlign w:val="center"/>
          </w:tcPr>
          <w:p w14:paraId="3B218340">
            <w:pPr>
              <w:widowControl/>
              <w:spacing w:line="320" w:lineRule="exact"/>
              <w:ind w:firstLine="0" w:firstLineChars="0"/>
              <w:jc w:val="center"/>
              <w:rPr>
                <w:color w:val="auto"/>
                <w:sz w:val="21"/>
                <w:szCs w:val="21"/>
                <w:highlight w:val="none"/>
              </w:rPr>
            </w:pPr>
          </w:p>
        </w:tc>
      </w:tr>
      <w:tr w14:paraId="1C141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16F02E28">
            <w:pPr>
              <w:widowControl/>
              <w:spacing w:line="320" w:lineRule="exact"/>
              <w:ind w:firstLine="0" w:firstLineChars="0"/>
              <w:jc w:val="center"/>
              <w:rPr>
                <w:color w:val="auto"/>
                <w:sz w:val="21"/>
                <w:szCs w:val="21"/>
                <w:highlight w:val="none"/>
              </w:rPr>
            </w:pPr>
            <w:r>
              <w:rPr>
                <w:color w:val="auto"/>
                <w:sz w:val="21"/>
                <w:szCs w:val="21"/>
                <w:highlight w:val="none"/>
              </w:rPr>
              <w:t>5</w:t>
            </w:r>
          </w:p>
        </w:tc>
        <w:tc>
          <w:tcPr>
            <w:tcW w:w="1194" w:type="pct"/>
            <w:noWrap w:val="0"/>
            <w:vAlign w:val="center"/>
          </w:tcPr>
          <w:p w14:paraId="7E9CC8DF">
            <w:pPr>
              <w:widowControl/>
              <w:spacing w:line="320" w:lineRule="exact"/>
              <w:ind w:firstLine="0" w:firstLineChars="0"/>
              <w:jc w:val="center"/>
              <w:rPr>
                <w:color w:val="auto"/>
                <w:sz w:val="21"/>
                <w:szCs w:val="21"/>
                <w:highlight w:val="none"/>
              </w:rPr>
            </w:pPr>
            <w:r>
              <w:rPr>
                <w:rFonts w:hint="eastAsia"/>
                <w:color w:val="auto"/>
                <w:sz w:val="21"/>
                <w:szCs w:val="21"/>
                <w:highlight w:val="none"/>
              </w:rPr>
              <w:t>铅</w:t>
            </w:r>
          </w:p>
        </w:tc>
        <w:tc>
          <w:tcPr>
            <w:tcW w:w="1690" w:type="pct"/>
            <w:noWrap w:val="0"/>
            <w:vAlign w:val="center"/>
          </w:tcPr>
          <w:p w14:paraId="01AD7CC3">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800</w:t>
            </w:r>
          </w:p>
        </w:tc>
        <w:tc>
          <w:tcPr>
            <w:tcW w:w="1680" w:type="pct"/>
            <w:vMerge w:val="continue"/>
            <w:noWrap w:val="0"/>
            <w:vAlign w:val="center"/>
          </w:tcPr>
          <w:p w14:paraId="1E8E8C83">
            <w:pPr>
              <w:widowControl/>
              <w:spacing w:line="320" w:lineRule="exact"/>
              <w:ind w:firstLine="0" w:firstLineChars="0"/>
              <w:jc w:val="center"/>
              <w:rPr>
                <w:color w:val="auto"/>
                <w:sz w:val="21"/>
                <w:szCs w:val="21"/>
                <w:highlight w:val="none"/>
              </w:rPr>
            </w:pPr>
          </w:p>
        </w:tc>
      </w:tr>
      <w:tr w14:paraId="1E905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0D794655">
            <w:pPr>
              <w:widowControl/>
              <w:spacing w:line="320" w:lineRule="exact"/>
              <w:ind w:firstLine="0" w:firstLineChars="0"/>
              <w:jc w:val="center"/>
              <w:rPr>
                <w:color w:val="auto"/>
                <w:sz w:val="21"/>
                <w:szCs w:val="21"/>
                <w:highlight w:val="none"/>
              </w:rPr>
            </w:pPr>
            <w:r>
              <w:rPr>
                <w:color w:val="auto"/>
                <w:sz w:val="21"/>
                <w:szCs w:val="21"/>
                <w:highlight w:val="none"/>
              </w:rPr>
              <w:t>6</w:t>
            </w:r>
          </w:p>
        </w:tc>
        <w:tc>
          <w:tcPr>
            <w:tcW w:w="1194" w:type="pct"/>
            <w:noWrap w:val="0"/>
            <w:vAlign w:val="center"/>
          </w:tcPr>
          <w:p w14:paraId="69743C46">
            <w:pPr>
              <w:widowControl/>
              <w:spacing w:line="320" w:lineRule="exact"/>
              <w:ind w:firstLine="0" w:firstLineChars="0"/>
              <w:jc w:val="center"/>
              <w:rPr>
                <w:color w:val="auto"/>
                <w:sz w:val="21"/>
                <w:szCs w:val="21"/>
                <w:highlight w:val="none"/>
              </w:rPr>
            </w:pPr>
            <w:r>
              <w:rPr>
                <w:rFonts w:hint="eastAsia"/>
                <w:color w:val="auto"/>
                <w:sz w:val="21"/>
                <w:szCs w:val="21"/>
                <w:highlight w:val="none"/>
              </w:rPr>
              <w:t>汞</w:t>
            </w:r>
          </w:p>
        </w:tc>
        <w:tc>
          <w:tcPr>
            <w:tcW w:w="1690" w:type="pct"/>
            <w:noWrap w:val="0"/>
            <w:vAlign w:val="center"/>
          </w:tcPr>
          <w:p w14:paraId="03544AC2">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38</w:t>
            </w:r>
          </w:p>
        </w:tc>
        <w:tc>
          <w:tcPr>
            <w:tcW w:w="1680" w:type="pct"/>
            <w:vMerge w:val="continue"/>
            <w:noWrap w:val="0"/>
            <w:vAlign w:val="center"/>
          </w:tcPr>
          <w:p w14:paraId="5ABAE4AA">
            <w:pPr>
              <w:widowControl/>
              <w:spacing w:line="320" w:lineRule="exact"/>
              <w:ind w:firstLine="0" w:firstLineChars="0"/>
              <w:jc w:val="center"/>
              <w:rPr>
                <w:color w:val="auto"/>
                <w:sz w:val="21"/>
                <w:szCs w:val="21"/>
                <w:highlight w:val="none"/>
              </w:rPr>
            </w:pPr>
          </w:p>
        </w:tc>
      </w:tr>
      <w:tr w14:paraId="7B8A6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496A6885">
            <w:pPr>
              <w:widowControl/>
              <w:spacing w:line="320" w:lineRule="exact"/>
              <w:ind w:firstLine="0" w:firstLineChars="0"/>
              <w:jc w:val="center"/>
              <w:rPr>
                <w:color w:val="auto"/>
                <w:sz w:val="21"/>
                <w:szCs w:val="21"/>
                <w:highlight w:val="none"/>
              </w:rPr>
            </w:pPr>
            <w:r>
              <w:rPr>
                <w:color w:val="auto"/>
                <w:sz w:val="21"/>
                <w:szCs w:val="21"/>
                <w:highlight w:val="none"/>
              </w:rPr>
              <w:t>7</w:t>
            </w:r>
          </w:p>
        </w:tc>
        <w:tc>
          <w:tcPr>
            <w:tcW w:w="1194" w:type="pct"/>
            <w:noWrap w:val="0"/>
            <w:vAlign w:val="center"/>
          </w:tcPr>
          <w:p w14:paraId="6DBB01FA">
            <w:pPr>
              <w:widowControl/>
              <w:spacing w:line="320" w:lineRule="exact"/>
              <w:ind w:firstLine="0" w:firstLineChars="0"/>
              <w:jc w:val="center"/>
              <w:rPr>
                <w:color w:val="auto"/>
                <w:sz w:val="21"/>
                <w:szCs w:val="21"/>
                <w:highlight w:val="none"/>
              </w:rPr>
            </w:pPr>
            <w:r>
              <w:rPr>
                <w:rFonts w:hint="eastAsia"/>
                <w:color w:val="auto"/>
                <w:sz w:val="21"/>
                <w:szCs w:val="21"/>
                <w:highlight w:val="none"/>
              </w:rPr>
              <w:t>镍</w:t>
            </w:r>
          </w:p>
        </w:tc>
        <w:tc>
          <w:tcPr>
            <w:tcW w:w="1690" w:type="pct"/>
            <w:noWrap w:val="0"/>
            <w:vAlign w:val="center"/>
          </w:tcPr>
          <w:p w14:paraId="6007802C">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900</w:t>
            </w:r>
          </w:p>
        </w:tc>
        <w:tc>
          <w:tcPr>
            <w:tcW w:w="1680" w:type="pct"/>
            <w:vMerge w:val="continue"/>
            <w:noWrap w:val="0"/>
            <w:vAlign w:val="center"/>
          </w:tcPr>
          <w:p w14:paraId="784B5706">
            <w:pPr>
              <w:widowControl/>
              <w:spacing w:line="320" w:lineRule="exact"/>
              <w:ind w:firstLine="0" w:firstLineChars="0"/>
              <w:jc w:val="center"/>
              <w:rPr>
                <w:color w:val="auto"/>
                <w:sz w:val="21"/>
                <w:szCs w:val="21"/>
                <w:highlight w:val="none"/>
              </w:rPr>
            </w:pPr>
          </w:p>
        </w:tc>
      </w:tr>
      <w:tr w14:paraId="76BB7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16F8BEBB">
            <w:pPr>
              <w:widowControl/>
              <w:spacing w:line="320" w:lineRule="exact"/>
              <w:ind w:firstLine="0" w:firstLineChars="0"/>
              <w:jc w:val="center"/>
              <w:rPr>
                <w:color w:val="auto"/>
                <w:sz w:val="21"/>
                <w:szCs w:val="21"/>
                <w:highlight w:val="none"/>
              </w:rPr>
            </w:pPr>
            <w:r>
              <w:rPr>
                <w:color w:val="auto"/>
                <w:sz w:val="21"/>
                <w:szCs w:val="21"/>
                <w:highlight w:val="none"/>
              </w:rPr>
              <w:t>8</w:t>
            </w:r>
          </w:p>
        </w:tc>
        <w:tc>
          <w:tcPr>
            <w:tcW w:w="1194" w:type="pct"/>
            <w:noWrap w:val="0"/>
            <w:vAlign w:val="center"/>
          </w:tcPr>
          <w:p w14:paraId="298E0A14">
            <w:pPr>
              <w:widowControl/>
              <w:spacing w:line="320" w:lineRule="exact"/>
              <w:ind w:firstLine="0" w:firstLineChars="0"/>
              <w:jc w:val="center"/>
              <w:rPr>
                <w:color w:val="auto"/>
                <w:sz w:val="21"/>
                <w:szCs w:val="21"/>
                <w:highlight w:val="none"/>
              </w:rPr>
            </w:pPr>
            <w:r>
              <w:rPr>
                <w:rFonts w:hint="eastAsia"/>
                <w:color w:val="auto"/>
                <w:sz w:val="21"/>
                <w:szCs w:val="21"/>
                <w:highlight w:val="none"/>
              </w:rPr>
              <w:t>四氯化碳</w:t>
            </w:r>
          </w:p>
        </w:tc>
        <w:tc>
          <w:tcPr>
            <w:tcW w:w="1690" w:type="pct"/>
            <w:noWrap w:val="0"/>
            <w:vAlign w:val="center"/>
          </w:tcPr>
          <w:p w14:paraId="58F7ED38">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0.9</w:t>
            </w:r>
          </w:p>
        </w:tc>
        <w:tc>
          <w:tcPr>
            <w:tcW w:w="1680" w:type="pct"/>
            <w:vMerge w:val="continue"/>
            <w:noWrap w:val="0"/>
            <w:vAlign w:val="center"/>
          </w:tcPr>
          <w:p w14:paraId="72D55B83">
            <w:pPr>
              <w:widowControl/>
              <w:spacing w:line="320" w:lineRule="exact"/>
              <w:ind w:firstLine="0" w:firstLineChars="0"/>
              <w:jc w:val="center"/>
              <w:rPr>
                <w:color w:val="auto"/>
                <w:sz w:val="21"/>
                <w:szCs w:val="21"/>
                <w:highlight w:val="none"/>
              </w:rPr>
            </w:pPr>
          </w:p>
        </w:tc>
      </w:tr>
      <w:tr w14:paraId="047EC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5EECC3B5">
            <w:pPr>
              <w:widowControl/>
              <w:spacing w:line="320" w:lineRule="exact"/>
              <w:ind w:firstLine="0" w:firstLineChars="0"/>
              <w:jc w:val="center"/>
              <w:rPr>
                <w:color w:val="auto"/>
                <w:sz w:val="21"/>
                <w:szCs w:val="21"/>
                <w:highlight w:val="none"/>
              </w:rPr>
            </w:pPr>
            <w:r>
              <w:rPr>
                <w:color w:val="auto"/>
                <w:sz w:val="21"/>
                <w:szCs w:val="21"/>
                <w:highlight w:val="none"/>
              </w:rPr>
              <w:t>9</w:t>
            </w:r>
          </w:p>
        </w:tc>
        <w:tc>
          <w:tcPr>
            <w:tcW w:w="1194" w:type="pct"/>
            <w:noWrap w:val="0"/>
            <w:vAlign w:val="center"/>
          </w:tcPr>
          <w:p w14:paraId="246DB03E">
            <w:pPr>
              <w:widowControl/>
              <w:spacing w:line="320" w:lineRule="exact"/>
              <w:ind w:firstLine="0" w:firstLineChars="0"/>
              <w:jc w:val="center"/>
              <w:rPr>
                <w:color w:val="auto"/>
                <w:sz w:val="21"/>
                <w:szCs w:val="21"/>
                <w:highlight w:val="none"/>
              </w:rPr>
            </w:pPr>
            <w:r>
              <w:rPr>
                <w:rFonts w:hint="eastAsia"/>
                <w:color w:val="auto"/>
                <w:sz w:val="21"/>
                <w:szCs w:val="21"/>
                <w:highlight w:val="none"/>
              </w:rPr>
              <w:t>氯仿</w:t>
            </w:r>
          </w:p>
        </w:tc>
        <w:tc>
          <w:tcPr>
            <w:tcW w:w="1690" w:type="pct"/>
            <w:noWrap w:val="0"/>
            <w:vAlign w:val="center"/>
          </w:tcPr>
          <w:p w14:paraId="543A1953">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0.3</w:t>
            </w:r>
          </w:p>
        </w:tc>
        <w:tc>
          <w:tcPr>
            <w:tcW w:w="1680" w:type="pct"/>
            <w:vMerge w:val="continue"/>
            <w:noWrap w:val="0"/>
            <w:vAlign w:val="center"/>
          </w:tcPr>
          <w:p w14:paraId="3449E951">
            <w:pPr>
              <w:widowControl/>
              <w:spacing w:line="320" w:lineRule="exact"/>
              <w:ind w:firstLine="0" w:firstLineChars="0"/>
              <w:jc w:val="center"/>
              <w:rPr>
                <w:color w:val="auto"/>
                <w:sz w:val="21"/>
                <w:szCs w:val="21"/>
                <w:highlight w:val="none"/>
              </w:rPr>
            </w:pPr>
          </w:p>
        </w:tc>
      </w:tr>
      <w:tr w14:paraId="2DFE3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170826C4">
            <w:pPr>
              <w:widowControl/>
              <w:spacing w:line="320" w:lineRule="exact"/>
              <w:ind w:firstLine="0" w:firstLineChars="0"/>
              <w:jc w:val="center"/>
              <w:rPr>
                <w:color w:val="auto"/>
                <w:sz w:val="21"/>
                <w:szCs w:val="21"/>
                <w:highlight w:val="none"/>
              </w:rPr>
            </w:pPr>
            <w:r>
              <w:rPr>
                <w:color w:val="auto"/>
                <w:sz w:val="21"/>
                <w:szCs w:val="21"/>
                <w:highlight w:val="none"/>
              </w:rPr>
              <w:t>10</w:t>
            </w:r>
          </w:p>
        </w:tc>
        <w:tc>
          <w:tcPr>
            <w:tcW w:w="1194" w:type="pct"/>
            <w:noWrap w:val="0"/>
            <w:vAlign w:val="center"/>
          </w:tcPr>
          <w:p w14:paraId="39D660FC">
            <w:pPr>
              <w:widowControl/>
              <w:spacing w:line="320" w:lineRule="exact"/>
              <w:ind w:firstLine="0" w:firstLineChars="0"/>
              <w:jc w:val="center"/>
              <w:rPr>
                <w:color w:val="auto"/>
                <w:sz w:val="21"/>
                <w:szCs w:val="21"/>
                <w:highlight w:val="none"/>
              </w:rPr>
            </w:pPr>
            <w:r>
              <w:rPr>
                <w:rFonts w:hint="eastAsia"/>
                <w:color w:val="auto"/>
                <w:sz w:val="21"/>
                <w:szCs w:val="21"/>
                <w:highlight w:val="none"/>
              </w:rPr>
              <w:t>氯甲烷</w:t>
            </w:r>
          </w:p>
        </w:tc>
        <w:tc>
          <w:tcPr>
            <w:tcW w:w="1690" w:type="pct"/>
            <w:noWrap w:val="0"/>
            <w:vAlign w:val="center"/>
          </w:tcPr>
          <w:p w14:paraId="40021BAF">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12</w:t>
            </w:r>
          </w:p>
        </w:tc>
        <w:tc>
          <w:tcPr>
            <w:tcW w:w="1680" w:type="pct"/>
            <w:vMerge w:val="continue"/>
            <w:noWrap w:val="0"/>
            <w:vAlign w:val="center"/>
          </w:tcPr>
          <w:p w14:paraId="2CB21E4D">
            <w:pPr>
              <w:widowControl/>
              <w:spacing w:line="320" w:lineRule="exact"/>
              <w:ind w:firstLine="0" w:firstLineChars="0"/>
              <w:jc w:val="center"/>
              <w:rPr>
                <w:color w:val="auto"/>
                <w:sz w:val="21"/>
                <w:szCs w:val="21"/>
                <w:highlight w:val="none"/>
              </w:rPr>
            </w:pPr>
          </w:p>
        </w:tc>
      </w:tr>
      <w:tr w14:paraId="70C7F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3D514732">
            <w:pPr>
              <w:widowControl/>
              <w:spacing w:line="320" w:lineRule="exact"/>
              <w:ind w:firstLine="0" w:firstLineChars="0"/>
              <w:jc w:val="center"/>
              <w:rPr>
                <w:color w:val="auto"/>
                <w:sz w:val="21"/>
                <w:szCs w:val="21"/>
                <w:highlight w:val="none"/>
              </w:rPr>
            </w:pPr>
            <w:r>
              <w:rPr>
                <w:color w:val="auto"/>
                <w:sz w:val="21"/>
                <w:szCs w:val="21"/>
                <w:highlight w:val="none"/>
              </w:rPr>
              <w:t>11</w:t>
            </w:r>
          </w:p>
        </w:tc>
        <w:tc>
          <w:tcPr>
            <w:tcW w:w="1194" w:type="pct"/>
            <w:noWrap w:val="0"/>
            <w:vAlign w:val="center"/>
          </w:tcPr>
          <w:p w14:paraId="4B0149A8">
            <w:pPr>
              <w:widowControl/>
              <w:spacing w:line="320" w:lineRule="exact"/>
              <w:ind w:firstLine="0" w:firstLineChars="0"/>
              <w:jc w:val="center"/>
              <w:rPr>
                <w:color w:val="auto"/>
                <w:sz w:val="21"/>
                <w:szCs w:val="21"/>
                <w:highlight w:val="none"/>
              </w:rPr>
            </w:pPr>
            <w:r>
              <w:rPr>
                <w:color w:val="auto"/>
                <w:sz w:val="21"/>
                <w:szCs w:val="21"/>
                <w:highlight w:val="none"/>
              </w:rPr>
              <w:t>1,1-</w:t>
            </w:r>
            <w:r>
              <w:rPr>
                <w:rFonts w:hint="eastAsia"/>
                <w:color w:val="auto"/>
                <w:sz w:val="21"/>
                <w:szCs w:val="21"/>
                <w:highlight w:val="none"/>
              </w:rPr>
              <w:t>二氯乙烷</w:t>
            </w:r>
          </w:p>
        </w:tc>
        <w:tc>
          <w:tcPr>
            <w:tcW w:w="1690" w:type="pct"/>
            <w:noWrap w:val="0"/>
            <w:vAlign w:val="center"/>
          </w:tcPr>
          <w:p w14:paraId="6A3C799D">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3</w:t>
            </w:r>
          </w:p>
        </w:tc>
        <w:tc>
          <w:tcPr>
            <w:tcW w:w="1680" w:type="pct"/>
            <w:vMerge w:val="continue"/>
            <w:noWrap w:val="0"/>
            <w:vAlign w:val="center"/>
          </w:tcPr>
          <w:p w14:paraId="58A5EC43">
            <w:pPr>
              <w:widowControl/>
              <w:spacing w:line="320" w:lineRule="exact"/>
              <w:ind w:firstLine="0" w:firstLineChars="0"/>
              <w:jc w:val="center"/>
              <w:rPr>
                <w:color w:val="auto"/>
                <w:sz w:val="21"/>
                <w:szCs w:val="21"/>
                <w:highlight w:val="none"/>
              </w:rPr>
            </w:pPr>
          </w:p>
        </w:tc>
      </w:tr>
      <w:tr w14:paraId="5E11B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64D1EB08">
            <w:pPr>
              <w:widowControl/>
              <w:spacing w:line="320" w:lineRule="exact"/>
              <w:ind w:firstLine="0" w:firstLineChars="0"/>
              <w:jc w:val="center"/>
              <w:rPr>
                <w:color w:val="auto"/>
                <w:sz w:val="21"/>
                <w:szCs w:val="21"/>
                <w:highlight w:val="none"/>
              </w:rPr>
            </w:pPr>
            <w:r>
              <w:rPr>
                <w:color w:val="auto"/>
                <w:sz w:val="21"/>
                <w:szCs w:val="21"/>
                <w:highlight w:val="none"/>
              </w:rPr>
              <w:t>12</w:t>
            </w:r>
          </w:p>
        </w:tc>
        <w:tc>
          <w:tcPr>
            <w:tcW w:w="1194" w:type="pct"/>
            <w:noWrap w:val="0"/>
            <w:vAlign w:val="center"/>
          </w:tcPr>
          <w:p w14:paraId="28D06905">
            <w:pPr>
              <w:widowControl/>
              <w:spacing w:line="320" w:lineRule="exact"/>
              <w:ind w:firstLine="0" w:firstLineChars="0"/>
              <w:jc w:val="center"/>
              <w:rPr>
                <w:color w:val="auto"/>
                <w:sz w:val="21"/>
                <w:szCs w:val="21"/>
                <w:highlight w:val="none"/>
              </w:rPr>
            </w:pPr>
            <w:r>
              <w:rPr>
                <w:color w:val="auto"/>
                <w:sz w:val="21"/>
                <w:szCs w:val="21"/>
                <w:highlight w:val="none"/>
              </w:rPr>
              <w:t>1,2-</w:t>
            </w:r>
            <w:r>
              <w:rPr>
                <w:rFonts w:hint="eastAsia"/>
                <w:color w:val="auto"/>
                <w:sz w:val="21"/>
                <w:szCs w:val="21"/>
                <w:highlight w:val="none"/>
              </w:rPr>
              <w:t>二氯乙烷</w:t>
            </w:r>
          </w:p>
        </w:tc>
        <w:tc>
          <w:tcPr>
            <w:tcW w:w="1690" w:type="pct"/>
            <w:noWrap w:val="0"/>
            <w:vAlign w:val="center"/>
          </w:tcPr>
          <w:p w14:paraId="680FB165">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0.52</w:t>
            </w:r>
          </w:p>
        </w:tc>
        <w:tc>
          <w:tcPr>
            <w:tcW w:w="1680" w:type="pct"/>
            <w:vMerge w:val="continue"/>
            <w:noWrap w:val="0"/>
            <w:vAlign w:val="center"/>
          </w:tcPr>
          <w:p w14:paraId="6C3E6C9F">
            <w:pPr>
              <w:widowControl/>
              <w:spacing w:line="320" w:lineRule="exact"/>
              <w:ind w:firstLine="0" w:firstLineChars="0"/>
              <w:jc w:val="center"/>
              <w:rPr>
                <w:color w:val="auto"/>
                <w:sz w:val="21"/>
                <w:szCs w:val="21"/>
                <w:highlight w:val="none"/>
              </w:rPr>
            </w:pPr>
          </w:p>
        </w:tc>
      </w:tr>
      <w:tr w14:paraId="4CB0B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5A53AC1B">
            <w:pPr>
              <w:widowControl/>
              <w:spacing w:line="320" w:lineRule="exact"/>
              <w:ind w:firstLine="0" w:firstLineChars="0"/>
              <w:jc w:val="center"/>
              <w:rPr>
                <w:color w:val="auto"/>
                <w:sz w:val="21"/>
                <w:szCs w:val="21"/>
                <w:highlight w:val="none"/>
              </w:rPr>
            </w:pPr>
            <w:r>
              <w:rPr>
                <w:color w:val="auto"/>
                <w:sz w:val="21"/>
                <w:szCs w:val="21"/>
                <w:highlight w:val="none"/>
              </w:rPr>
              <w:t>13</w:t>
            </w:r>
          </w:p>
        </w:tc>
        <w:tc>
          <w:tcPr>
            <w:tcW w:w="1194" w:type="pct"/>
            <w:noWrap w:val="0"/>
            <w:vAlign w:val="center"/>
          </w:tcPr>
          <w:p w14:paraId="55E190E5">
            <w:pPr>
              <w:widowControl/>
              <w:spacing w:line="320" w:lineRule="exact"/>
              <w:ind w:firstLine="0" w:firstLineChars="0"/>
              <w:jc w:val="center"/>
              <w:rPr>
                <w:color w:val="auto"/>
                <w:sz w:val="21"/>
                <w:szCs w:val="21"/>
                <w:highlight w:val="none"/>
              </w:rPr>
            </w:pPr>
            <w:r>
              <w:rPr>
                <w:color w:val="auto"/>
                <w:sz w:val="21"/>
                <w:szCs w:val="21"/>
                <w:highlight w:val="none"/>
              </w:rPr>
              <w:t>1,1-</w:t>
            </w:r>
            <w:r>
              <w:rPr>
                <w:rFonts w:hint="eastAsia"/>
                <w:color w:val="auto"/>
                <w:sz w:val="21"/>
                <w:szCs w:val="21"/>
                <w:highlight w:val="none"/>
              </w:rPr>
              <w:t>二氯乙烯</w:t>
            </w:r>
          </w:p>
        </w:tc>
        <w:tc>
          <w:tcPr>
            <w:tcW w:w="1690" w:type="pct"/>
            <w:noWrap w:val="0"/>
            <w:vAlign w:val="center"/>
          </w:tcPr>
          <w:p w14:paraId="41ABEE84">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12</w:t>
            </w:r>
          </w:p>
        </w:tc>
        <w:tc>
          <w:tcPr>
            <w:tcW w:w="1680" w:type="pct"/>
            <w:vMerge w:val="continue"/>
            <w:noWrap w:val="0"/>
            <w:vAlign w:val="center"/>
          </w:tcPr>
          <w:p w14:paraId="527827A8">
            <w:pPr>
              <w:widowControl/>
              <w:spacing w:line="320" w:lineRule="exact"/>
              <w:ind w:firstLine="0" w:firstLineChars="0"/>
              <w:jc w:val="center"/>
              <w:rPr>
                <w:color w:val="auto"/>
                <w:sz w:val="21"/>
                <w:szCs w:val="21"/>
                <w:highlight w:val="none"/>
              </w:rPr>
            </w:pPr>
          </w:p>
        </w:tc>
      </w:tr>
      <w:tr w14:paraId="42FF9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7E6F861A">
            <w:pPr>
              <w:widowControl/>
              <w:spacing w:line="320" w:lineRule="exact"/>
              <w:ind w:firstLine="0" w:firstLineChars="0"/>
              <w:jc w:val="center"/>
              <w:rPr>
                <w:color w:val="auto"/>
                <w:sz w:val="21"/>
                <w:szCs w:val="21"/>
                <w:highlight w:val="none"/>
              </w:rPr>
            </w:pPr>
            <w:r>
              <w:rPr>
                <w:color w:val="auto"/>
                <w:sz w:val="21"/>
                <w:szCs w:val="21"/>
                <w:highlight w:val="none"/>
              </w:rPr>
              <w:t>14</w:t>
            </w:r>
          </w:p>
        </w:tc>
        <w:tc>
          <w:tcPr>
            <w:tcW w:w="1194" w:type="pct"/>
            <w:noWrap w:val="0"/>
            <w:vAlign w:val="center"/>
          </w:tcPr>
          <w:p w14:paraId="01A43DD8">
            <w:pPr>
              <w:widowControl/>
              <w:spacing w:line="320" w:lineRule="exact"/>
              <w:ind w:firstLine="0" w:firstLineChars="0"/>
              <w:jc w:val="center"/>
              <w:rPr>
                <w:color w:val="auto"/>
                <w:sz w:val="21"/>
                <w:szCs w:val="21"/>
                <w:highlight w:val="none"/>
              </w:rPr>
            </w:pPr>
            <w:r>
              <w:rPr>
                <w:rFonts w:hint="eastAsia"/>
                <w:color w:val="auto"/>
                <w:sz w:val="21"/>
                <w:szCs w:val="21"/>
                <w:highlight w:val="none"/>
              </w:rPr>
              <w:t>顺</w:t>
            </w:r>
            <w:r>
              <w:rPr>
                <w:color w:val="auto"/>
                <w:sz w:val="21"/>
                <w:szCs w:val="21"/>
                <w:highlight w:val="none"/>
              </w:rPr>
              <w:t>-1,2-</w:t>
            </w:r>
            <w:r>
              <w:rPr>
                <w:rFonts w:hint="eastAsia"/>
                <w:color w:val="auto"/>
                <w:sz w:val="21"/>
                <w:szCs w:val="21"/>
                <w:highlight w:val="none"/>
              </w:rPr>
              <w:t>二氯乙烯</w:t>
            </w:r>
          </w:p>
        </w:tc>
        <w:tc>
          <w:tcPr>
            <w:tcW w:w="1690" w:type="pct"/>
            <w:noWrap w:val="0"/>
            <w:vAlign w:val="center"/>
          </w:tcPr>
          <w:p w14:paraId="6385E4A6">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66</w:t>
            </w:r>
          </w:p>
        </w:tc>
        <w:tc>
          <w:tcPr>
            <w:tcW w:w="1680" w:type="pct"/>
            <w:vMerge w:val="continue"/>
            <w:noWrap w:val="0"/>
            <w:vAlign w:val="center"/>
          </w:tcPr>
          <w:p w14:paraId="352EAC4C">
            <w:pPr>
              <w:widowControl/>
              <w:spacing w:line="320" w:lineRule="exact"/>
              <w:ind w:firstLine="0" w:firstLineChars="0"/>
              <w:jc w:val="center"/>
              <w:rPr>
                <w:color w:val="auto"/>
                <w:sz w:val="21"/>
                <w:szCs w:val="21"/>
                <w:highlight w:val="none"/>
              </w:rPr>
            </w:pPr>
          </w:p>
        </w:tc>
      </w:tr>
      <w:tr w14:paraId="36169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133B2E74">
            <w:pPr>
              <w:widowControl/>
              <w:spacing w:line="320" w:lineRule="exact"/>
              <w:ind w:firstLine="0" w:firstLineChars="0"/>
              <w:jc w:val="center"/>
              <w:rPr>
                <w:color w:val="auto"/>
                <w:sz w:val="21"/>
                <w:szCs w:val="21"/>
                <w:highlight w:val="none"/>
              </w:rPr>
            </w:pPr>
            <w:r>
              <w:rPr>
                <w:color w:val="auto"/>
                <w:sz w:val="21"/>
                <w:szCs w:val="21"/>
                <w:highlight w:val="none"/>
              </w:rPr>
              <w:t>15</w:t>
            </w:r>
          </w:p>
        </w:tc>
        <w:tc>
          <w:tcPr>
            <w:tcW w:w="1194" w:type="pct"/>
            <w:noWrap w:val="0"/>
            <w:vAlign w:val="center"/>
          </w:tcPr>
          <w:p w14:paraId="653DF30E">
            <w:pPr>
              <w:widowControl/>
              <w:spacing w:line="320" w:lineRule="exact"/>
              <w:ind w:firstLine="0" w:firstLineChars="0"/>
              <w:jc w:val="center"/>
              <w:rPr>
                <w:color w:val="auto"/>
                <w:sz w:val="21"/>
                <w:szCs w:val="21"/>
                <w:highlight w:val="none"/>
              </w:rPr>
            </w:pPr>
            <w:r>
              <w:rPr>
                <w:rFonts w:hint="eastAsia"/>
                <w:color w:val="auto"/>
                <w:sz w:val="21"/>
                <w:szCs w:val="21"/>
                <w:highlight w:val="none"/>
              </w:rPr>
              <w:t>反</w:t>
            </w:r>
            <w:r>
              <w:rPr>
                <w:color w:val="auto"/>
                <w:sz w:val="21"/>
                <w:szCs w:val="21"/>
                <w:highlight w:val="none"/>
              </w:rPr>
              <w:t>-1,2-</w:t>
            </w:r>
            <w:r>
              <w:rPr>
                <w:rFonts w:hint="eastAsia"/>
                <w:color w:val="auto"/>
                <w:sz w:val="21"/>
                <w:szCs w:val="21"/>
                <w:highlight w:val="none"/>
              </w:rPr>
              <w:t>二氯乙烯</w:t>
            </w:r>
          </w:p>
        </w:tc>
        <w:tc>
          <w:tcPr>
            <w:tcW w:w="1690" w:type="pct"/>
            <w:noWrap w:val="0"/>
            <w:vAlign w:val="center"/>
          </w:tcPr>
          <w:p w14:paraId="14FEAC78">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10</w:t>
            </w:r>
          </w:p>
        </w:tc>
        <w:tc>
          <w:tcPr>
            <w:tcW w:w="1680" w:type="pct"/>
            <w:vMerge w:val="continue"/>
            <w:noWrap w:val="0"/>
            <w:vAlign w:val="center"/>
          </w:tcPr>
          <w:p w14:paraId="709BAFAA">
            <w:pPr>
              <w:widowControl/>
              <w:spacing w:line="320" w:lineRule="exact"/>
              <w:ind w:firstLine="0" w:firstLineChars="0"/>
              <w:jc w:val="center"/>
              <w:rPr>
                <w:color w:val="auto"/>
                <w:sz w:val="21"/>
                <w:szCs w:val="21"/>
                <w:highlight w:val="none"/>
              </w:rPr>
            </w:pPr>
          </w:p>
        </w:tc>
      </w:tr>
      <w:tr w14:paraId="0E620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1C283E70">
            <w:pPr>
              <w:widowControl/>
              <w:spacing w:line="320" w:lineRule="exact"/>
              <w:ind w:firstLine="0" w:firstLineChars="0"/>
              <w:jc w:val="center"/>
              <w:rPr>
                <w:color w:val="auto"/>
                <w:sz w:val="21"/>
                <w:szCs w:val="21"/>
                <w:highlight w:val="none"/>
              </w:rPr>
            </w:pPr>
            <w:r>
              <w:rPr>
                <w:color w:val="auto"/>
                <w:sz w:val="21"/>
                <w:szCs w:val="21"/>
                <w:highlight w:val="none"/>
              </w:rPr>
              <w:t>16</w:t>
            </w:r>
          </w:p>
        </w:tc>
        <w:tc>
          <w:tcPr>
            <w:tcW w:w="1194" w:type="pct"/>
            <w:noWrap w:val="0"/>
            <w:vAlign w:val="center"/>
          </w:tcPr>
          <w:p w14:paraId="76F933B4">
            <w:pPr>
              <w:widowControl/>
              <w:spacing w:line="320" w:lineRule="exact"/>
              <w:ind w:firstLine="0" w:firstLineChars="0"/>
              <w:jc w:val="center"/>
              <w:rPr>
                <w:color w:val="auto"/>
                <w:sz w:val="21"/>
                <w:szCs w:val="21"/>
                <w:highlight w:val="none"/>
              </w:rPr>
            </w:pPr>
            <w:r>
              <w:rPr>
                <w:rFonts w:hint="eastAsia"/>
                <w:color w:val="auto"/>
                <w:sz w:val="21"/>
                <w:szCs w:val="21"/>
                <w:highlight w:val="none"/>
              </w:rPr>
              <w:t>二氯甲烷</w:t>
            </w:r>
          </w:p>
        </w:tc>
        <w:tc>
          <w:tcPr>
            <w:tcW w:w="1690" w:type="pct"/>
            <w:noWrap w:val="0"/>
            <w:vAlign w:val="center"/>
          </w:tcPr>
          <w:p w14:paraId="4D1E8F58">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94</w:t>
            </w:r>
          </w:p>
        </w:tc>
        <w:tc>
          <w:tcPr>
            <w:tcW w:w="1680" w:type="pct"/>
            <w:vMerge w:val="continue"/>
            <w:noWrap w:val="0"/>
            <w:vAlign w:val="center"/>
          </w:tcPr>
          <w:p w14:paraId="03B470B8">
            <w:pPr>
              <w:widowControl/>
              <w:spacing w:line="320" w:lineRule="exact"/>
              <w:ind w:firstLine="0" w:firstLineChars="0"/>
              <w:jc w:val="center"/>
              <w:rPr>
                <w:color w:val="auto"/>
                <w:sz w:val="21"/>
                <w:szCs w:val="21"/>
                <w:highlight w:val="none"/>
              </w:rPr>
            </w:pPr>
          </w:p>
        </w:tc>
      </w:tr>
      <w:tr w14:paraId="49757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64B7AF6B">
            <w:pPr>
              <w:widowControl/>
              <w:spacing w:line="320" w:lineRule="exact"/>
              <w:ind w:firstLine="0" w:firstLineChars="0"/>
              <w:jc w:val="center"/>
              <w:rPr>
                <w:color w:val="auto"/>
                <w:sz w:val="21"/>
                <w:szCs w:val="21"/>
                <w:highlight w:val="none"/>
              </w:rPr>
            </w:pPr>
            <w:r>
              <w:rPr>
                <w:color w:val="auto"/>
                <w:sz w:val="21"/>
                <w:szCs w:val="21"/>
                <w:highlight w:val="none"/>
              </w:rPr>
              <w:t>17</w:t>
            </w:r>
          </w:p>
        </w:tc>
        <w:tc>
          <w:tcPr>
            <w:tcW w:w="1194" w:type="pct"/>
            <w:noWrap w:val="0"/>
            <w:vAlign w:val="center"/>
          </w:tcPr>
          <w:p w14:paraId="02ECD2B8">
            <w:pPr>
              <w:widowControl/>
              <w:spacing w:line="320" w:lineRule="exact"/>
              <w:ind w:firstLine="0" w:firstLineChars="0"/>
              <w:jc w:val="center"/>
              <w:rPr>
                <w:color w:val="auto"/>
                <w:sz w:val="21"/>
                <w:szCs w:val="21"/>
                <w:highlight w:val="none"/>
              </w:rPr>
            </w:pPr>
            <w:r>
              <w:rPr>
                <w:color w:val="auto"/>
                <w:sz w:val="21"/>
                <w:szCs w:val="21"/>
                <w:highlight w:val="none"/>
              </w:rPr>
              <w:t>1,2-</w:t>
            </w:r>
            <w:r>
              <w:rPr>
                <w:rFonts w:hint="eastAsia"/>
                <w:color w:val="auto"/>
                <w:sz w:val="21"/>
                <w:szCs w:val="21"/>
                <w:highlight w:val="none"/>
              </w:rPr>
              <w:t>二氯丙烷</w:t>
            </w:r>
          </w:p>
        </w:tc>
        <w:tc>
          <w:tcPr>
            <w:tcW w:w="1690" w:type="pct"/>
            <w:noWrap w:val="0"/>
            <w:vAlign w:val="center"/>
          </w:tcPr>
          <w:p w14:paraId="1A9B7A25">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w:t>
            </w:r>
          </w:p>
        </w:tc>
        <w:tc>
          <w:tcPr>
            <w:tcW w:w="1680" w:type="pct"/>
            <w:vMerge w:val="continue"/>
            <w:noWrap w:val="0"/>
            <w:vAlign w:val="center"/>
          </w:tcPr>
          <w:p w14:paraId="13C9382B">
            <w:pPr>
              <w:widowControl/>
              <w:spacing w:line="320" w:lineRule="exact"/>
              <w:ind w:firstLine="0" w:firstLineChars="0"/>
              <w:jc w:val="center"/>
              <w:rPr>
                <w:color w:val="auto"/>
                <w:sz w:val="21"/>
                <w:szCs w:val="21"/>
                <w:highlight w:val="none"/>
              </w:rPr>
            </w:pPr>
          </w:p>
        </w:tc>
      </w:tr>
      <w:tr w14:paraId="2A3D4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4D9D51EA">
            <w:pPr>
              <w:widowControl/>
              <w:spacing w:line="320" w:lineRule="exact"/>
              <w:ind w:firstLine="0" w:firstLineChars="0"/>
              <w:jc w:val="center"/>
              <w:rPr>
                <w:color w:val="auto"/>
                <w:sz w:val="21"/>
                <w:szCs w:val="21"/>
                <w:highlight w:val="none"/>
              </w:rPr>
            </w:pPr>
            <w:r>
              <w:rPr>
                <w:color w:val="auto"/>
                <w:sz w:val="21"/>
                <w:szCs w:val="21"/>
                <w:highlight w:val="none"/>
              </w:rPr>
              <w:t>18</w:t>
            </w:r>
          </w:p>
        </w:tc>
        <w:tc>
          <w:tcPr>
            <w:tcW w:w="1194" w:type="pct"/>
            <w:noWrap w:val="0"/>
            <w:vAlign w:val="center"/>
          </w:tcPr>
          <w:p w14:paraId="2B470FBC">
            <w:pPr>
              <w:widowControl/>
              <w:spacing w:line="320" w:lineRule="exact"/>
              <w:ind w:firstLine="0" w:firstLineChars="0"/>
              <w:jc w:val="center"/>
              <w:rPr>
                <w:color w:val="auto"/>
                <w:sz w:val="21"/>
                <w:szCs w:val="21"/>
                <w:highlight w:val="none"/>
              </w:rPr>
            </w:pPr>
            <w:r>
              <w:rPr>
                <w:color w:val="auto"/>
                <w:sz w:val="21"/>
                <w:szCs w:val="21"/>
                <w:highlight w:val="none"/>
              </w:rPr>
              <w:t xml:space="preserve">1,1,1,2- </w:t>
            </w:r>
            <w:r>
              <w:rPr>
                <w:rFonts w:hint="eastAsia"/>
                <w:color w:val="auto"/>
                <w:sz w:val="21"/>
                <w:szCs w:val="21"/>
                <w:highlight w:val="none"/>
              </w:rPr>
              <w:t>四氯乙烷</w:t>
            </w:r>
          </w:p>
        </w:tc>
        <w:tc>
          <w:tcPr>
            <w:tcW w:w="1690" w:type="pct"/>
            <w:noWrap w:val="0"/>
            <w:vAlign w:val="center"/>
          </w:tcPr>
          <w:p w14:paraId="42ED7860">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2.6</w:t>
            </w:r>
          </w:p>
        </w:tc>
        <w:tc>
          <w:tcPr>
            <w:tcW w:w="1680" w:type="pct"/>
            <w:vMerge w:val="continue"/>
            <w:noWrap w:val="0"/>
            <w:vAlign w:val="center"/>
          </w:tcPr>
          <w:p w14:paraId="5DF01192">
            <w:pPr>
              <w:widowControl/>
              <w:spacing w:line="320" w:lineRule="exact"/>
              <w:ind w:firstLine="0" w:firstLineChars="0"/>
              <w:jc w:val="center"/>
              <w:rPr>
                <w:color w:val="auto"/>
                <w:sz w:val="21"/>
                <w:szCs w:val="21"/>
                <w:highlight w:val="none"/>
              </w:rPr>
            </w:pPr>
          </w:p>
        </w:tc>
      </w:tr>
      <w:tr w14:paraId="4C64D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2F159DD3">
            <w:pPr>
              <w:widowControl/>
              <w:spacing w:line="320" w:lineRule="exact"/>
              <w:ind w:firstLine="0" w:firstLineChars="0"/>
              <w:jc w:val="center"/>
              <w:rPr>
                <w:color w:val="auto"/>
                <w:sz w:val="21"/>
                <w:szCs w:val="21"/>
                <w:highlight w:val="none"/>
              </w:rPr>
            </w:pPr>
            <w:r>
              <w:rPr>
                <w:color w:val="auto"/>
                <w:sz w:val="21"/>
                <w:szCs w:val="21"/>
                <w:highlight w:val="none"/>
              </w:rPr>
              <w:t>19</w:t>
            </w:r>
          </w:p>
        </w:tc>
        <w:tc>
          <w:tcPr>
            <w:tcW w:w="1194" w:type="pct"/>
            <w:noWrap w:val="0"/>
            <w:vAlign w:val="center"/>
          </w:tcPr>
          <w:p w14:paraId="089F8FF7">
            <w:pPr>
              <w:widowControl/>
              <w:spacing w:line="320" w:lineRule="exact"/>
              <w:ind w:firstLine="0" w:firstLineChars="0"/>
              <w:jc w:val="center"/>
              <w:rPr>
                <w:color w:val="auto"/>
                <w:sz w:val="21"/>
                <w:szCs w:val="21"/>
                <w:highlight w:val="none"/>
              </w:rPr>
            </w:pPr>
            <w:r>
              <w:rPr>
                <w:color w:val="auto"/>
                <w:sz w:val="21"/>
                <w:szCs w:val="21"/>
                <w:highlight w:val="none"/>
              </w:rPr>
              <w:t xml:space="preserve">1,1,2,2- </w:t>
            </w:r>
            <w:r>
              <w:rPr>
                <w:rFonts w:hint="eastAsia"/>
                <w:color w:val="auto"/>
                <w:sz w:val="21"/>
                <w:szCs w:val="21"/>
                <w:highlight w:val="none"/>
              </w:rPr>
              <w:t>四氯乙烷</w:t>
            </w:r>
          </w:p>
        </w:tc>
        <w:tc>
          <w:tcPr>
            <w:tcW w:w="1690" w:type="pct"/>
            <w:noWrap w:val="0"/>
            <w:vAlign w:val="center"/>
          </w:tcPr>
          <w:p w14:paraId="2C744D60">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1.6</w:t>
            </w:r>
          </w:p>
        </w:tc>
        <w:tc>
          <w:tcPr>
            <w:tcW w:w="1680" w:type="pct"/>
            <w:vMerge w:val="continue"/>
            <w:noWrap w:val="0"/>
            <w:vAlign w:val="center"/>
          </w:tcPr>
          <w:p w14:paraId="46597842">
            <w:pPr>
              <w:widowControl/>
              <w:spacing w:line="320" w:lineRule="exact"/>
              <w:ind w:firstLine="0" w:firstLineChars="0"/>
              <w:jc w:val="center"/>
              <w:rPr>
                <w:color w:val="auto"/>
                <w:sz w:val="21"/>
                <w:szCs w:val="21"/>
                <w:highlight w:val="none"/>
              </w:rPr>
            </w:pPr>
          </w:p>
        </w:tc>
      </w:tr>
      <w:tr w14:paraId="17173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2ABA0364">
            <w:pPr>
              <w:widowControl/>
              <w:spacing w:line="320" w:lineRule="exact"/>
              <w:ind w:firstLine="0" w:firstLineChars="0"/>
              <w:jc w:val="center"/>
              <w:rPr>
                <w:color w:val="auto"/>
                <w:sz w:val="21"/>
                <w:szCs w:val="21"/>
                <w:highlight w:val="none"/>
              </w:rPr>
            </w:pPr>
            <w:r>
              <w:rPr>
                <w:color w:val="auto"/>
                <w:sz w:val="21"/>
                <w:szCs w:val="21"/>
                <w:highlight w:val="none"/>
              </w:rPr>
              <w:t>20</w:t>
            </w:r>
          </w:p>
        </w:tc>
        <w:tc>
          <w:tcPr>
            <w:tcW w:w="1194" w:type="pct"/>
            <w:noWrap w:val="0"/>
            <w:vAlign w:val="center"/>
          </w:tcPr>
          <w:p w14:paraId="5EE8B70E">
            <w:pPr>
              <w:widowControl/>
              <w:spacing w:line="320" w:lineRule="exact"/>
              <w:ind w:firstLine="0" w:firstLineChars="0"/>
              <w:jc w:val="center"/>
              <w:rPr>
                <w:color w:val="auto"/>
                <w:sz w:val="21"/>
                <w:szCs w:val="21"/>
                <w:highlight w:val="none"/>
              </w:rPr>
            </w:pPr>
            <w:r>
              <w:rPr>
                <w:rFonts w:hint="eastAsia"/>
                <w:color w:val="auto"/>
                <w:sz w:val="21"/>
                <w:szCs w:val="21"/>
                <w:highlight w:val="none"/>
              </w:rPr>
              <w:t>四氯乙烯</w:t>
            </w:r>
          </w:p>
        </w:tc>
        <w:tc>
          <w:tcPr>
            <w:tcW w:w="1690" w:type="pct"/>
            <w:noWrap w:val="0"/>
            <w:vAlign w:val="center"/>
          </w:tcPr>
          <w:p w14:paraId="47001792">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11</w:t>
            </w:r>
          </w:p>
        </w:tc>
        <w:tc>
          <w:tcPr>
            <w:tcW w:w="1680" w:type="pct"/>
            <w:vMerge w:val="continue"/>
            <w:noWrap w:val="0"/>
            <w:vAlign w:val="center"/>
          </w:tcPr>
          <w:p w14:paraId="46F16B24">
            <w:pPr>
              <w:widowControl/>
              <w:spacing w:line="320" w:lineRule="exact"/>
              <w:ind w:firstLine="0" w:firstLineChars="0"/>
              <w:jc w:val="center"/>
              <w:rPr>
                <w:color w:val="auto"/>
                <w:sz w:val="21"/>
                <w:szCs w:val="21"/>
                <w:highlight w:val="none"/>
              </w:rPr>
            </w:pPr>
          </w:p>
        </w:tc>
      </w:tr>
      <w:tr w14:paraId="39C80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431EAC6B">
            <w:pPr>
              <w:widowControl/>
              <w:spacing w:line="320" w:lineRule="exact"/>
              <w:ind w:firstLine="0" w:firstLineChars="0"/>
              <w:jc w:val="center"/>
              <w:rPr>
                <w:color w:val="auto"/>
                <w:sz w:val="21"/>
                <w:szCs w:val="21"/>
                <w:highlight w:val="none"/>
              </w:rPr>
            </w:pPr>
            <w:r>
              <w:rPr>
                <w:color w:val="auto"/>
                <w:sz w:val="21"/>
                <w:szCs w:val="21"/>
                <w:highlight w:val="none"/>
              </w:rPr>
              <w:t>21</w:t>
            </w:r>
          </w:p>
        </w:tc>
        <w:tc>
          <w:tcPr>
            <w:tcW w:w="1194" w:type="pct"/>
            <w:noWrap w:val="0"/>
            <w:vAlign w:val="center"/>
          </w:tcPr>
          <w:p w14:paraId="0DBB3F73">
            <w:pPr>
              <w:widowControl/>
              <w:spacing w:line="320" w:lineRule="exact"/>
              <w:ind w:firstLine="0" w:firstLineChars="0"/>
              <w:jc w:val="center"/>
              <w:rPr>
                <w:color w:val="auto"/>
                <w:sz w:val="21"/>
                <w:szCs w:val="21"/>
                <w:highlight w:val="none"/>
              </w:rPr>
            </w:pPr>
            <w:r>
              <w:rPr>
                <w:color w:val="auto"/>
                <w:sz w:val="21"/>
                <w:szCs w:val="21"/>
                <w:highlight w:val="none"/>
              </w:rPr>
              <w:t>1,1,1-</w:t>
            </w:r>
            <w:r>
              <w:rPr>
                <w:rFonts w:hint="eastAsia"/>
                <w:color w:val="auto"/>
                <w:sz w:val="21"/>
                <w:szCs w:val="21"/>
                <w:highlight w:val="none"/>
              </w:rPr>
              <w:t>三氯乙烷</w:t>
            </w:r>
          </w:p>
        </w:tc>
        <w:tc>
          <w:tcPr>
            <w:tcW w:w="1690" w:type="pct"/>
            <w:noWrap w:val="0"/>
            <w:vAlign w:val="center"/>
          </w:tcPr>
          <w:p w14:paraId="484EF81B">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840</w:t>
            </w:r>
          </w:p>
        </w:tc>
        <w:tc>
          <w:tcPr>
            <w:tcW w:w="1680" w:type="pct"/>
            <w:vMerge w:val="continue"/>
            <w:noWrap w:val="0"/>
            <w:vAlign w:val="center"/>
          </w:tcPr>
          <w:p w14:paraId="13D52E3D">
            <w:pPr>
              <w:widowControl/>
              <w:spacing w:line="320" w:lineRule="exact"/>
              <w:ind w:firstLine="0" w:firstLineChars="0"/>
              <w:jc w:val="center"/>
              <w:rPr>
                <w:color w:val="auto"/>
                <w:sz w:val="21"/>
                <w:szCs w:val="21"/>
                <w:highlight w:val="none"/>
              </w:rPr>
            </w:pPr>
          </w:p>
        </w:tc>
      </w:tr>
      <w:tr w14:paraId="5639B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77FE7897">
            <w:pPr>
              <w:widowControl/>
              <w:spacing w:line="320" w:lineRule="exact"/>
              <w:ind w:firstLine="0" w:firstLineChars="0"/>
              <w:jc w:val="center"/>
              <w:rPr>
                <w:color w:val="auto"/>
                <w:sz w:val="21"/>
                <w:szCs w:val="21"/>
                <w:highlight w:val="none"/>
              </w:rPr>
            </w:pPr>
            <w:r>
              <w:rPr>
                <w:color w:val="auto"/>
                <w:sz w:val="21"/>
                <w:szCs w:val="21"/>
                <w:highlight w:val="none"/>
              </w:rPr>
              <w:t>22</w:t>
            </w:r>
          </w:p>
        </w:tc>
        <w:tc>
          <w:tcPr>
            <w:tcW w:w="1194" w:type="pct"/>
            <w:noWrap w:val="0"/>
            <w:vAlign w:val="center"/>
          </w:tcPr>
          <w:p w14:paraId="4CECACC2">
            <w:pPr>
              <w:widowControl/>
              <w:spacing w:line="320" w:lineRule="exact"/>
              <w:ind w:firstLine="0" w:firstLineChars="0"/>
              <w:jc w:val="center"/>
              <w:rPr>
                <w:color w:val="auto"/>
                <w:sz w:val="21"/>
                <w:szCs w:val="21"/>
                <w:highlight w:val="none"/>
              </w:rPr>
            </w:pPr>
            <w:r>
              <w:rPr>
                <w:color w:val="auto"/>
                <w:sz w:val="21"/>
                <w:szCs w:val="21"/>
                <w:highlight w:val="none"/>
              </w:rPr>
              <w:t>1,1,2-</w:t>
            </w:r>
            <w:r>
              <w:rPr>
                <w:rFonts w:hint="eastAsia"/>
                <w:color w:val="auto"/>
                <w:sz w:val="21"/>
                <w:szCs w:val="21"/>
                <w:highlight w:val="none"/>
              </w:rPr>
              <w:t>三氯乙烷</w:t>
            </w:r>
          </w:p>
        </w:tc>
        <w:tc>
          <w:tcPr>
            <w:tcW w:w="1690" w:type="pct"/>
            <w:noWrap w:val="0"/>
            <w:vAlign w:val="center"/>
          </w:tcPr>
          <w:p w14:paraId="7E638099">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2.8</w:t>
            </w:r>
          </w:p>
        </w:tc>
        <w:tc>
          <w:tcPr>
            <w:tcW w:w="1680" w:type="pct"/>
            <w:vMerge w:val="continue"/>
            <w:noWrap w:val="0"/>
            <w:vAlign w:val="center"/>
          </w:tcPr>
          <w:p w14:paraId="08F87340">
            <w:pPr>
              <w:widowControl/>
              <w:spacing w:line="320" w:lineRule="exact"/>
              <w:ind w:firstLine="0" w:firstLineChars="0"/>
              <w:jc w:val="center"/>
              <w:rPr>
                <w:color w:val="auto"/>
                <w:sz w:val="21"/>
                <w:szCs w:val="21"/>
                <w:highlight w:val="none"/>
              </w:rPr>
            </w:pPr>
          </w:p>
        </w:tc>
      </w:tr>
      <w:tr w14:paraId="07782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776AD4B6">
            <w:pPr>
              <w:widowControl/>
              <w:spacing w:line="320" w:lineRule="exact"/>
              <w:ind w:firstLine="0" w:firstLineChars="0"/>
              <w:jc w:val="center"/>
              <w:rPr>
                <w:color w:val="auto"/>
                <w:sz w:val="21"/>
                <w:szCs w:val="21"/>
                <w:highlight w:val="none"/>
              </w:rPr>
            </w:pPr>
            <w:r>
              <w:rPr>
                <w:color w:val="auto"/>
                <w:sz w:val="21"/>
                <w:szCs w:val="21"/>
                <w:highlight w:val="none"/>
              </w:rPr>
              <w:t>23</w:t>
            </w:r>
          </w:p>
        </w:tc>
        <w:tc>
          <w:tcPr>
            <w:tcW w:w="1194" w:type="pct"/>
            <w:noWrap w:val="0"/>
            <w:vAlign w:val="center"/>
          </w:tcPr>
          <w:p w14:paraId="1814C8A5">
            <w:pPr>
              <w:widowControl/>
              <w:spacing w:line="320" w:lineRule="exact"/>
              <w:ind w:firstLine="0" w:firstLineChars="0"/>
              <w:jc w:val="center"/>
              <w:rPr>
                <w:color w:val="auto"/>
                <w:sz w:val="21"/>
                <w:szCs w:val="21"/>
                <w:highlight w:val="none"/>
              </w:rPr>
            </w:pPr>
            <w:r>
              <w:rPr>
                <w:rFonts w:hint="eastAsia"/>
                <w:color w:val="auto"/>
                <w:sz w:val="21"/>
                <w:szCs w:val="21"/>
                <w:highlight w:val="none"/>
              </w:rPr>
              <w:t>三氯乙烯</w:t>
            </w:r>
          </w:p>
        </w:tc>
        <w:tc>
          <w:tcPr>
            <w:tcW w:w="1690" w:type="pct"/>
            <w:noWrap w:val="0"/>
            <w:vAlign w:val="center"/>
          </w:tcPr>
          <w:p w14:paraId="10941526">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2.8</w:t>
            </w:r>
          </w:p>
        </w:tc>
        <w:tc>
          <w:tcPr>
            <w:tcW w:w="1680" w:type="pct"/>
            <w:vMerge w:val="continue"/>
            <w:noWrap w:val="0"/>
            <w:vAlign w:val="center"/>
          </w:tcPr>
          <w:p w14:paraId="60671A79">
            <w:pPr>
              <w:widowControl/>
              <w:spacing w:line="320" w:lineRule="exact"/>
              <w:ind w:firstLine="0" w:firstLineChars="0"/>
              <w:jc w:val="center"/>
              <w:rPr>
                <w:color w:val="auto"/>
                <w:sz w:val="21"/>
                <w:szCs w:val="21"/>
                <w:highlight w:val="none"/>
              </w:rPr>
            </w:pPr>
          </w:p>
        </w:tc>
      </w:tr>
      <w:tr w14:paraId="20EF3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17A9BFCF">
            <w:pPr>
              <w:widowControl/>
              <w:spacing w:line="320" w:lineRule="exact"/>
              <w:ind w:firstLine="0" w:firstLineChars="0"/>
              <w:jc w:val="center"/>
              <w:rPr>
                <w:color w:val="auto"/>
                <w:sz w:val="21"/>
                <w:szCs w:val="21"/>
                <w:highlight w:val="none"/>
              </w:rPr>
            </w:pPr>
            <w:r>
              <w:rPr>
                <w:color w:val="auto"/>
                <w:sz w:val="21"/>
                <w:szCs w:val="21"/>
                <w:highlight w:val="none"/>
              </w:rPr>
              <w:t>24</w:t>
            </w:r>
          </w:p>
        </w:tc>
        <w:tc>
          <w:tcPr>
            <w:tcW w:w="1194" w:type="pct"/>
            <w:noWrap w:val="0"/>
            <w:vAlign w:val="center"/>
          </w:tcPr>
          <w:p w14:paraId="4FF8A466">
            <w:pPr>
              <w:widowControl/>
              <w:spacing w:line="320" w:lineRule="exact"/>
              <w:ind w:firstLine="0" w:firstLineChars="0"/>
              <w:jc w:val="center"/>
              <w:rPr>
                <w:color w:val="auto"/>
                <w:sz w:val="21"/>
                <w:szCs w:val="21"/>
                <w:highlight w:val="none"/>
              </w:rPr>
            </w:pPr>
            <w:r>
              <w:rPr>
                <w:color w:val="auto"/>
                <w:sz w:val="21"/>
                <w:szCs w:val="21"/>
                <w:highlight w:val="none"/>
              </w:rPr>
              <w:t>1,2,3-</w:t>
            </w:r>
            <w:r>
              <w:rPr>
                <w:rFonts w:hint="eastAsia"/>
                <w:color w:val="auto"/>
                <w:sz w:val="21"/>
                <w:szCs w:val="21"/>
                <w:highlight w:val="none"/>
              </w:rPr>
              <w:t>三氯丙烷</w:t>
            </w:r>
          </w:p>
        </w:tc>
        <w:tc>
          <w:tcPr>
            <w:tcW w:w="1690" w:type="pct"/>
            <w:noWrap w:val="0"/>
            <w:vAlign w:val="center"/>
          </w:tcPr>
          <w:p w14:paraId="0D233AF5">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0.5</w:t>
            </w:r>
          </w:p>
        </w:tc>
        <w:tc>
          <w:tcPr>
            <w:tcW w:w="1680" w:type="pct"/>
            <w:vMerge w:val="continue"/>
            <w:noWrap w:val="0"/>
            <w:vAlign w:val="center"/>
          </w:tcPr>
          <w:p w14:paraId="2211AED2">
            <w:pPr>
              <w:widowControl/>
              <w:spacing w:line="320" w:lineRule="exact"/>
              <w:ind w:firstLine="0" w:firstLineChars="0"/>
              <w:jc w:val="center"/>
              <w:rPr>
                <w:color w:val="auto"/>
                <w:sz w:val="21"/>
                <w:szCs w:val="21"/>
                <w:highlight w:val="none"/>
              </w:rPr>
            </w:pPr>
          </w:p>
        </w:tc>
      </w:tr>
      <w:tr w14:paraId="49E5E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0C62C56F">
            <w:pPr>
              <w:widowControl/>
              <w:spacing w:line="320" w:lineRule="exact"/>
              <w:ind w:firstLine="0" w:firstLineChars="0"/>
              <w:jc w:val="center"/>
              <w:rPr>
                <w:color w:val="auto"/>
                <w:sz w:val="21"/>
                <w:szCs w:val="21"/>
                <w:highlight w:val="none"/>
              </w:rPr>
            </w:pPr>
            <w:r>
              <w:rPr>
                <w:color w:val="auto"/>
                <w:sz w:val="21"/>
                <w:szCs w:val="21"/>
                <w:highlight w:val="none"/>
              </w:rPr>
              <w:t>25</w:t>
            </w:r>
          </w:p>
        </w:tc>
        <w:tc>
          <w:tcPr>
            <w:tcW w:w="1194" w:type="pct"/>
            <w:noWrap w:val="0"/>
            <w:vAlign w:val="center"/>
          </w:tcPr>
          <w:p w14:paraId="7C346289">
            <w:pPr>
              <w:widowControl/>
              <w:spacing w:line="320" w:lineRule="exact"/>
              <w:ind w:firstLine="0" w:firstLineChars="0"/>
              <w:jc w:val="center"/>
              <w:rPr>
                <w:color w:val="auto"/>
                <w:sz w:val="21"/>
                <w:szCs w:val="21"/>
                <w:highlight w:val="none"/>
              </w:rPr>
            </w:pPr>
            <w:r>
              <w:rPr>
                <w:rFonts w:hint="eastAsia"/>
                <w:color w:val="auto"/>
                <w:sz w:val="21"/>
                <w:szCs w:val="21"/>
                <w:highlight w:val="none"/>
              </w:rPr>
              <w:t>氯乙烯</w:t>
            </w:r>
          </w:p>
        </w:tc>
        <w:tc>
          <w:tcPr>
            <w:tcW w:w="1690" w:type="pct"/>
            <w:noWrap w:val="0"/>
            <w:vAlign w:val="center"/>
          </w:tcPr>
          <w:p w14:paraId="62B30386">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0.43</w:t>
            </w:r>
          </w:p>
        </w:tc>
        <w:tc>
          <w:tcPr>
            <w:tcW w:w="1680" w:type="pct"/>
            <w:vMerge w:val="continue"/>
            <w:noWrap w:val="0"/>
            <w:vAlign w:val="center"/>
          </w:tcPr>
          <w:p w14:paraId="73B070C1">
            <w:pPr>
              <w:widowControl/>
              <w:spacing w:line="320" w:lineRule="exact"/>
              <w:ind w:firstLine="0" w:firstLineChars="0"/>
              <w:jc w:val="center"/>
              <w:rPr>
                <w:color w:val="auto"/>
                <w:sz w:val="21"/>
                <w:szCs w:val="21"/>
                <w:highlight w:val="none"/>
              </w:rPr>
            </w:pPr>
          </w:p>
        </w:tc>
      </w:tr>
      <w:tr w14:paraId="6F3BC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3FF54E84">
            <w:pPr>
              <w:widowControl/>
              <w:spacing w:line="320" w:lineRule="exact"/>
              <w:ind w:firstLine="0" w:firstLineChars="0"/>
              <w:jc w:val="center"/>
              <w:rPr>
                <w:color w:val="auto"/>
                <w:sz w:val="21"/>
                <w:szCs w:val="21"/>
                <w:highlight w:val="none"/>
              </w:rPr>
            </w:pPr>
            <w:r>
              <w:rPr>
                <w:color w:val="auto"/>
                <w:sz w:val="21"/>
                <w:szCs w:val="21"/>
                <w:highlight w:val="none"/>
              </w:rPr>
              <w:t>26</w:t>
            </w:r>
          </w:p>
        </w:tc>
        <w:tc>
          <w:tcPr>
            <w:tcW w:w="1194" w:type="pct"/>
            <w:noWrap w:val="0"/>
            <w:vAlign w:val="center"/>
          </w:tcPr>
          <w:p w14:paraId="456B133A">
            <w:pPr>
              <w:widowControl/>
              <w:spacing w:line="320" w:lineRule="exact"/>
              <w:ind w:firstLine="0" w:firstLineChars="0"/>
              <w:jc w:val="center"/>
              <w:rPr>
                <w:color w:val="auto"/>
                <w:sz w:val="21"/>
                <w:szCs w:val="21"/>
                <w:highlight w:val="none"/>
              </w:rPr>
            </w:pPr>
            <w:r>
              <w:rPr>
                <w:rFonts w:hint="eastAsia"/>
                <w:color w:val="auto"/>
                <w:sz w:val="21"/>
                <w:szCs w:val="21"/>
                <w:highlight w:val="none"/>
              </w:rPr>
              <w:t>苯</w:t>
            </w:r>
          </w:p>
        </w:tc>
        <w:tc>
          <w:tcPr>
            <w:tcW w:w="1690" w:type="pct"/>
            <w:noWrap w:val="0"/>
            <w:vAlign w:val="center"/>
          </w:tcPr>
          <w:p w14:paraId="1D04E0DB">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4</w:t>
            </w:r>
          </w:p>
        </w:tc>
        <w:tc>
          <w:tcPr>
            <w:tcW w:w="1680" w:type="pct"/>
            <w:vMerge w:val="continue"/>
            <w:noWrap w:val="0"/>
            <w:vAlign w:val="center"/>
          </w:tcPr>
          <w:p w14:paraId="2AB746D0">
            <w:pPr>
              <w:widowControl/>
              <w:spacing w:line="320" w:lineRule="exact"/>
              <w:ind w:firstLine="0" w:firstLineChars="0"/>
              <w:jc w:val="center"/>
              <w:rPr>
                <w:color w:val="auto"/>
                <w:sz w:val="21"/>
                <w:szCs w:val="21"/>
                <w:highlight w:val="none"/>
              </w:rPr>
            </w:pPr>
          </w:p>
        </w:tc>
      </w:tr>
      <w:tr w14:paraId="37291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3C21F265">
            <w:pPr>
              <w:widowControl/>
              <w:spacing w:line="320" w:lineRule="exact"/>
              <w:ind w:firstLine="0" w:firstLineChars="0"/>
              <w:jc w:val="center"/>
              <w:rPr>
                <w:color w:val="auto"/>
                <w:sz w:val="21"/>
                <w:szCs w:val="21"/>
                <w:highlight w:val="none"/>
              </w:rPr>
            </w:pPr>
            <w:r>
              <w:rPr>
                <w:color w:val="auto"/>
                <w:sz w:val="21"/>
                <w:szCs w:val="21"/>
                <w:highlight w:val="none"/>
              </w:rPr>
              <w:t>27</w:t>
            </w:r>
          </w:p>
        </w:tc>
        <w:tc>
          <w:tcPr>
            <w:tcW w:w="1194" w:type="pct"/>
            <w:noWrap w:val="0"/>
            <w:vAlign w:val="center"/>
          </w:tcPr>
          <w:p w14:paraId="5454B1B2">
            <w:pPr>
              <w:widowControl/>
              <w:spacing w:line="320" w:lineRule="exact"/>
              <w:ind w:firstLine="0" w:firstLineChars="0"/>
              <w:jc w:val="center"/>
              <w:rPr>
                <w:color w:val="auto"/>
                <w:sz w:val="21"/>
                <w:szCs w:val="21"/>
                <w:highlight w:val="none"/>
              </w:rPr>
            </w:pPr>
            <w:r>
              <w:rPr>
                <w:rFonts w:hint="eastAsia"/>
                <w:color w:val="auto"/>
                <w:sz w:val="21"/>
                <w:szCs w:val="21"/>
                <w:highlight w:val="none"/>
              </w:rPr>
              <w:t>氯苯</w:t>
            </w:r>
          </w:p>
        </w:tc>
        <w:tc>
          <w:tcPr>
            <w:tcW w:w="1690" w:type="pct"/>
            <w:noWrap w:val="0"/>
            <w:vAlign w:val="center"/>
          </w:tcPr>
          <w:p w14:paraId="457D032D">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270</w:t>
            </w:r>
          </w:p>
        </w:tc>
        <w:tc>
          <w:tcPr>
            <w:tcW w:w="1680" w:type="pct"/>
            <w:vMerge w:val="continue"/>
            <w:noWrap w:val="0"/>
            <w:vAlign w:val="center"/>
          </w:tcPr>
          <w:p w14:paraId="320A8F38">
            <w:pPr>
              <w:widowControl/>
              <w:spacing w:line="320" w:lineRule="exact"/>
              <w:ind w:firstLine="0" w:firstLineChars="0"/>
              <w:jc w:val="center"/>
              <w:rPr>
                <w:color w:val="auto"/>
                <w:sz w:val="21"/>
                <w:szCs w:val="21"/>
                <w:highlight w:val="none"/>
              </w:rPr>
            </w:pPr>
          </w:p>
        </w:tc>
      </w:tr>
      <w:tr w14:paraId="58808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51B86AFD">
            <w:pPr>
              <w:widowControl/>
              <w:spacing w:line="320" w:lineRule="exact"/>
              <w:ind w:firstLine="0" w:firstLineChars="0"/>
              <w:jc w:val="center"/>
              <w:rPr>
                <w:color w:val="auto"/>
                <w:sz w:val="21"/>
                <w:szCs w:val="21"/>
                <w:highlight w:val="none"/>
              </w:rPr>
            </w:pPr>
            <w:r>
              <w:rPr>
                <w:color w:val="auto"/>
                <w:sz w:val="21"/>
                <w:szCs w:val="21"/>
                <w:highlight w:val="none"/>
              </w:rPr>
              <w:t>28</w:t>
            </w:r>
          </w:p>
        </w:tc>
        <w:tc>
          <w:tcPr>
            <w:tcW w:w="1194" w:type="pct"/>
            <w:noWrap w:val="0"/>
            <w:vAlign w:val="center"/>
          </w:tcPr>
          <w:p w14:paraId="2ED3E471">
            <w:pPr>
              <w:widowControl/>
              <w:spacing w:line="320" w:lineRule="exact"/>
              <w:ind w:firstLine="0" w:firstLineChars="0"/>
              <w:jc w:val="center"/>
              <w:rPr>
                <w:color w:val="auto"/>
                <w:sz w:val="21"/>
                <w:szCs w:val="21"/>
                <w:highlight w:val="none"/>
              </w:rPr>
            </w:pPr>
            <w:r>
              <w:rPr>
                <w:color w:val="auto"/>
                <w:sz w:val="21"/>
                <w:szCs w:val="21"/>
                <w:highlight w:val="none"/>
              </w:rPr>
              <w:t>1,2-</w:t>
            </w:r>
            <w:r>
              <w:rPr>
                <w:rFonts w:hint="eastAsia"/>
                <w:color w:val="auto"/>
                <w:sz w:val="21"/>
                <w:szCs w:val="21"/>
                <w:highlight w:val="none"/>
              </w:rPr>
              <w:t>二氯苯</w:t>
            </w:r>
          </w:p>
        </w:tc>
        <w:tc>
          <w:tcPr>
            <w:tcW w:w="1690" w:type="pct"/>
            <w:noWrap w:val="0"/>
            <w:vAlign w:val="center"/>
          </w:tcPr>
          <w:p w14:paraId="0A22A656">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560</w:t>
            </w:r>
          </w:p>
        </w:tc>
        <w:tc>
          <w:tcPr>
            <w:tcW w:w="1680" w:type="pct"/>
            <w:vMerge w:val="continue"/>
            <w:noWrap w:val="0"/>
            <w:vAlign w:val="center"/>
          </w:tcPr>
          <w:p w14:paraId="1390C9C2">
            <w:pPr>
              <w:widowControl/>
              <w:spacing w:line="320" w:lineRule="exact"/>
              <w:ind w:firstLine="0" w:firstLineChars="0"/>
              <w:jc w:val="center"/>
              <w:rPr>
                <w:color w:val="auto"/>
                <w:sz w:val="21"/>
                <w:szCs w:val="21"/>
                <w:highlight w:val="none"/>
              </w:rPr>
            </w:pPr>
          </w:p>
        </w:tc>
      </w:tr>
      <w:tr w14:paraId="69D80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231E78CB">
            <w:pPr>
              <w:widowControl/>
              <w:spacing w:line="320" w:lineRule="exact"/>
              <w:ind w:firstLine="0" w:firstLineChars="0"/>
              <w:jc w:val="center"/>
              <w:rPr>
                <w:color w:val="auto"/>
                <w:sz w:val="21"/>
                <w:szCs w:val="21"/>
                <w:highlight w:val="none"/>
              </w:rPr>
            </w:pPr>
            <w:r>
              <w:rPr>
                <w:color w:val="auto"/>
                <w:sz w:val="21"/>
                <w:szCs w:val="21"/>
                <w:highlight w:val="none"/>
              </w:rPr>
              <w:t>29</w:t>
            </w:r>
          </w:p>
        </w:tc>
        <w:tc>
          <w:tcPr>
            <w:tcW w:w="1194" w:type="pct"/>
            <w:noWrap w:val="0"/>
            <w:vAlign w:val="center"/>
          </w:tcPr>
          <w:p w14:paraId="6F9DCA6B">
            <w:pPr>
              <w:widowControl/>
              <w:spacing w:line="320" w:lineRule="exact"/>
              <w:ind w:firstLine="0" w:firstLineChars="0"/>
              <w:jc w:val="center"/>
              <w:rPr>
                <w:color w:val="auto"/>
                <w:sz w:val="21"/>
                <w:szCs w:val="21"/>
                <w:highlight w:val="none"/>
              </w:rPr>
            </w:pPr>
            <w:r>
              <w:rPr>
                <w:color w:val="auto"/>
                <w:sz w:val="21"/>
                <w:szCs w:val="21"/>
                <w:highlight w:val="none"/>
              </w:rPr>
              <w:t>1,4-</w:t>
            </w:r>
            <w:r>
              <w:rPr>
                <w:rFonts w:hint="eastAsia"/>
                <w:color w:val="auto"/>
                <w:sz w:val="21"/>
                <w:szCs w:val="21"/>
                <w:highlight w:val="none"/>
              </w:rPr>
              <w:t>二氯苯</w:t>
            </w:r>
          </w:p>
        </w:tc>
        <w:tc>
          <w:tcPr>
            <w:tcW w:w="1690" w:type="pct"/>
            <w:noWrap w:val="0"/>
            <w:vAlign w:val="center"/>
          </w:tcPr>
          <w:p w14:paraId="3156F78C">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20</w:t>
            </w:r>
          </w:p>
        </w:tc>
        <w:tc>
          <w:tcPr>
            <w:tcW w:w="1680" w:type="pct"/>
            <w:vMerge w:val="continue"/>
            <w:noWrap w:val="0"/>
            <w:vAlign w:val="center"/>
          </w:tcPr>
          <w:p w14:paraId="20B45B3E">
            <w:pPr>
              <w:widowControl/>
              <w:spacing w:line="320" w:lineRule="exact"/>
              <w:ind w:firstLine="0" w:firstLineChars="0"/>
              <w:jc w:val="center"/>
              <w:rPr>
                <w:color w:val="auto"/>
                <w:sz w:val="21"/>
                <w:szCs w:val="21"/>
                <w:highlight w:val="none"/>
              </w:rPr>
            </w:pPr>
          </w:p>
        </w:tc>
      </w:tr>
      <w:tr w14:paraId="1527D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02A01D2F">
            <w:pPr>
              <w:widowControl/>
              <w:spacing w:line="320" w:lineRule="exact"/>
              <w:ind w:firstLine="0" w:firstLineChars="0"/>
              <w:jc w:val="center"/>
              <w:rPr>
                <w:color w:val="auto"/>
                <w:sz w:val="21"/>
                <w:szCs w:val="21"/>
                <w:highlight w:val="none"/>
              </w:rPr>
            </w:pPr>
            <w:r>
              <w:rPr>
                <w:color w:val="auto"/>
                <w:sz w:val="21"/>
                <w:szCs w:val="21"/>
                <w:highlight w:val="none"/>
              </w:rPr>
              <w:t>30</w:t>
            </w:r>
          </w:p>
        </w:tc>
        <w:tc>
          <w:tcPr>
            <w:tcW w:w="1194" w:type="pct"/>
            <w:noWrap w:val="0"/>
            <w:vAlign w:val="center"/>
          </w:tcPr>
          <w:p w14:paraId="6D50B723">
            <w:pPr>
              <w:widowControl/>
              <w:spacing w:line="320" w:lineRule="exact"/>
              <w:ind w:firstLine="0" w:firstLineChars="0"/>
              <w:jc w:val="center"/>
              <w:rPr>
                <w:color w:val="auto"/>
                <w:sz w:val="21"/>
                <w:szCs w:val="21"/>
                <w:highlight w:val="none"/>
              </w:rPr>
            </w:pPr>
            <w:r>
              <w:rPr>
                <w:rFonts w:hint="eastAsia"/>
                <w:color w:val="auto"/>
                <w:sz w:val="21"/>
                <w:szCs w:val="21"/>
                <w:highlight w:val="none"/>
              </w:rPr>
              <w:t>乙苯</w:t>
            </w:r>
          </w:p>
        </w:tc>
        <w:tc>
          <w:tcPr>
            <w:tcW w:w="1690" w:type="pct"/>
            <w:noWrap w:val="0"/>
            <w:vAlign w:val="center"/>
          </w:tcPr>
          <w:p w14:paraId="5A02BC46">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28</w:t>
            </w:r>
          </w:p>
        </w:tc>
        <w:tc>
          <w:tcPr>
            <w:tcW w:w="1680" w:type="pct"/>
            <w:vMerge w:val="continue"/>
            <w:noWrap w:val="0"/>
            <w:vAlign w:val="center"/>
          </w:tcPr>
          <w:p w14:paraId="36693D06">
            <w:pPr>
              <w:widowControl/>
              <w:spacing w:line="320" w:lineRule="exact"/>
              <w:ind w:firstLine="0" w:firstLineChars="0"/>
              <w:jc w:val="center"/>
              <w:rPr>
                <w:color w:val="auto"/>
                <w:sz w:val="21"/>
                <w:szCs w:val="21"/>
                <w:highlight w:val="none"/>
              </w:rPr>
            </w:pPr>
          </w:p>
        </w:tc>
      </w:tr>
      <w:tr w14:paraId="4358C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08D02E57">
            <w:pPr>
              <w:widowControl/>
              <w:spacing w:line="320" w:lineRule="exact"/>
              <w:ind w:firstLine="0" w:firstLineChars="0"/>
              <w:jc w:val="center"/>
              <w:rPr>
                <w:color w:val="auto"/>
                <w:sz w:val="21"/>
                <w:szCs w:val="21"/>
                <w:highlight w:val="none"/>
              </w:rPr>
            </w:pPr>
            <w:r>
              <w:rPr>
                <w:color w:val="auto"/>
                <w:sz w:val="21"/>
                <w:szCs w:val="21"/>
                <w:highlight w:val="none"/>
              </w:rPr>
              <w:t>31</w:t>
            </w:r>
          </w:p>
        </w:tc>
        <w:tc>
          <w:tcPr>
            <w:tcW w:w="1194" w:type="pct"/>
            <w:noWrap w:val="0"/>
            <w:vAlign w:val="center"/>
          </w:tcPr>
          <w:p w14:paraId="04A66578">
            <w:pPr>
              <w:widowControl/>
              <w:spacing w:line="320" w:lineRule="exact"/>
              <w:ind w:firstLine="0" w:firstLineChars="0"/>
              <w:jc w:val="center"/>
              <w:rPr>
                <w:color w:val="auto"/>
                <w:sz w:val="21"/>
                <w:szCs w:val="21"/>
                <w:highlight w:val="none"/>
              </w:rPr>
            </w:pPr>
            <w:r>
              <w:rPr>
                <w:rFonts w:hint="eastAsia"/>
                <w:color w:val="auto"/>
                <w:sz w:val="21"/>
                <w:szCs w:val="21"/>
                <w:highlight w:val="none"/>
              </w:rPr>
              <w:t>苯乙烯</w:t>
            </w:r>
          </w:p>
        </w:tc>
        <w:tc>
          <w:tcPr>
            <w:tcW w:w="1690" w:type="pct"/>
            <w:noWrap w:val="0"/>
            <w:vAlign w:val="center"/>
          </w:tcPr>
          <w:p w14:paraId="5903E1A6">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1290</w:t>
            </w:r>
          </w:p>
        </w:tc>
        <w:tc>
          <w:tcPr>
            <w:tcW w:w="1680" w:type="pct"/>
            <w:vMerge w:val="continue"/>
            <w:noWrap w:val="0"/>
            <w:vAlign w:val="center"/>
          </w:tcPr>
          <w:p w14:paraId="462DEEC9">
            <w:pPr>
              <w:widowControl/>
              <w:spacing w:line="320" w:lineRule="exact"/>
              <w:ind w:firstLine="0" w:firstLineChars="0"/>
              <w:jc w:val="center"/>
              <w:rPr>
                <w:color w:val="auto"/>
                <w:sz w:val="21"/>
                <w:szCs w:val="21"/>
                <w:highlight w:val="none"/>
              </w:rPr>
            </w:pPr>
          </w:p>
        </w:tc>
      </w:tr>
      <w:tr w14:paraId="774B3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39B0FBF1">
            <w:pPr>
              <w:widowControl/>
              <w:spacing w:line="320" w:lineRule="exact"/>
              <w:ind w:firstLine="0" w:firstLineChars="0"/>
              <w:jc w:val="center"/>
              <w:rPr>
                <w:color w:val="auto"/>
                <w:sz w:val="21"/>
                <w:szCs w:val="21"/>
                <w:highlight w:val="none"/>
              </w:rPr>
            </w:pPr>
            <w:r>
              <w:rPr>
                <w:color w:val="auto"/>
                <w:sz w:val="21"/>
                <w:szCs w:val="21"/>
                <w:highlight w:val="none"/>
              </w:rPr>
              <w:t>32</w:t>
            </w:r>
          </w:p>
        </w:tc>
        <w:tc>
          <w:tcPr>
            <w:tcW w:w="1194" w:type="pct"/>
            <w:noWrap w:val="0"/>
            <w:vAlign w:val="center"/>
          </w:tcPr>
          <w:p w14:paraId="203A7686">
            <w:pPr>
              <w:widowControl/>
              <w:spacing w:line="320" w:lineRule="exact"/>
              <w:ind w:firstLine="0" w:firstLineChars="0"/>
              <w:jc w:val="center"/>
              <w:rPr>
                <w:color w:val="auto"/>
                <w:sz w:val="21"/>
                <w:szCs w:val="21"/>
                <w:highlight w:val="none"/>
              </w:rPr>
            </w:pPr>
            <w:r>
              <w:rPr>
                <w:rFonts w:hint="eastAsia"/>
                <w:color w:val="auto"/>
                <w:sz w:val="21"/>
                <w:szCs w:val="21"/>
                <w:highlight w:val="none"/>
              </w:rPr>
              <w:t>甲苯</w:t>
            </w:r>
          </w:p>
        </w:tc>
        <w:tc>
          <w:tcPr>
            <w:tcW w:w="1690" w:type="pct"/>
            <w:noWrap w:val="0"/>
            <w:vAlign w:val="center"/>
          </w:tcPr>
          <w:p w14:paraId="19B1A660">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1200</w:t>
            </w:r>
          </w:p>
        </w:tc>
        <w:tc>
          <w:tcPr>
            <w:tcW w:w="1680" w:type="pct"/>
            <w:vMerge w:val="continue"/>
            <w:noWrap w:val="0"/>
            <w:vAlign w:val="center"/>
          </w:tcPr>
          <w:p w14:paraId="2D81501C">
            <w:pPr>
              <w:widowControl/>
              <w:spacing w:line="320" w:lineRule="exact"/>
              <w:ind w:firstLine="0" w:firstLineChars="0"/>
              <w:jc w:val="center"/>
              <w:rPr>
                <w:color w:val="auto"/>
                <w:sz w:val="21"/>
                <w:szCs w:val="21"/>
                <w:highlight w:val="none"/>
              </w:rPr>
            </w:pPr>
          </w:p>
        </w:tc>
      </w:tr>
      <w:tr w14:paraId="51D50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57ECCC67">
            <w:pPr>
              <w:widowControl/>
              <w:spacing w:line="320" w:lineRule="exact"/>
              <w:ind w:firstLine="0" w:firstLineChars="0"/>
              <w:jc w:val="center"/>
              <w:rPr>
                <w:color w:val="auto"/>
                <w:sz w:val="21"/>
                <w:szCs w:val="21"/>
                <w:highlight w:val="none"/>
              </w:rPr>
            </w:pPr>
            <w:r>
              <w:rPr>
                <w:color w:val="auto"/>
                <w:sz w:val="21"/>
                <w:szCs w:val="21"/>
                <w:highlight w:val="none"/>
              </w:rPr>
              <w:t>33</w:t>
            </w:r>
          </w:p>
        </w:tc>
        <w:tc>
          <w:tcPr>
            <w:tcW w:w="1194" w:type="pct"/>
            <w:noWrap w:val="0"/>
            <w:vAlign w:val="center"/>
          </w:tcPr>
          <w:p w14:paraId="727E6814">
            <w:pPr>
              <w:widowControl/>
              <w:spacing w:line="320" w:lineRule="exact"/>
              <w:ind w:firstLine="0" w:firstLineChars="0"/>
              <w:jc w:val="center"/>
              <w:rPr>
                <w:color w:val="auto"/>
                <w:sz w:val="21"/>
                <w:szCs w:val="21"/>
                <w:highlight w:val="none"/>
              </w:rPr>
            </w:pPr>
            <w:r>
              <w:rPr>
                <w:rFonts w:hint="eastAsia"/>
                <w:color w:val="auto"/>
                <w:sz w:val="21"/>
                <w:szCs w:val="21"/>
                <w:highlight w:val="none"/>
              </w:rPr>
              <w:t>间二甲苯</w:t>
            </w:r>
            <w:r>
              <w:rPr>
                <w:color w:val="auto"/>
                <w:sz w:val="21"/>
                <w:szCs w:val="21"/>
                <w:highlight w:val="none"/>
              </w:rPr>
              <w:t>+</w:t>
            </w:r>
            <w:r>
              <w:rPr>
                <w:rFonts w:hint="eastAsia"/>
                <w:color w:val="auto"/>
                <w:sz w:val="21"/>
                <w:szCs w:val="21"/>
                <w:highlight w:val="none"/>
              </w:rPr>
              <w:t>对二甲苯</w:t>
            </w:r>
          </w:p>
        </w:tc>
        <w:tc>
          <w:tcPr>
            <w:tcW w:w="1690" w:type="pct"/>
            <w:noWrap w:val="0"/>
            <w:vAlign w:val="center"/>
          </w:tcPr>
          <w:p w14:paraId="4132ED0F">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570</w:t>
            </w:r>
          </w:p>
        </w:tc>
        <w:tc>
          <w:tcPr>
            <w:tcW w:w="1680" w:type="pct"/>
            <w:vMerge w:val="continue"/>
            <w:noWrap w:val="0"/>
            <w:vAlign w:val="center"/>
          </w:tcPr>
          <w:p w14:paraId="03D127F4">
            <w:pPr>
              <w:widowControl/>
              <w:spacing w:line="320" w:lineRule="exact"/>
              <w:ind w:firstLine="0" w:firstLineChars="0"/>
              <w:jc w:val="center"/>
              <w:rPr>
                <w:color w:val="auto"/>
                <w:sz w:val="21"/>
                <w:szCs w:val="21"/>
                <w:highlight w:val="none"/>
              </w:rPr>
            </w:pPr>
          </w:p>
        </w:tc>
      </w:tr>
      <w:tr w14:paraId="20612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6C11DF0F">
            <w:pPr>
              <w:widowControl/>
              <w:spacing w:line="320" w:lineRule="exact"/>
              <w:ind w:firstLine="0" w:firstLineChars="0"/>
              <w:jc w:val="center"/>
              <w:rPr>
                <w:color w:val="auto"/>
                <w:sz w:val="21"/>
                <w:szCs w:val="21"/>
                <w:highlight w:val="none"/>
              </w:rPr>
            </w:pPr>
            <w:r>
              <w:rPr>
                <w:color w:val="auto"/>
                <w:sz w:val="21"/>
                <w:szCs w:val="21"/>
                <w:highlight w:val="none"/>
              </w:rPr>
              <w:t>34</w:t>
            </w:r>
          </w:p>
        </w:tc>
        <w:tc>
          <w:tcPr>
            <w:tcW w:w="1194" w:type="pct"/>
            <w:noWrap w:val="0"/>
            <w:vAlign w:val="center"/>
          </w:tcPr>
          <w:p w14:paraId="0D57AA2A">
            <w:pPr>
              <w:widowControl/>
              <w:spacing w:line="320" w:lineRule="exact"/>
              <w:ind w:firstLine="0" w:firstLineChars="0"/>
              <w:jc w:val="center"/>
              <w:rPr>
                <w:color w:val="auto"/>
                <w:sz w:val="21"/>
                <w:szCs w:val="21"/>
                <w:highlight w:val="none"/>
              </w:rPr>
            </w:pPr>
            <w:r>
              <w:rPr>
                <w:rFonts w:hint="eastAsia"/>
                <w:color w:val="auto"/>
                <w:sz w:val="21"/>
                <w:szCs w:val="21"/>
                <w:highlight w:val="none"/>
              </w:rPr>
              <w:t>邻</w:t>
            </w:r>
            <w:r>
              <w:rPr>
                <w:color w:val="auto"/>
                <w:sz w:val="21"/>
                <w:szCs w:val="21"/>
                <w:highlight w:val="none"/>
              </w:rPr>
              <w:t>-</w:t>
            </w:r>
            <w:r>
              <w:rPr>
                <w:rFonts w:hint="eastAsia"/>
                <w:color w:val="auto"/>
                <w:sz w:val="21"/>
                <w:szCs w:val="21"/>
                <w:highlight w:val="none"/>
              </w:rPr>
              <w:t>二甲苯</w:t>
            </w:r>
          </w:p>
        </w:tc>
        <w:tc>
          <w:tcPr>
            <w:tcW w:w="1690" w:type="pct"/>
            <w:noWrap w:val="0"/>
            <w:vAlign w:val="center"/>
          </w:tcPr>
          <w:p w14:paraId="5FEC65AE">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640</w:t>
            </w:r>
          </w:p>
        </w:tc>
        <w:tc>
          <w:tcPr>
            <w:tcW w:w="1680" w:type="pct"/>
            <w:vMerge w:val="continue"/>
            <w:noWrap w:val="0"/>
            <w:vAlign w:val="center"/>
          </w:tcPr>
          <w:p w14:paraId="1F4A4D27">
            <w:pPr>
              <w:widowControl/>
              <w:spacing w:line="320" w:lineRule="exact"/>
              <w:ind w:firstLine="0" w:firstLineChars="0"/>
              <w:jc w:val="center"/>
              <w:rPr>
                <w:color w:val="auto"/>
                <w:sz w:val="21"/>
                <w:szCs w:val="21"/>
                <w:highlight w:val="none"/>
              </w:rPr>
            </w:pPr>
          </w:p>
        </w:tc>
      </w:tr>
      <w:tr w14:paraId="484A6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629B1CE6">
            <w:pPr>
              <w:widowControl/>
              <w:spacing w:line="320" w:lineRule="exact"/>
              <w:ind w:firstLine="0" w:firstLineChars="0"/>
              <w:jc w:val="center"/>
              <w:rPr>
                <w:color w:val="auto"/>
                <w:sz w:val="21"/>
                <w:szCs w:val="21"/>
                <w:highlight w:val="none"/>
              </w:rPr>
            </w:pPr>
            <w:r>
              <w:rPr>
                <w:color w:val="auto"/>
                <w:sz w:val="21"/>
                <w:szCs w:val="21"/>
                <w:highlight w:val="none"/>
              </w:rPr>
              <w:t>35</w:t>
            </w:r>
          </w:p>
        </w:tc>
        <w:tc>
          <w:tcPr>
            <w:tcW w:w="1194" w:type="pct"/>
            <w:noWrap w:val="0"/>
            <w:vAlign w:val="center"/>
          </w:tcPr>
          <w:p w14:paraId="6E1113FC">
            <w:pPr>
              <w:widowControl/>
              <w:spacing w:line="320" w:lineRule="exact"/>
              <w:ind w:firstLine="0" w:firstLineChars="0"/>
              <w:jc w:val="center"/>
              <w:rPr>
                <w:color w:val="auto"/>
                <w:sz w:val="21"/>
                <w:szCs w:val="21"/>
                <w:highlight w:val="none"/>
              </w:rPr>
            </w:pPr>
            <w:r>
              <w:rPr>
                <w:rFonts w:hint="eastAsia"/>
                <w:color w:val="auto"/>
                <w:sz w:val="21"/>
                <w:szCs w:val="21"/>
                <w:highlight w:val="none"/>
              </w:rPr>
              <w:t>硝基苯</w:t>
            </w:r>
          </w:p>
        </w:tc>
        <w:tc>
          <w:tcPr>
            <w:tcW w:w="1690" w:type="pct"/>
            <w:noWrap w:val="0"/>
            <w:vAlign w:val="center"/>
          </w:tcPr>
          <w:p w14:paraId="0F28246B">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76</w:t>
            </w:r>
          </w:p>
        </w:tc>
        <w:tc>
          <w:tcPr>
            <w:tcW w:w="1680" w:type="pct"/>
            <w:vMerge w:val="continue"/>
            <w:noWrap w:val="0"/>
            <w:vAlign w:val="center"/>
          </w:tcPr>
          <w:p w14:paraId="6310E3B6">
            <w:pPr>
              <w:widowControl/>
              <w:spacing w:line="320" w:lineRule="exact"/>
              <w:ind w:firstLine="0" w:firstLineChars="0"/>
              <w:jc w:val="center"/>
              <w:rPr>
                <w:color w:val="auto"/>
                <w:sz w:val="21"/>
                <w:szCs w:val="21"/>
                <w:highlight w:val="none"/>
              </w:rPr>
            </w:pPr>
          </w:p>
        </w:tc>
      </w:tr>
      <w:tr w14:paraId="52D3D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175982F1">
            <w:pPr>
              <w:widowControl/>
              <w:spacing w:line="320" w:lineRule="exact"/>
              <w:ind w:firstLine="0" w:firstLineChars="0"/>
              <w:jc w:val="center"/>
              <w:rPr>
                <w:color w:val="auto"/>
                <w:sz w:val="21"/>
                <w:szCs w:val="21"/>
                <w:highlight w:val="none"/>
              </w:rPr>
            </w:pPr>
            <w:r>
              <w:rPr>
                <w:color w:val="auto"/>
                <w:sz w:val="21"/>
                <w:szCs w:val="21"/>
                <w:highlight w:val="none"/>
              </w:rPr>
              <w:t>36</w:t>
            </w:r>
          </w:p>
        </w:tc>
        <w:tc>
          <w:tcPr>
            <w:tcW w:w="1194" w:type="pct"/>
            <w:noWrap w:val="0"/>
            <w:vAlign w:val="center"/>
          </w:tcPr>
          <w:p w14:paraId="41F1B640">
            <w:pPr>
              <w:widowControl/>
              <w:spacing w:line="320" w:lineRule="exact"/>
              <w:ind w:firstLine="0" w:firstLineChars="0"/>
              <w:jc w:val="center"/>
              <w:rPr>
                <w:color w:val="auto"/>
                <w:sz w:val="21"/>
                <w:szCs w:val="21"/>
                <w:highlight w:val="none"/>
              </w:rPr>
            </w:pPr>
            <w:r>
              <w:rPr>
                <w:rFonts w:hint="eastAsia"/>
                <w:color w:val="auto"/>
                <w:sz w:val="21"/>
                <w:szCs w:val="21"/>
                <w:highlight w:val="none"/>
              </w:rPr>
              <w:t>苯胺</w:t>
            </w:r>
          </w:p>
        </w:tc>
        <w:tc>
          <w:tcPr>
            <w:tcW w:w="1690" w:type="pct"/>
            <w:noWrap w:val="0"/>
            <w:vAlign w:val="center"/>
          </w:tcPr>
          <w:p w14:paraId="0B668D56">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260</w:t>
            </w:r>
          </w:p>
        </w:tc>
        <w:tc>
          <w:tcPr>
            <w:tcW w:w="1680" w:type="pct"/>
            <w:vMerge w:val="continue"/>
            <w:noWrap w:val="0"/>
            <w:vAlign w:val="center"/>
          </w:tcPr>
          <w:p w14:paraId="4C4F0635">
            <w:pPr>
              <w:widowControl/>
              <w:spacing w:line="320" w:lineRule="exact"/>
              <w:ind w:firstLine="0" w:firstLineChars="0"/>
              <w:jc w:val="center"/>
              <w:rPr>
                <w:color w:val="auto"/>
                <w:sz w:val="21"/>
                <w:szCs w:val="21"/>
                <w:highlight w:val="none"/>
              </w:rPr>
            </w:pPr>
          </w:p>
        </w:tc>
      </w:tr>
      <w:tr w14:paraId="3FA42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55C3DBEE">
            <w:pPr>
              <w:widowControl/>
              <w:spacing w:line="320" w:lineRule="exact"/>
              <w:ind w:firstLine="0" w:firstLineChars="0"/>
              <w:jc w:val="center"/>
              <w:rPr>
                <w:color w:val="auto"/>
                <w:sz w:val="21"/>
                <w:szCs w:val="21"/>
                <w:highlight w:val="none"/>
              </w:rPr>
            </w:pPr>
            <w:r>
              <w:rPr>
                <w:color w:val="auto"/>
                <w:sz w:val="21"/>
                <w:szCs w:val="21"/>
                <w:highlight w:val="none"/>
              </w:rPr>
              <w:t>37</w:t>
            </w:r>
          </w:p>
        </w:tc>
        <w:tc>
          <w:tcPr>
            <w:tcW w:w="1194" w:type="pct"/>
            <w:noWrap w:val="0"/>
            <w:vAlign w:val="center"/>
          </w:tcPr>
          <w:p w14:paraId="4E7484AD">
            <w:pPr>
              <w:widowControl/>
              <w:spacing w:line="320" w:lineRule="exact"/>
              <w:ind w:firstLine="0" w:firstLineChars="0"/>
              <w:jc w:val="center"/>
              <w:rPr>
                <w:color w:val="auto"/>
                <w:sz w:val="21"/>
                <w:szCs w:val="21"/>
                <w:highlight w:val="none"/>
              </w:rPr>
            </w:pPr>
            <w:r>
              <w:rPr>
                <w:color w:val="auto"/>
                <w:sz w:val="21"/>
                <w:szCs w:val="21"/>
                <w:highlight w:val="none"/>
              </w:rPr>
              <w:t>2-</w:t>
            </w:r>
            <w:r>
              <w:rPr>
                <w:rFonts w:hint="eastAsia"/>
                <w:color w:val="auto"/>
                <w:sz w:val="21"/>
                <w:szCs w:val="21"/>
                <w:highlight w:val="none"/>
              </w:rPr>
              <w:t>氯酚</w:t>
            </w:r>
          </w:p>
        </w:tc>
        <w:tc>
          <w:tcPr>
            <w:tcW w:w="1690" w:type="pct"/>
            <w:noWrap w:val="0"/>
            <w:vAlign w:val="center"/>
          </w:tcPr>
          <w:p w14:paraId="6742A07B">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2256</w:t>
            </w:r>
          </w:p>
        </w:tc>
        <w:tc>
          <w:tcPr>
            <w:tcW w:w="1680" w:type="pct"/>
            <w:vMerge w:val="continue"/>
            <w:noWrap w:val="0"/>
            <w:vAlign w:val="center"/>
          </w:tcPr>
          <w:p w14:paraId="13166645">
            <w:pPr>
              <w:widowControl/>
              <w:spacing w:line="320" w:lineRule="exact"/>
              <w:ind w:firstLine="0" w:firstLineChars="0"/>
              <w:jc w:val="center"/>
              <w:rPr>
                <w:color w:val="auto"/>
                <w:sz w:val="21"/>
                <w:szCs w:val="21"/>
                <w:highlight w:val="none"/>
              </w:rPr>
            </w:pPr>
          </w:p>
        </w:tc>
      </w:tr>
      <w:tr w14:paraId="49DEF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644CCD7B">
            <w:pPr>
              <w:widowControl/>
              <w:spacing w:line="320" w:lineRule="exact"/>
              <w:ind w:firstLine="0" w:firstLineChars="0"/>
              <w:jc w:val="center"/>
              <w:rPr>
                <w:color w:val="auto"/>
                <w:sz w:val="21"/>
                <w:szCs w:val="21"/>
                <w:highlight w:val="none"/>
              </w:rPr>
            </w:pPr>
            <w:r>
              <w:rPr>
                <w:color w:val="auto"/>
                <w:sz w:val="21"/>
                <w:szCs w:val="21"/>
                <w:highlight w:val="none"/>
              </w:rPr>
              <w:t>38</w:t>
            </w:r>
          </w:p>
        </w:tc>
        <w:tc>
          <w:tcPr>
            <w:tcW w:w="1194" w:type="pct"/>
            <w:noWrap w:val="0"/>
            <w:vAlign w:val="center"/>
          </w:tcPr>
          <w:p w14:paraId="5E869E41">
            <w:pPr>
              <w:widowControl/>
              <w:spacing w:line="320" w:lineRule="exact"/>
              <w:ind w:firstLine="0" w:firstLineChars="0"/>
              <w:jc w:val="center"/>
              <w:rPr>
                <w:color w:val="auto"/>
                <w:sz w:val="21"/>
                <w:szCs w:val="21"/>
                <w:highlight w:val="none"/>
              </w:rPr>
            </w:pPr>
            <w:r>
              <w:rPr>
                <w:rFonts w:hint="eastAsia"/>
                <w:color w:val="auto"/>
                <w:sz w:val="21"/>
                <w:szCs w:val="21"/>
                <w:highlight w:val="none"/>
              </w:rPr>
              <w:t>苯并</w:t>
            </w:r>
            <w:r>
              <w:rPr>
                <w:color w:val="auto"/>
                <w:sz w:val="21"/>
                <w:szCs w:val="21"/>
                <w:highlight w:val="none"/>
              </w:rPr>
              <w:t>[a]</w:t>
            </w:r>
            <w:r>
              <w:rPr>
                <w:rFonts w:hint="eastAsia"/>
                <w:color w:val="auto"/>
                <w:sz w:val="21"/>
                <w:szCs w:val="21"/>
                <w:highlight w:val="none"/>
              </w:rPr>
              <w:t>蒽</w:t>
            </w:r>
          </w:p>
        </w:tc>
        <w:tc>
          <w:tcPr>
            <w:tcW w:w="1690" w:type="pct"/>
            <w:noWrap w:val="0"/>
            <w:vAlign w:val="center"/>
          </w:tcPr>
          <w:p w14:paraId="257B0DA5">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15</w:t>
            </w:r>
          </w:p>
        </w:tc>
        <w:tc>
          <w:tcPr>
            <w:tcW w:w="1680" w:type="pct"/>
            <w:vMerge w:val="continue"/>
            <w:noWrap w:val="0"/>
            <w:vAlign w:val="center"/>
          </w:tcPr>
          <w:p w14:paraId="14B396CB">
            <w:pPr>
              <w:widowControl/>
              <w:spacing w:line="320" w:lineRule="exact"/>
              <w:ind w:firstLine="0" w:firstLineChars="0"/>
              <w:jc w:val="center"/>
              <w:rPr>
                <w:color w:val="auto"/>
                <w:sz w:val="21"/>
                <w:szCs w:val="21"/>
                <w:highlight w:val="none"/>
              </w:rPr>
            </w:pPr>
          </w:p>
        </w:tc>
      </w:tr>
      <w:tr w14:paraId="28652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329EFFEF">
            <w:pPr>
              <w:widowControl/>
              <w:spacing w:line="320" w:lineRule="exact"/>
              <w:ind w:firstLine="0" w:firstLineChars="0"/>
              <w:jc w:val="center"/>
              <w:rPr>
                <w:color w:val="auto"/>
                <w:sz w:val="21"/>
                <w:szCs w:val="21"/>
                <w:highlight w:val="none"/>
              </w:rPr>
            </w:pPr>
            <w:r>
              <w:rPr>
                <w:color w:val="auto"/>
                <w:sz w:val="21"/>
                <w:szCs w:val="21"/>
                <w:highlight w:val="none"/>
              </w:rPr>
              <w:t>39</w:t>
            </w:r>
          </w:p>
        </w:tc>
        <w:tc>
          <w:tcPr>
            <w:tcW w:w="1194" w:type="pct"/>
            <w:noWrap w:val="0"/>
            <w:vAlign w:val="center"/>
          </w:tcPr>
          <w:p w14:paraId="5F9FFA9F">
            <w:pPr>
              <w:widowControl/>
              <w:spacing w:line="320" w:lineRule="exact"/>
              <w:ind w:firstLine="0" w:firstLineChars="0"/>
              <w:jc w:val="center"/>
              <w:rPr>
                <w:color w:val="auto"/>
                <w:sz w:val="21"/>
                <w:szCs w:val="21"/>
                <w:highlight w:val="none"/>
              </w:rPr>
            </w:pPr>
            <w:r>
              <w:rPr>
                <w:rFonts w:hint="eastAsia"/>
                <w:color w:val="auto"/>
                <w:sz w:val="21"/>
                <w:szCs w:val="21"/>
                <w:highlight w:val="none"/>
              </w:rPr>
              <w:t>苯并</w:t>
            </w:r>
            <w:r>
              <w:rPr>
                <w:color w:val="auto"/>
                <w:sz w:val="21"/>
                <w:szCs w:val="21"/>
                <w:highlight w:val="none"/>
              </w:rPr>
              <w:t>[a]</w:t>
            </w:r>
            <w:r>
              <w:rPr>
                <w:rFonts w:hint="eastAsia"/>
                <w:color w:val="auto"/>
                <w:sz w:val="21"/>
                <w:szCs w:val="21"/>
                <w:highlight w:val="none"/>
              </w:rPr>
              <w:t>芘</w:t>
            </w:r>
          </w:p>
        </w:tc>
        <w:tc>
          <w:tcPr>
            <w:tcW w:w="1690" w:type="pct"/>
            <w:noWrap w:val="0"/>
            <w:vAlign w:val="center"/>
          </w:tcPr>
          <w:p w14:paraId="0C47BC35">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1.5</w:t>
            </w:r>
          </w:p>
        </w:tc>
        <w:tc>
          <w:tcPr>
            <w:tcW w:w="1680" w:type="pct"/>
            <w:vMerge w:val="continue"/>
            <w:noWrap w:val="0"/>
            <w:vAlign w:val="center"/>
          </w:tcPr>
          <w:p w14:paraId="3FCCE641">
            <w:pPr>
              <w:widowControl/>
              <w:spacing w:line="320" w:lineRule="exact"/>
              <w:ind w:firstLine="0" w:firstLineChars="0"/>
              <w:jc w:val="center"/>
              <w:rPr>
                <w:color w:val="auto"/>
                <w:sz w:val="21"/>
                <w:szCs w:val="21"/>
                <w:highlight w:val="none"/>
              </w:rPr>
            </w:pPr>
          </w:p>
        </w:tc>
      </w:tr>
      <w:tr w14:paraId="71C8C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4BB06A81">
            <w:pPr>
              <w:widowControl/>
              <w:spacing w:line="320" w:lineRule="exact"/>
              <w:ind w:firstLine="0" w:firstLineChars="0"/>
              <w:jc w:val="center"/>
              <w:rPr>
                <w:color w:val="auto"/>
                <w:sz w:val="21"/>
                <w:szCs w:val="21"/>
                <w:highlight w:val="none"/>
              </w:rPr>
            </w:pPr>
            <w:r>
              <w:rPr>
                <w:color w:val="auto"/>
                <w:sz w:val="21"/>
                <w:szCs w:val="21"/>
                <w:highlight w:val="none"/>
              </w:rPr>
              <w:t>40</w:t>
            </w:r>
          </w:p>
        </w:tc>
        <w:tc>
          <w:tcPr>
            <w:tcW w:w="1194" w:type="pct"/>
            <w:noWrap w:val="0"/>
            <w:vAlign w:val="center"/>
          </w:tcPr>
          <w:p w14:paraId="2520B0F6">
            <w:pPr>
              <w:widowControl/>
              <w:spacing w:line="320" w:lineRule="exact"/>
              <w:ind w:firstLine="0" w:firstLineChars="0"/>
              <w:jc w:val="center"/>
              <w:rPr>
                <w:color w:val="auto"/>
                <w:sz w:val="21"/>
                <w:szCs w:val="21"/>
                <w:highlight w:val="none"/>
              </w:rPr>
            </w:pPr>
            <w:r>
              <w:rPr>
                <w:rFonts w:hint="eastAsia"/>
                <w:color w:val="auto"/>
                <w:sz w:val="21"/>
                <w:szCs w:val="21"/>
                <w:highlight w:val="none"/>
              </w:rPr>
              <w:t>苯并</w:t>
            </w:r>
            <w:r>
              <w:rPr>
                <w:color w:val="auto"/>
                <w:sz w:val="21"/>
                <w:szCs w:val="21"/>
                <w:highlight w:val="none"/>
              </w:rPr>
              <w:t>[b]</w:t>
            </w:r>
            <w:r>
              <w:rPr>
                <w:rFonts w:hint="eastAsia"/>
                <w:color w:val="auto"/>
                <w:sz w:val="21"/>
                <w:szCs w:val="21"/>
                <w:highlight w:val="none"/>
              </w:rPr>
              <w:t>荧蒽</w:t>
            </w:r>
          </w:p>
        </w:tc>
        <w:tc>
          <w:tcPr>
            <w:tcW w:w="1690" w:type="pct"/>
            <w:noWrap w:val="0"/>
            <w:vAlign w:val="center"/>
          </w:tcPr>
          <w:p w14:paraId="4F694F5B">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15</w:t>
            </w:r>
          </w:p>
        </w:tc>
        <w:tc>
          <w:tcPr>
            <w:tcW w:w="1680" w:type="pct"/>
            <w:vMerge w:val="continue"/>
            <w:noWrap w:val="0"/>
            <w:vAlign w:val="center"/>
          </w:tcPr>
          <w:p w14:paraId="491A14BB">
            <w:pPr>
              <w:widowControl/>
              <w:spacing w:line="320" w:lineRule="exact"/>
              <w:ind w:firstLine="0" w:firstLineChars="0"/>
              <w:jc w:val="center"/>
              <w:rPr>
                <w:color w:val="auto"/>
                <w:sz w:val="21"/>
                <w:szCs w:val="21"/>
                <w:highlight w:val="none"/>
              </w:rPr>
            </w:pPr>
          </w:p>
        </w:tc>
      </w:tr>
      <w:tr w14:paraId="36F93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2ECFBBE0">
            <w:pPr>
              <w:widowControl/>
              <w:spacing w:line="320" w:lineRule="exact"/>
              <w:ind w:firstLine="0" w:firstLineChars="0"/>
              <w:jc w:val="center"/>
              <w:rPr>
                <w:color w:val="auto"/>
                <w:sz w:val="21"/>
                <w:szCs w:val="21"/>
                <w:highlight w:val="none"/>
              </w:rPr>
            </w:pPr>
            <w:r>
              <w:rPr>
                <w:color w:val="auto"/>
                <w:sz w:val="21"/>
                <w:szCs w:val="21"/>
                <w:highlight w:val="none"/>
              </w:rPr>
              <w:t>41</w:t>
            </w:r>
          </w:p>
        </w:tc>
        <w:tc>
          <w:tcPr>
            <w:tcW w:w="1194" w:type="pct"/>
            <w:noWrap w:val="0"/>
            <w:vAlign w:val="center"/>
          </w:tcPr>
          <w:p w14:paraId="670BC0B6">
            <w:pPr>
              <w:widowControl/>
              <w:spacing w:line="320" w:lineRule="exact"/>
              <w:ind w:firstLine="0" w:firstLineChars="0"/>
              <w:jc w:val="center"/>
              <w:rPr>
                <w:color w:val="auto"/>
                <w:sz w:val="21"/>
                <w:szCs w:val="21"/>
                <w:highlight w:val="none"/>
              </w:rPr>
            </w:pPr>
            <w:r>
              <w:rPr>
                <w:rFonts w:hint="eastAsia"/>
                <w:color w:val="auto"/>
                <w:sz w:val="21"/>
                <w:szCs w:val="21"/>
                <w:highlight w:val="none"/>
              </w:rPr>
              <w:t>苯并</w:t>
            </w:r>
            <w:r>
              <w:rPr>
                <w:color w:val="auto"/>
                <w:sz w:val="21"/>
                <w:szCs w:val="21"/>
                <w:highlight w:val="none"/>
              </w:rPr>
              <w:t>[k]</w:t>
            </w:r>
            <w:r>
              <w:rPr>
                <w:rFonts w:hint="eastAsia"/>
                <w:color w:val="auto"/>
                <w:sz w:val="21"/>
                <w:szCs w:val="21"/>
                <w:highlight w:val="none"/>
              </w:rPr>
              <w:t>荧蒽</w:t>
            </w:r>
          </w:p>
        </w:tc>
        <w:tc>
          <w:tcPr>
            <w:tcW w:w="1690" w:type="pct"/>
            <w:noWrap w:val="0"/>
            <w:vAlign w:val="center"/>
          </w:tcPr>
          <w:p w14:paraId="5F5A2D7D">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151</w:t>
            </w:r>
          </w:p>
        </w:tc>
        <w:tc>
          <w:tcPr>
            <w:tcW w:w="1680" w:type="pct"/>
            <w:vMerge w:val="continue"/>
            <w:noWrap w:val="0"/>
            <w:vAlign w:val="center"/>
          </w:tcPr>
          <w:p w14:paraId="1011C5D4">
            <w:pPr>
              <w:widowControl/>
              <w:spacing w:line="320" w:lineRule="exact"/>
              <w:ind w:firstLine="0" w:firstLineChars="0"/>
              <w:jc w:val="center"/>
              <w:rPr>
                <w:color w:val="auto"/>
                <w:sz w:val="21"/>
                <w:szCs w:val="21"/>
                <w:highlight w:val="none"/>
              </w:rPr>
            </w:pPr>
          </w:p>
        </w:tc>
      </w:tr>
      <w:tr w14:paraId="3EB59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18BF872D">
            <w:pPr>
              <w:widowControl/>
              <w:spacing w:line="320" w:lineRule="exact"/>
              <w:ind w:firstLine="0" w:firstLineChars="0"/>
              <w:jc w:val="center"/>
              <w:rPr>
                <w:color w:val="auto"/>
                <w:sz w:val="21"/>
                <w:szCs w:val="21"/>
                <w:highlight w:val="none"/>
              </w:rPr>
            </w:pPr>
            <w:r>
              <w:rPr>
                <w:color w:val="auto"/>
                <w:sz w:val="21"/>
                <w:szCs w:val="21"/>
                <w:highlight w:val="none"/>
              </w:rPr>
              <w:t>42</w:t>
            </w:r>
          </w:p>
        </w:tc>
        <w:tc>
          <w:tcPr>
            <w:tcW w:w="1194" w:type="pct"/>
            <w:noWrap w:val="0"/>
            <w:vAlign w:val="center"/>
          </w:tcPr>
          <w:p w14:paraId="45B11C0C">
            <w:pPr>
              <w:widowControl/>
              <w:spacing w:line="320" w:lineRule="exact"/>
              <w:ind w:firstLine="0" w:firstLineChars="0"/>
              <w:jc w:val="center"/>
              <w:rPr>
                <w:color w:val="auto"/>
                <w:sz w:val="21"/>
                <w:szCs w:val="21"/>
                <w:highlight w:val="none"/>
              </w:rPr>
            </w:pPr>
            <w:r>
              <w:rPr>
                <w:rFonts w:hint="eastAsia"/>
                <w:color w:val="auto"/>
                <w:sz w:val="21"/>
                <w:szCs w:val="21"/>
                <w:highlight w:val="none"/>
              </w:rPr>
              <w:t>䓛</w:t>
            </w:r>
          </w:p>
        </w:tc>
        <w:tc>
          <w:tcPr>
            <w:tcW w:w="1690" w:type="pct"/>
            <w:noWrap w:val="0"/>
            <w:vAlign w:val="center"/>
          </w:tcPr>
          <w:p w14:paraId="1D7C8698">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1293</w:t>
            </w:r>
          </w:p>
        </w:tc>
        <w:tc>
          <w:tcPr>
            <w:tcW w:w="1680" w:type="pct"/>
            <w:vMerge w:val="continue"/>
            <w:noWrap w:val="0"/>
            <w:vAlign w:val="center"/>
          </w:tcPr>
          <w:p w14:paraId="147DEAD5">
            <w:pPr>
              <w:widowControl/>
              <w:spacing w:line="320" w:lineRule="exact"/>
              <w:ind w:firstLine="0" w:firstLineChars="0"/>
              <w:jc w:val="center"/>
              <w:rPr>
                <w:color w:val="auto"/>
                <w:sz w:val="21"/>
                <w:szCs w:val="21"/>
                <w:highlight w:val="none"/>
              </w:rPr>
            </w:pPr>
          </w:p>
        </w:tc>
      </w:tr>
      <w:tr w14:paraId="53DAB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08D12DDA">
            <w:pPr>
              <w:widowControl/>
              <w:spacing w:line="320" w:lineRule="exact"/>
              <w:ind w:firstLine="0" w:firstLineChars="0"/>
              <w:jc w:val="center"/>
              <w:rPr>
                <w:color w:val="auto"/>
                <w:sz w:val="21"/>
                <w:szCs w:val="21"/>
                <w:highlight w:val="none"/>
              </w:rPr>
            </w:pPr>
            <w:r>
              <w:rPr>
                <w:color w:val="auto"/>
                <w:sz w:val="21"/>
                <w:szCs w:val="21"/>
                <w:highlight w:val="none"/>
              </w:rPr>
              <w:t>43</w:t>
            </w:r>
          </w:p>
        </w:tc>
        <w:tc>
          <w:tcPr>
            <w:tcW w:w="1194" w:type="pct"/>
            <w:noWrap w:val="0"/>
            <w:vAlign w:val="center"/>
          </w:tcPr>
          <w:p w14:paraId="7DC2D64A">
            <w:pPr>
              <w:widowControl/>
              <w:spacing w:line="320" w:lineRule="exact"/>
              <w:ind w:firstLine="0" w:firstLineChars="0"/>
              <w:jc w:val="center"/>
              <w:rPr>
                <w:color w:val="auto"/>
                <w:sz w:val="21"/>
                <w:szCs w:val="21"/>
                <w:highlight w:val="none"/>
              </w:rPr>
            </w:pPr>
            <w:r>
              <w:rPr>
                <w:rFonts w:hint="eastAsia"/>
                <w:color w:val="auto"/>
                <w:sz w:val="21"/>
                <w:szCs w:val="21"/>
                <w:highlight w:val="none"/>
              </w:rPr>
              <w:t>二苯并</w:t>
            </w:r>
            <w:r>
              <w:rPr>
                <w:color w:val="auto"/>
                <w:sz w:val="21"/>
                <w:szCs w:val="21"/>
                <w:highlight w:val="none"/>
              </w:rPr>
              <w:t>[a, h]</w:t>
            </w:r>
            <w:r>
              <w:rPr>
                <w:rFonts w:hint="eastAsia"/>
                <w:color w:val="auto"/>
                <w:sz w:val="21"/>
                <w:szCs w:val="21"/>
                <w:highlight w:val="none"/>
              </w:rPr>
              <w:t>蒽</w:t>
            </w:r>
          </w:p>
        </w:tc>
        <w:tc>
          <w:tcPr>
            <w:tcW w:w="1690" w:type="pct"/>
            <w:noWrap w:val="0"/>
            <w:vAlign w:val="center"/>
          </w:tcPr>
          <w:p w14:paraId="61DF0A01">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1.5</w:t>
            </w:r>
          </w:p>
        </w:tc>
        <w:tc>
          <w:tcPr>
            <w:tcW w:w="1680" w:type="pct"/>
            <w:vMerge w:val="continue"/>
            <w:noWrap w:val="0"/>
            <w:vAlign w:val="center"/>
          </w:tcPr>
          <w:p w14:paraId="47719885">
            <w:pPr>
              <w:widowControl/>
              <w:spacing w:line="320" w:lineRule="exact"/>
              <w:ind w:firstLine="0" w:firstLineChars="0"/>
              <w:jc w:val="center"/>
              <w:rPr>
                <w:color w:val="auto"/>
                <w:sz w:val="21"/>
                <w:szCs w:val="21"/>
                <w:highlight w:val="none"/>
              </w:rPr>
            </w:pPr>
          </w:p>
        </w:tc>
      </w:tr>
      <w:tr w14:paraId="1750E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0773AE3B">
            <w:pPr>
              <w:widowControl/>
              <w:spacing w:line="320" w:lineRule="exact"/>
              <w:ind w:firstLine="0" w:firstLineChars="0"/>
              <w:jc w:val="center"/>
              <w:rPr>
                <w:color w:val="auto"/>
                <w:sz w:val="21"/>
                <w:szCs w:val="21"/>
                <w:highlight w:val="none"/>
              </w:rPr>
            </w:pPr>
            <w:r>
              <w:rPr>
                <w:color w:val="auto"/>
                <w:sz w:val="21"/>
                <w:szCs w:val="21"/>
                <w:highlight w:val="none"/>
              </w:rPr>
              <w:t>44</w:t>
            </w:r>
          </w:p>
        </w:tc>
        <w:tc>
          <w:tcPr>
            <w:tcW w:w="1194" w:type="pct"/>
            <w:noWrap w:val="0"/>
            <w:vAlign w:val="center"/>
          </w:tcPr>
          <w:p w14:paraId="56F22B26">
            <w:pPr>
              <w:widowControl/>
              <w:spacing w:line="320" w:lineRule="exact"/>
              <w:ind w:firstLine="0" w:firstLineChars="0"/>
              <w:jc w:val="center"/>
              <w:rPr>
                <w:color w:val="auto"/>
                <w:sz w:val="21"/>
                <w:szCs w:val="21"/>
                <w:highlight w:val="none"/>
              </w:rPr>
            </w:pPr>
            <w:r>
              <w:rPr>
                <w:rFonts w:hint="eastAsia"/>
                <w:color w:val="auto"/>
                <w:sz w:val="21"/>
                <w:szCs w:val="21"/>
                <w:highlight w:val="none"/>
              </w:rPr>
              <w:t>茚并</w:t>
            </w:r>
            <w:r>
              <w:rPr>
                <w:color w:val="auto"/>
                <w:sz w:val="21"/>
                <w:szCs w:val="21"/>
                <w:highlight w:val="none"/>
              </w:rPr>
              <w:t>[1,2,3-cd]</w:t>
            </w:r>
            <w:r>
              <w:rPr>
                <w:rFonts w:hint="eastAsia"/>
                <w:color w:val="auto"/>
                <w:sz w:val="21"/>
                <w:szCs w:val="21"/>
                <w:highlight w:val="none"/>
              </w:rPr>
              <w:t>芘</w:t>
            </w:r>
          </w:p>
        </w:tc>
        <w:tc>
          <w:tcPr>
            <w:tcW w:w="1690" w:type="pct"/>
            <w:noWrap w:val="0"/>
            <w:vAlign w:val="center"/>
          </w:tcPr>
          <w:p w14:paraId="2915652D">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15</w:t>
            </w:r>
          </w:p>
        </w:tc>
        <w:tc>
          <w:tcPr>
            <w:tcW w:w="1680" w:type="pct"/>
            <w:vMerge w:val="continue"/>
            <w:noWrap w:val="0"/>
            <w:vAlign w:val="center"/>
          </w:tcPr>
          <w:p w14:paraId="73473DD3">
            <w:pPr>
              <w:widowControl/>
              <w:spacing w:line="320" w:lineRule="exact"/>
              <w:ind w:firstLine="0" w:firstLineChars="0"/>
              <w:jc w:val="center"/>
              <w:rPr>
                <w:color w:val="auto"/>
                <w:sz w:val="21"/>
                <w:szCs w:val="21"/>
                <w:highlight w:val="none"/>
              </w:rPr>
            </w:pPr>
          </w:p>
        </w:tc>
      </w:tr>
      <w:tr w14:paraId="65D4A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436" w:type="pct"/>
            <w:noWrap w:val="0"/>
            <w:vAlign w:val="center"/>
          </w:tcPr>
          <w:p w14:paraId="60ADB3A5">
            <w:pPr>
              <w:widowControl/>
              <w:spacing w:line="320" w:lineRule="exact"/>
              <w:ind w:firstLine="0" w:firstLineChars="0"/>
              <w:jc w:val="center"/>
              <w:rPr>
                <w:color w:val="auto"/>
                <w:sz w:val="21"/>
                <w:szCs w:val="21"/>
                <w:highlight w:val="none"/>
              </w:rPr>
            </w:pPr>
            <w:r>
              <w:rPr>
                <w:color w:val="auto"/>
                <w:sz w:val="21"/>
                <w:szCs w:val="21"/>
                <w:highlight w:val="none"/>
              </w:rPr>
              <w:t>45</w:t>
            </w:r>
          </w:p>
        </w:tc>
        <w:tc>
          <w:tcPr>
            <w:tcW w:w="1194" w:type="pct"/>
            <w:noWrap w:val="0"/>
            <w:vAlign w:val="center"/>
          </w:tcPr>
          <w:p w14:paraId="5A24C2F3">
            <w:pPr>
              <w:widowControl/>
              <w:spacing w:line="320" w:lineRule="exact"/>
              <w:ind w:firstLine="0" w:firstLineChars="0"/>
              <w:jc w:val="center"/>
              <w:rPr>
                <w:color w:val="auto"/>
                <w:sz w:val="21"/>
                <w:szCs w:val="21"/>
                <w:highlight w:val="none"/>
              </w:rPr>
            </w:pPr>
            <w:r>
              <w:rPr>
                <w:rFonts w:hint="eastAsia"/>
                <w:color w:val="auto"/>
                <w:sz w:val="21"/>
                <w:szCs w:val="21"/>
                <w:highlight w:val="none"/>
              </w:rPr>
              <w:t>萘</w:t>
            </w:r>
          </w:p>
        </w:tc>
        <w:tc>
          <w:tcPr>
            <w:tcW w:w="1690" w:type="pct"/>
            <w:noWrap w:val="0"/>
            <w:vAlign w:val="center"/>
          </w:tcPr>
          <w:p w14:paraId="5F31199F">
            <w:pPr>
              <w:widowControl/>
              <w:topLinePunct/>
              <w:adjustRightInd w:val="0"/>
              <w:spacing w:line="320" w:lineRule="exact"/>
              <w:ind w:firstLine="0" w:firstLineChars="0"/>
              <w:jc w:val="center"/>
              <w:textAlignment w:val="baseline"/>
              <w:rPr>
                <w:color w:val="auto"/>
                <w:sz w:val="21"/>
                <w:szCs w:val="21"/>
                <w:highlight w:val="none"/>
              </w:rPr>
            </w:pPr>
            <w:r>
              <w:rPr>
                <w:color w:val="auto"/>
                <w:sz w:val="21"/>
                <w:szCs w:val="21"/>
                <w:highlight w:val="none"/>
              </w:rPr>
              <w:t>70</w:t>
            </w:r>
          </w:p>
        </w:tc>
        <w:tc>
          <w:tcPr>
            <w:tcW w:w="1680" w:type="pct"/>
            <w:vMerge w:val="continue"/>
            <w:noWrap w:val="0"/>
            <w:vAlign w:val="center"/>
          </w:tcPr>
          <w:p w14:paraId="33DD9157">
            <w:pPr>
              <w:widowControl/>
              <w:spacing w:line="320" w:lineRule="exact"/>
              <w:ind w:firstLine="0" w:firstLineChars="0"/>
              <w:jc w:val="center"/>
              <w:rPr>
                <w:color w:val="auto"/>
                <w:sz w:val="21"/>
                <w:szCs w:val="21"/>
                <w:highlight w:val="none"/>
              </w:rPr>
            </w:pPr>
          </w:p>
        </w:tc>
      </w:tr>
    </w:tbl>
    <w:p w14:paraId="6FCBBAAF">
      <w:pPr>
        <w:pStyle w:val="6"/>
        <w:rPr>
          <w:color w:val="auto"/>
          <w:highlight w:val="none"/>
        </w:rPr>
      </w:pPr>
      <w:r>
        <w:rPr>
          <w:rFonts w:hint="eastAsia"/>
          <w:color w:val="auto"/>
          <w:highlight w:val="none"/>
          <w:lang w:val="en-US" w:eastAsia="zh-CN"/>
        </w:rPr>
        <w:t xml:space="preserve"> </w:t>
      </w:r>
      <w:r>
        <w:rPr>
          <w:rFonts w:hint="eastAsia"/>
          <w:color w:val="auto"/>
          <w:highlight w:val="none"/>
        </w:rPr>
        <w:t>污染物排放标准</w:t>
      </w:r>
    </w:p>
    <w:p w14:paraId="7FEAB1EA">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）大气污染物排放标准</w:t>
      </w:r>
    </w:p>
    <w:p w14:paraId="413D92FB">
      <w:pPr>
        <w:adjustRightInd w:val="0"/>
        <w:snapToGrid w:val="0"/>
        <w:ind w:firstLine="480"/>
        <w:rPr>
          <w:color w:val="auto"/>
          <w:highlight w:val="none"/>
        </w:rPr>
      </w:pPr>
      <w:r>
        <w:rPr>
          <w:color w:val="auto"/>
          <w:highlight w:val="none"/>
        </w:rPr>
        <w:t>根据项目生产特点及排污特征，施工期施工废气执行《大气污染物综合排放标准》（GB16297-1996）表2中新污染源大气污染物排放限值-无组织排放监控浓度限值；运营期选矿过程产生的颗粒物执行《大气污染物综合排放标准》（GB16297-1996）表2中新污染源大气污染物排放限值，具体标准值见表2.3-</w:t>
      </w:r>
      <w:r>
        <w:rPr>
          <w:rFonts w:hint="eastAsia"/>
          <w:color w:val="auto"/>
          <w:highlight w:val="none"/>
        </w:rPr>
        <w:t>9</w:t>
      </w:r>
      <w:r>
        <w:rPr>
          <w:color w:val="auto"/>
          <w:highlight w:val="none"/>
        </w:rPr>
        <w:t>。</w:t>
      </w:r>
    </w:p>
    <w:p w14:paraId="5CA40D6E">
      <w:pPr>
        <w:pStyle w:val="199"/>
        <w:spacing w:before="120"/>
        <w:rPr>
          <w:rFonts w:hint="eastAsia"/>
          <w:color w:val="auto"/>
          <w:sz w:val="24"/>
          <w:highlight w:val="none"/>
        </w:rPr>
      </w:pPr>
      <w:r>
        <w:rPr>
          <w:rFonts w:hint="eastAsia"/>
          <w:color w:val="auto"/>
          <w:sz w:val="24"/>
          <w:highlight w:val="none"/>
        </w:rPr>
        <w:t>表</w:t>
      </w:r>
      <w:r>
        <w:rPr>
          <w:color w:val="auto"/>
          <w:sz w:val="24"/>
          <w:highlight w:val="none"/>
        </w:rPr>
        <w:t>2.3-</w:t>
      </w:r>
      <w:r>
        <w:rPr>
          <w:rFonts w:hint="eastAsia"/>
          <w:color w:val="auto"/>
          <w:sz w:val="24"/>
          <w:highlight w:val="none"/>
        </w:rPr>
        <w:t>9</w:t>
      </w:r>
      <w:r>
        <w:rPr>
          <w:color w:val="auto"/>
          <w:sz w:val="24"/>
          <w:highlight w:val="none"/>
        </w:rPr>
        <w:t xml:space="preserve">  </w:t>
      </w:r>
      <w:r>
        <w:rPr>
          <w:rFonts w:hint="eastAsia"/>
          <w:color w:val="auto"/>
          <w:sz w:val="24"/>
          <w:highlight w:val="none"/>
        </w:rPr>
        <w:t>大气污染物排放标准</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951"/>
        <w:gridCol w:w="1564"/>
        <w:gridCol w:w="1964"/>
        <w:gridCol w:w="816"/>
        <w:gridCol w:w="2184"/>
        <w:gridCol w:w="1037"/>
      </w:tblGrid>
      <w:tr w14:paraId="3B05CA8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blHeader/>
          <w:jc w:val="center"/>
        </w:trPr>
        <w:tc>
          <w:tcPr>
            <w:tcW w:w="558" w:type="pct"/>
            <w:vMerge w:val="restart"/>
            <w:tcBorders>
              <w:tl2br w:val="nil"/>
              <w:tr2bl w:val="nil"/>
            </w:tcBorders>
            <w:noWrap w:val="0"/>
            <w:vAlign w:val="center"/>
          </w:tcPr>
          <w:p w14:paraId="04F60039">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污染物</w:t>
            </w:r>
          </w:p>
        </w:tc>
        <w:tc>
          <w:tcPr>
            <w:tcW w:w="918" w:type="pct"/>
            <w:vMerge w:val="restart"/>
            <w:tcBorders>
              <w:tl2br w:val="nil"/>
              <w:tr2bl w:val="nil"/>
            </w:tcBorders>
            <w:noWrap w:val="0"/>
            <w:vAlign w:val="center"/>
          </w:tcPr>
          <w:p w14:paraId="735DFC64">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最高允许排放浓度（mg/m</w:t>
            </w:r>
            <w:r>
              <w:rPr>
                <w:rFonts w:hint="eastAsia"/>
                <w:color w:val="auto"/>
                <w:sz w:val="21"/>
                <w:szCs w:val="21"/>
                <w:highlight w:val="none"/>
                <w:vertAlign w:val="superscript"/>
              </w:rPr>
              <w:t>3</w:t>
            </w:r>
            <w:r>
              <w:rPr>
                <w:rFonts w:hint="eastAsia"/>
                <w:color w:val="auto"/>
                <w:sz w:val="21"/>
                <w:szCs w:val="21"/>
                <w:highlight w:val="none"/>
              </w:rPr>
              <w:t>）</w:t>
            </w:r>
          </w:p>
        </w:tc>
        <w:tc>
          <w:tcPr>
            <w:tcW w:w="1632" w:type="pct"/>
            <w:gridSpan w:val="2"/>
            <w:tcBorders>
              <w:tl2br w:val="nil"/>
              <w:tr2bl w:val="nil"/>
            </w:tcBorders>
            <w:noWrap w:val="0"/>
            <w:vAlign w:val="center"/>
          </w:tcPr>
          <w:p w14:paraId="140C8DD0">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最高允许排放速率（kg/h）</w:t>
            </w:r>
          </w:p>
        </w:tc>
        <w:tc>
          <w:tcPr>
            <w:tcW w:w="1891" w:type="pct"/>
            <w:gridSpan w:val="2"/>
            <w:vMerge w:val="restart"/>
            <w:tcBorders>
              <w:tl2br w:val="nil"/>
              <w:tr2bl w:val="nil"/>
            </w:tcBorders>
            <w:noWrap w:val="0"/>
            <w:vAlign w:val="center"/>
          </w:tcPr>
          <w:p w14:paraId="75CA9856">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无组织排放监控浓度限值点</w:t>
            </w:r>
          </w:p>
        </w:tc>
      </w:tr>
      <w:tr w14:paraId="412667C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tblHeader/>
          <w:jc w:val="center"/>
        </w:trPr>
        <w:tc>
          <w:tcPr>
            <w:tcW w:w="558" w:type="pct"/>
            <w:vMerge w:val="continue"/>
            <w:tcBorders>
              <w:tl2br w:val="nil"/>
              <w:tr2bl w:val="nil"/>
            </w:tcBorders>
            <w:noWrap w:val="0"/>
            <w:vAlign w:val="center"/>
          </w:tcPr>
          <w:p w14:paraId="2C868704">
            <w:pPr>
              <w:spacing w:line="240" w:lineRule="auto"/>
              <w:ind w:firstLine="0" w:firstLineChars="0"/>
              <w:jc w:val="center"/>
              <w:rPr>
                <w:rFonts w:hint="eastAsia"/>
                <w:color w:val="auto"/>
                <w:sz w:val="21"/>
                <w:szCs w:val="21"/>
                <w:highlight w:val="none"/>
              </w:rPr>
            </w:pPr>
          </w:p>
        </w:tc>
        <w:tc>
          <w:tcPr>
            <w:tcW w:w="918" w:type="pct"/>
            <w:vMerge w:val="continue"/>
            <w:tcBorders>
              <w:tl2br w:val="nil"/>
              <w:tr2bl w:val="nil"/>
            </w:tcBorders>
            <w:noWrap w:val="0"/>
            <w:vAlign w:val="center"/>
          </w:tcPr>
          <w:p w14:paraId="5B1E3FC8">
            <w:pPr>
              <w:spacing w:line="240" w:lineRule="auto"/>
              <w:ind w:firstLine="0" w:firstLineChars="0"/>
              <w:jc w:val="center"/>
              <w:rPr>
                <w:rFonts w:hint="eastAsia"/>
                <w:color w:val="auto"/>
                <w:sz w:val="21"/>
                <w:szCs w:val="21"/>
                <w:highlight w:val="none"/>
              </w:rPr>
            </w:pPr>
          </w:p>
        </w:tc>
        <w:tc>
          <w:tcPr>
            <w:tcW w:w="1153" w:type="pct"/>
            <w:tcBorders>
              <w:tl2br w:val="nil"/>
              <w:tr2bl w:val="nil"/>
            </w:tcBorders>
            <w:noWrap w:val="0"/>
            <w:vAlign w:val="center"/>
          </w:tcPr>
          <w:p w14:paraId="3CA8FE54">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排气筒高度（m）</w:t>
            </w:r>
          </w:p>
        </w:tc>
        <w:tc>
          <w:tcPr>
            <w:tcW w:w="479" w:type="pct"/>
            <w:tcBorders>
              <w:tl2br w:val="nil"/>
              <w:tr2bl w:val="nil"/>
            </w:tcBorders>
            <w:noWrap w:val="0"/>
            <w:vAlign w:val="center"/>
          </w:tcPr>
          <w:p w14:paraId="625AF3AC">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二级</w:t>
            </w:r>
          </w:p>
        </w:tc>
        <w:tc>
          <w:tcPr>
            <w:tcW w:w="1891" w:type="pct"/>
            <w:gridSpan w:val="2"/>
            <w:vMerge w:val="continue"/>
            <w:tcBorders>
              <w:tl2br w:val="nil"/>
              <w:tr2bl w:val="nil"/>
            </w:tcBorders>
            <w:noWrap w:val="0"/>
            <w:vAlign w:val="center"/>
          </w:tcPr>
          <w:p w14:paraId="31CB249C">
            <w:pPr>
              <w:spacing w:line="240" w:lineRule="auto"/>
              <w:ind w:firstLine="0" w:firstLineChars="0"/>
              <w:jc w:val="center"/>
              <w:rPr>
                <w:rFonts w:hint="eastAsia"/>
                <w:color w:val="auto"/>
                <w:sz w:val="21"/>
                <w:szCs w:val="21"/>
                <w:highlight w:val="none"/>
              </w:rPr>
            </w:pPr>
          </w:p>
        </w:tc>
      </w:tr>
      <w:tr w14:paraId="080346D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0" w:hRule="atLeast"/>
          <w:jc w:val="center"/>
        </w:trPr>
        <w:tc>
          <w:tcPr>
            <w:tcW w:w="558" w:type="pct"/>
            <w:tcBorders>
              <w:tl2br w:val="nil"/>
              <w:tr2bl w:val="nil"/>
            </w:tcBorders>
            <w:noWrap w:val="0"/>
            <w:vAlign w:val="center"/>
          </w:tcPr>
          <w:p w14:paraId="5C8AAAA3">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颗粒物</w:t>
            </w:r>
          </w:p>
        </w:tc>
        <w:tc>
          <w:tcPr>
            <w:tcW w:w="918" w:type="pct"/>
            <w:tcBorders>
              <w:tl2br w:val="nil"/>
              <w:tr2bl w:val="nil"/>
            </w:tcBorders>
            <w:noWrap w:val="0"/>
            <w:vAlign w:val="center"/>
          </w:tcPr>
          <w:p w14:paraId="1876A9E3">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120</w:t>
            </w:r>
          </w:p>
        </w:tc>
        <w:tc>
          <w:tcPr>
            <w:tcW w:w="1153" w:type="pct"/>
            <w:tcBorders>
              <w:tl2br w:val="nil"/>
              <w:tr2bl w:val="nil"/>
            </w:tcBorders>
            <w:noWrap w:val="0"/>
            <w:vAlign w:val="center"/>
          </w:tcPr>
          <w:p w14:paraId="0EF577A4">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15</w:t>
            </w:r>
          </w:p>
        </w:tc>
        <w:tc>
          <w:tcPr>
            <w:tcW w:w="479" w:type="pct"/>
            <w:tcBorders>
              <w:tl2br w:val="nil"/>
              <w:tr2bl w:val="nil"/>
            </w:tcBorders>
            <w:noWrap w:val="0"/>
            <w:vAlign w:val="center"/>
          </w:tcPr>
          <w:p w14:paraId="106C6308">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3.5</w:t>
            </w:r>
          </w:p>
        </w:tc>
        <w:tc>
          <w:tcPr>
            <w:tcW w:w="1282" w:type="pct"/>
            <w:tcBorders>
              <w:tl2br w:val="nil"/>
              <w:tr2bl w:val="nil"/>
            </w:tcBorders>
            <w:noWrap w:val="0"/>
            <w:vAlign w:val="center"/>
          </w:tcPr>
          <w:p w14:paraId="23974F61">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周界外浓度最高点</w:t>
            </w:r>
          </w:p>
        </w:tc>
        <w:tc>
          <w:tcPr>
            <w:tcW w:w="608" w:type="pct"/>
            <w:tcBorders>
              <w:tl2br w:val="nil"/>
              <w:tr2bl w:val="nil"/>
            </w:tcBorders>
            <w:noWrap w:val="0"/>
            <w:vAlign w:val="center"/>
          </w:tcPr>
          <w:p w14:paraId="5DCBE18A">
            <w:pPr>
              <w:spacing w:line="240" w:lineRule="auto"/>
              <w:ind w:firstLine="0" w:firstLineChars="0"/>
              <w:jc w:val="center"/>
              <w:rPr>
                <w:rFonts w:hint="eastAsia"/>
                <w:color w:val="auto"/>
                <w:sz w:val="21"/>
                <w:szCs w:val="21"/>
                <w:highlight w:val="none"/>
              </w:rPr>
            </w:pPr>
            <w:r>
              <w:rPr>
                <w:rFonts w:hint="eastAsia"/>
                <w:color w:val="auto"/>
                <w:sz w:val="21"/>
                <w:szCs w:val="21"/>
                <w:highlight w:val="none"/>
              </w:rPr>
              <w:t>1.0mg/m</w:t>
            </w:r>
            <w:r>
              <w:rPr>
                <w:rFonts w:hint="eastAsia"/>
                <w:color w:val="auto"/>
                <w:sz w:val="21"/>
                <w:szCs w:val="21"/>
                <w:highlight w:val="none"/>
                <w:vertAlign w:val="superscript"/>
              </w:rPr>
              <w:t>3</w:t>
            </w:r>
          </w:p>
        </w:tc>
      </w:tr>
    </w:tbl>
    <w:p w14:paraId="03A495C2">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）废水排放标准</w:t>
      </w:r>
    </w:p>
    <w:p w14:paraId="5CF402B7">
      <w:pPr>
        <w:autoSpaceDE w:val="0"/>
        <w:autoSpaceDN w:val="0"/>
        <w:adjustRightInd w:val="0"/>
        <w:snapToGrid w:val="0"/>
        <w:ind w:firstLine="480"/>
        <w:rPr>
          <w:color w:val="auto"/>
          <w:highlight w:val="none"/>
          <w:lang w:val="zh-CN"/>
        </w:rPr>
      </w:pPr>
      <w:r>
        <w:rPr>
          <w:color w:val="auto"/>
          <w:highlight w:val="none"/>
          <w:lang w:val="zh-CN"/>
        </w:rPr>
        <w:t>本项目</w:t>
      </w:r>
      <w:r>
        <w:rPr>
          <w:rFonts w:hint="eastAsia"/>
          <w:color w:val="auto"/>
          <w:highlight w:val="none"/>
          <w:lang w:val="en-US" w:eastAsia="zh-CN"/>
        </w:rPr>
        <w:t>不外排生产废水</w:t>
      </w:r>
      <w:r>
        <w:rPr>
          <w:color w:val="auto"/>
          <w:highlight w:val="none"/>
          <w:lang w:val="zh-CN"/>
        </w:rPr>
        <w:t>，</w:t>
      </w:r>
      <w:r>
        <w:rPr>
          <w:rFonts w:hint="eastAsia"/>
          <w:color w:val="auto"/>
          <w:highlight w:val="none"/>
          <w:lang w:val="en-US" w:eastAsia="zh-CN"/>
        </w:rPr>
        <w:t>生活污水</w:t>
      </w:r>
      <w:r>
        <w:rPr>
          <w:rFonts w:hint="eastAsia"/>
          <w:color w:val="auto"/>
          <w:highlight w:val="none"/>
          <w:lang w:val="zh-CN"/>
        </w:rPr>
        <w:t>执行《污水综合排放标准》（GB8978-1996）三级标准要求。</w:t>
      </w:r>
      <w:r>
        <w:rPr>
          <w:color w:val="auto"/>
          <w:highlight w:val="none"/>
          <w:lang w:val="zh-CN"/>
        </w:rPr>
        <w:t>见表2.3-</w:t>
      </w:r>
      <w:r>
        <w:rPr>
          <w:rFonts w:hint="eastAsia"/>
          <w:color w:val="auto"/>
          <w:highlight w:val="none"/>
          <w:lang w:val="zh-CN"/>
        </w:rPr>
        <w:t>10</w:t>
      </w:r>
      <w:r>
        <w:rPr>
          <w:color w:val="auto"/>
          <w:highlight w:val="none"/>
          <w:lang w:val="zh-CN"/>
        </w:rPr>
        <w:t>。</w:t>
      </w:r>
    </w:p>
    <w:p w14:paraId="6C414AFF">
      <w:pPr>
        <w:pStyle w:val="199"/>
        <w:spacing w:before="120"/>
        <w:rPr>
          <w:color w:val="auto"/>
          <w:sz w:val="24"/>
          <w:highlight w:val="none"/>
        </w:rPr>
      </w:pPr>
      <w:r>
        <w:rPr>
          <w:rFonts w:hint="eastAsia"/>
          <w:color w:val="auto"/>
          <w:sz w:val="24"/>
          <w:highlight w:val="none"/>
        </w:rPr>
        <w:t>表</w:t>
      </w:r>
      <w:r>
        <w:rPr>
          <w:color w:val="auto"/>
          <w:sz w:val="24"/>
          <w:highlight w:val="none"/>
        </w:rPr>
        <w:t xml:space="preserve">2.3-10 </w:t>
      </w:r>
      <w:r>
        <w:rPr>
          <w:rFonts w:hint="eastAsia"/>
          <w:color w:val="auto"/>
          <w:sz w:val="24"/>
          <w:highlight w:val="none"/>
        </w:rPr>
        <w:t>水污染物排放标准</w:t>
      </w:r>
    </w:p>
    <w:tbl>
      <w:tblPr>
        <w:tblStyle w:val="4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656"/>
        <w:gridCol w:w="3021"/>
        <w:gridCol w:w="2839"/>
      </w:tblGrid>
      <w:tr w14:paraId="59D25E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9" w:type="pct"/>
            <w:noWrap w:val="0"/>
            <w:vAlign w:val="center"/>
          </w:tcPr>
          <w:p w14:paraId="2F862A09">
            <w:pPr>
              <w:pStyle w:val="199"/>
              <w:spacing w:beforeLines="0" w:line="240" w:lineRule="auto"/>
              <w:rPr>
                <w:b w:val="0"/>
                <w:color w:val="auto"/>
                <w:kern w:val="0"/>
                <w:highlight w:val="none"/>
              </w:rPr>
            </w:pPr>
            <w:r>
              <w:rPr>
                <w:rFonts w:hint="eastAsia"/>
                <w:b w:val="0"/>
                <w:color w:val="auto"/>
                <w:kern w:val="0"/>
                <w:highlight w:val="none"/>
              </w:rPr>
              <w:t>项目</w:t>
            </w:r>
          </w:p>
        </w:tc>
        <w:tc>
          <w:tcPr>
            <w:tcW w:w="1773" w:type="pct"/>
            <w:noWrap w:val="0"/>
            <w:vAlign w:val="center"/>
          </w:tcPr>
          <w:p w14:paraId="1643931B">
            <w:pPr>
              <w:pStyle w:val="199"/>
              <w:spacing w:beforeLines="0" w:line="240" w:lineRule="auto"/>
              <w:rPr>
                <w:b w:val="0"/>
                <w:color w:val="auto"/>
                <w:kern w:val="0"/>
                <w:highlight w:val="none"/>
              </w:rPr>
            </w:pPr>
            <w:r>
              <w:rPr>
                <w:b w:val="0"/>
                <w:color w:val="auto"/>
                <w:kern w:val="0"/>
                <w:highlight w:val="none"/>
              </w:rPr>
              <w:t>单位</w:t>
            </w:r>
          </w:p>
        </w:tc>
        <w:tc>
          <w:tcPr>
            <w:tcW w:w="1666" w:type="pct"/>
            <w:noWrap w:val="0"/>
            <w:vAlign w:val="center"/>
          </w:tcPr>
          <w:p w14:paraId="55ED9B08">
            <w:pPr>
              <w:pStyle w:val="199"/>
              <w:spacing w:before="120" w:line="240" w:lineRule="auto"/>
              <w:rPr>
                <w:b w:val="0"/>
                <w:color w:val="auto"/>
                <w:kern w:val="0"/>
                <w:highlight w:val="none"/>
              </w:rPr>
            </w:pPr>
            <w:r>
              <w:rPr>
                <w:rFonts w:hint="eastAsia"/>
                <w:b w:val="0"/>
                <w:color w:val="auto"/>
                <w:kern w:val="0"/>
                <w:highlight w:val="none"/>
              </w:rPr>
              <w:t>（</w:t>
            </w:r>
            <w:r>
              <w:rPr>
                <w:b w:val="0"/>
                <w:color w:val="auto"/>
                <w:kern w:val="0"/>
                <w:highlight w:val="none"/>
              </w:rPr>
              <w:t>GB8978-1996</w:t>
            </w:r>
            <w:r>
              <w:rPr>
                <w:rFonts w:hint="eastAsia"/>
                <w:b w:val="0"/>
                <w:color w:val="auto"/>
                <w:kern w:val="0"/>
                <w:highlight w:val="none"/>
              </w:rPr>
              <w:t>）</w:t>
            </w:r>
          </w:p>
          <w:p w14:paraId="1982023B">
            <w:pPr>
              <w:pStyle w:val="199"/>
              <w:spacing w:before="120" w:line="240" w:lineRule="auto"/>
              <w:rPr>
                <w:b w:val="0"/>
                <w:color w:val="auto"/>
                <w:kern w:val="0"/>
                <w:highlight w:val="none"/>
              </w:rPr>
            </w:pPr>
            <w:r>
              <w:rPr>
                <w:rFonts w:hint="eastAsia"/>
                <w:b w:val="0"/>
                <w:color w:val="auto"/>
                <w:kern w:val="0"/>
                <w:highlight w:val="none"/>
              </w:rPr>
              <w:t>表4三级排放标准</w:t>
            </w:r>
          </w:p>
        </w:tc>
      </w:tr>
      <w:tr w14:paraId="401C5F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9" w:type="pct"/>
            <w:noWrap w:val="0"/>
            <w:vAlign w:val="center"/>
          </w:tcPr>
          <w:p w14:paraId="079996C4">
            <w:pPr>
              <w:pStyle w:val="199"/>
              <w:spacing w:beforeLines="0" w:line="240" w:lineRule="auto"/>
              <w:rPr>
                <w:b w:val="0"/>
                <w:color w:val="auto"/>
                <w:kern w:val="0"/>
                <w:highlight w:val="none"/>
              </w:rPr>
            </w:pPr>
            <w:r>
              <w:rPr>
                <w:b w:val="0"/>
                <w:color w:val="auto"/>
                <w:kern w:val="0"/>
                <w:highlight w:val="none"/>
              </w:rPr>
              <w:t>pH</w:t>
            </w:r>
          </w:p>
        </w:tc>
        <w:tc>
          <w:tcPr>
            <w:tcW w:w="1773" w:type="pct"/>
            <w:noWrap w:val="0"/>
            <w:vAlign w:val="center"/>
          </w:tcPr>
          <w:p w14:paraId="02540CF5">
            <w:pPr>
              <w:pStyle w:val="199"/>
              <w:spacing w:beforeLines="0" w:line="240" w:lineRule="auto"/>
              <w:rPr>
                <w:b w:val="0"/>
                <w:color w:val="auto"/>
                <w:kern w:val="0"/>
                <w:highlight w:val="none"/>
              </w:rPr>
            </w:pPr>
            <w:r>
              <w:rPr>
                <w:b w:val="0"/>
                <w:color w:val="auto"/>
                <w:kern w:val="0"/>
                <w:highlight w:val="none"/>
              </w:rPr>
              <w:t>无量纲</w:t>
            </w:r>
          </w:p>
        </w:tc>
        <w:tc>
          <w:tcPr>
            <w:tcW w:w="1666" w:type="pct"/>
            <w:noWrap w:val="0"/>
            <w:vAlign w:val="center"/>
          </w:tcPr>
          <w:p w14:paraId="675EC9ED">
            <w:pPr>
              <w:pStyle w:val="199"/>
              <w:spacing w:beforeLines="0" w:line="240" w:lineRule="auto"/>
              <w:rPr>
                <w:b w:val="0"/>
                <w:color w:val="auto"/>
                <w:kern w:val="0"/>
                <w:highlight w:val="none"/>
              </w:rPr>
            </w:pPr>
            <w:r>
              <w:rPr>
                <w:b w:val="0"/>
                <w:color w:val="auto"/>
                <w:kern w:val="0"/>
                <w:highlight w:val="none"/>
              </w:rPr>
              <w:t>6~9</w:t>
            </w:r>
          </w:p>
        </w:tc>
      </w:tr>
      <w:tr w14:paraId="646A87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9" w:type="pct"/>
            <w:noWrap w:val="0"/>
            <w:vAlign w:val="center"/>
          </w:tcPr>
          <w:p w14:paraId="13FD47D9">
            <w:pPr>
              <w:pStyle w:val="199"/>
              <w:spacing w:beforeLines="0" w:line="240" w:lineRule="auto"/>
              <w:rPr>
                <w:b w:val="0"/>
                <w:color w:val="auto"/>
                <w:kern w:val="0"/>
                <w:highlight w:val="none"/>
              </w:rPr>
            </w:pPr>
            <w:r>
              <w:rPr>
                <w:b w:val="0"/>
                <w:color w:val="auto"/>
                <w:kern w:val="0"/>
                <w:highlight w:val="none"/>
              </w:rPr>
              <w:t>SS</w:t>
            </w:r>
          </w:p>
        </w:tc>
        <w:tc>
          <w:tcPr>
            <w:tcW w:w="1773" w:type="pct"/>
            <w:noWrap w:val="0"/>
            <w:vAlign w:val="center"/>
          </w:tcPr>
          <w:p w14:paraId="633A0C81">
            <w:pPr>
              <w:pStyle w:val="199"/>
              <w:spacing w:beforeLines="0" w:line="240" w:lineRule="auto"/>
              <w:rPr>
                <w:b w:val="0"/>
                <w:color w:val="auto"/>
                <w:kern w:val="0"/>
                <w:highlight w:val="none"/>
              </w:rPr>
            </w:pPr>
            <w:r>
              <w:rPr>
                <w:b w:val="0"/>
                <w:color w:val="auto"/>
                <w:kern w:val="0"/>
                <w:highlight w:val="none"/>
              </w:rPr>
              <w:t>mg/L</w:t>
            </w:r>
          </w:p>
        </w:tc>
        <w:tc>
          <w:tcPr>
            <w:tcW w:w="1666" w:type="pct"/>
            <w:noWrap w:val="0"/>
            <w:vAlign w:val="center"/>
          </w:tcPr>
          <w:p w14:paraId="76AA3B97">
            <w:pPr>
              <w:pStyle w:val="199"/>
              <w:spacing w:beforeLines="0" w:line="240" w:lineRule="auto"/>
              <w:rPr>
                <w:b w:val="0"/>
                <w:color w:val="auto"/>
                <w:kern w:val="0"/>
                <w:highlight w:val="none"/>
              </w:rPr>
            </w:pPr>
            <w:r>
              <w:rPr>
                <w:b w:val="0"/>
                <w:color w:val="auto"/>
                <w:kern w:val="0"/>
                <w:highlight w:val="none"/>
              </w:rPr>
              <w:t>400</w:t>
            </w:r>
          </w:p>
        </w:tc>
      </w:tr>
      <w:tr w14:paraId="4E45AC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9" w:type="pct"/>
            <w:noWrap w:val="0"/>
            <w:vAlign w:val="center"/>
          </w:tcPr>
          <w:p w14:paraId="0CDD410D">
            <w:pPr>
              <w:pStyle w:val="199"/>
              <w:spacing w:beforeLines="0" w:line="240" w:lineRule="auto"/>
              <w:rPr>
                <w:b w:val="0"/>
                <w:color w:val="auto"/>
                <w:kern w:val="0"/>
                <w:highlight w:val="none"/>
              </w:rPr>
            </w:pPr>
            <w:r>
              <w:rPr>
                <w:b w:val="0"/>
                <w:color w:val="auto"/>
                <w:kern w:val="0"/>
                <w:highlight w:val="none"/>
              </w:rPr>
              <w:t>COD</w:t>
            </w:r>
          </w:p>
        </w:tc>
        <w:tc>
          <w:tcPr>
            <w:tcW w:w="1773" w:type="pct"/>
            <w:noWrap w:val="0"/>
            <w:vAlign w:val="center"/>
          </w:tcPr>
          <w:p w14:paraId="0CA53D3E">
            <w:pPr>
              <w:pStyle w:val="199"/>
              <w:spacing w:beforeLines="0" w:line="240" w:lineRule="auto"/>
              <w:rPr>
                <w:b w:val="0"/>
                <w:color w:val="auto"/>
                <w:kern w:val="0"/>
                <w:highlight w:val="none"/>
              </w:rPr>
            </w:pPr>
            <w:r>
              <w:rPr>
                <w:b w:val="0"/>
                <w:color w:val="auto"/>
                <w:kern w:val="0"/>
                <w:highlight w:val="none"/>
              </w:rPr>
              <w:t>mg/L</w:t>
            </w:r>
          </w:p>
        </w:tc>
        <w:tc>
          <w:tcPr>
            <w:tcW w:w="1666" w:type="pct"/>
            <w:noWrap w:val="0"/>
            <w:vAlign w:val="center"/>
          </w:tcPr>
          <w:p w14:paraId="58E4ED4E">
            <w:pPr>
              <w:pStyle w:val="199"/>
              <w:spacing w:beforeLines="0" w:line="240" w:lineRule="auto"/>
              <w:rPr>
                <w:b w:val="0"/>
                <w:color w:val="auto"/>
                <w:kern w:val="0"/>
                <w:highlight w:val="none"/>
              </w:rPr>
            </w:pPr>
            <w:r>
              <w:rPr>
                <w:b w:val="0"/>
                <w:color w:val="auto"/>
                <w:kern w:val="0"/>
                <w:highlight w:val="none"/>
              </w:rPr>
              <w:t>500</w:t>
            </w:r>
          </w:p>
        </w:tc>
      </w:tr>
      <w:tr w14:paraId="6433CC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9" w:type="pct"/>
            <w:noWrap w:val="0"/>
            <w:vAlign w:val="center"/>
          </w:tcPr>
          <w:p w14:paraId="7CE3F1C9">
            <w:pPr>
              <w:pStyle w:val="199"/>
              <w:spacing w:beforeLines="0" w:line="240" w:lineRule="auto"/>
              <w:rPr>
                <w:b w:val="0"/>
                <w:color w:val="auto"/>
                <w:kern w:val="0"/>
                <w:highlight w:val="none"/>
              </w:rPr>
            </w:pPr>
            <w:r>
              <w:rPr>
                <w:b w:val="0"/>
                <w:color w:val="auto"/>
                <w:kern w:val="0"/>
                <w:highlight w:val="none"/>
              </w:rPr>
              <w:t>BOD</w:t>
            </w:r>
            <w:r>
              <w:rPr>
                <w:rFonts w:hint="eastAsia"/>
                <w:b w:val="0"/>
                <w:color w:val="auto"/>
                <w:kern w:val="0"/>
                <w:highlight w:val="none"/>
                <w:vertAlign w:val="subscript"/>
              </w:rPr>
              <w:t>5</w:t>
            </w:r>
          </w:p>
        </w:tc>
        <w:tc>
          <w:tcPr>
            <w:tcW w:w="1773" w:type="pct"/>
            <w:noWrap w:val="0"/>
            <w:vAlign w:val="center"/>
          </w:tcPr>
          <w:p w14:paraId="1EBE7722">
            <w:pPr>
              <w:pStyle w:val="199"/>
              <w:spacing w:beforeLines="0" w:line="240" w:lineRule="auto"/>
              <w:rPr>
                <w:b w:val="0"/>
                <w:color w:val="auto"/>
                <w:kern w:val="0"/>
                <w:highlight w:val="none"/>
              </w:rPr>
            </w:pPr>
            <w:r>
              <w:rPr>
                <w:b w:val="0"/>
                <w:color w:val="auto"/>
                <w:kern w:val="0"/>
                <w:highlight w:val="none"/>
              </w:rPr>
              <w:t>mg/L</w:t>
            </w:r>
          </w:p>
        </w:tc>
        <w:tc>
          <w:tcPr>
            <w:tcW w:w="1666" w:type="pct"/>
            <w:noWrap w:val="0"/>
            <w:vAlign w:val="center"/>
          </w:tcPr>
          <w:p w14:paraId="4AB369DE">
            <w:pPr>
              <w:pStyle w:val="199"/>
              <w:spacing w:beforeLines="0" w:line="240" w:lineRule="auto"/>
              <w:rPr>
                <w:b w:val="0"/>
                <w:color w:val="auto"/>
                <w:kern w:val="0"/>
                <w:highlight w:val="none"/>
              </w:rPr>
            </w:pPr>
            <w:r>
              <w:rPr>
                <w:b w:val="0"/>
                <w:color w:val="auto"/>
                <w:kern w:val="0"/>
                <w:highlight w:val="none"/>
              </w:rPr>
              <w:t>300</w:t>
            </w:r>
          </w:p>
        </w:tc>
      </w:tr>
      <w:tr w14:paraId="17047C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9" w:type="pct"/>
            <w:noWrap w:val="0"/>
            <w:vAlign w:val="center"/>
          </w:tcPr>
          <w:p w14:paraId="7F93246B">
            <w:pPr>
              <w:pStyle w:val="199"/>
              <w:spacing w:beforeLines="0" w:line="240" w:lineRule="auto"/>
              <w:rPr>
                <w:b w:val="0"/>
                <w:color w:val="auto"/>
                <w:kern w:val="0"/>
                <w:highlight w:val="none"/>
              </w:rPr>
            </w:pPr>
            <w:r>
              <w:rPr>
                <w:b w:val="0"/>
                <w:color w:val="auto"/>
                <w:kern w:val="0"/>
                <w:highlight w:val="none"/>
              </w:rPr>
              <w:t>NH</w:t>
            </w:r>
            <w:r>
              <w:rPr>
                <w:b w:val="0"/>
                <w:color w:val="auto"/>
                <w:kern w:val="0"/>
                <w:highlight w:val="none"/>
                <w:vertAlign w:val="subscript"/>
              </w:rPr>
              <w:t>3-</w:t>
            </w:r>
            <w:r>
              <w:rPr>
                <w:b w:val="0"/>
                <w:color w:val="auto"/>
                <w:kern w:val="0"/>
                <w:highlight w:val="none"/>
              </w:rPr>
              <w:t>N</w:t>
            </w:r>
          </w:p>
        </w:tc>
        <w:tc>
          <w:tcPr>
            <w:tcW w:w="1773" w:type="pct"/>
            <w:noWrap w:val="0"/>
            <w:vAlign w:val="center"/>
          </w:tcPr>
          <w:p w14:paraId="232795AD">
            <w:pPr>
              <w:pStyle w:val="199"/>
              <w:spacing w:beforeLines="0" w:line="240" w:lineRule="auto"/>
              <w:rPr>
                <w:b w:val="0"/>
                <w:color w:val="auto"/>
                <w:kern w:val="0"/>
                <w:highlight w:val="none"/>
              </w:rPr>
            </w:pPr>
            <w:r>
              <w:rPr>
                <w:b w:val="0"/>
                <w:color w:val="auto"/>
                <w:kern w:val="0"/>
                <w:highlight w:val="none"/>
              </w:rPr>
              <w:t>mg/L</w:t>
            </w:r>
          </w:p>
        </w:tc>
        <w:tc>
          <w:tcPr>
            <w:tcW w:w="1666" w:type="pct"/>
            <w:noWrap w:val="0"/>
            <w:vAlign w:val="center"/>
          </w:tcPr>
          <w:p w14:paraId="5A25B9F1">
            <w:pPr>
              <w:pStyle w:val="199"/>
              <w:spacing w:beforeLines="0" w:line="240" w:lineRule="auto"/>
              <w:rPr>
                <w:b w:val="0"/>
                <w:color w:val="auto"/>
                <w:kern w:val="0"/>
                <w:highlight w:val="none"/>
              </w:rPr>
            </w:pPr>
            <w:r>
              <w:rPr>
                <w:b w:val="0"/>
                <w:color w:val="auto"/>
                <w:kern w:val="0"/>
                <w:highlight w:val="none"/>
              </w:rPr>
              <w:t>-</w:t>
            </w:r>
          </w:p>
        </w:tc>
      </w:tr>
      <w:tr w14:paraId="680BAB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9" w:type="pct"/>
            <w:noWrap w:val="0"/>
            <w:vAlign w:val="center"/>
          </w:tcPr>
          <w:p w14:paraId="1BE219FB">
            <w:pPr>
              <w:pStyle w:val="199"/>
              <w:spacing w:beforeLines="0" w:line="240" w:lineRule="auto"/>
              <w:rPr>
                <w:b w:val="0"/>
                <w:color w:val="auto"/>
                <w:kern w:val="0"/>
                <w:highlight w:val="none"/>
              </w:rPr>
            </w:pPr>
            <w:r>
              <w:rPr>
                <w:b w:val="0"/>
                <w:color w:val="auto"/>
                <w:kern w:val="0"/>
                <w:highlight w:val="none"/>
              </w:rPr>
              <w:t>TP</w:t>
            </w:r>
          </w:p>
        </w:tc>
        <w:tc>
          <w:tcPr>
            <w:tcW w:w="1773" w:type="pct"/>
            <w:noWrap w:val="0"/>
            <w:vAlign w:val="center"/>
          </w:tcPr>
          <w:p w14:paraId="3EA4020E">
            <w:pPr>
              <w:pStyle w:val="199"/>
              <w:spacing w:beforeLines="0" w:line="240" w:lineRule="auto"/>
              <w:rPr>
                <w:b w:val="0"/>
                <w:color w:val="auto"/>
                <w:kern w:val="0"/>
                <w:highlight w:val="none"/>
              </w:rPr>
            </w:pPr>
            <w:r>
              <w:rPr>
                <w:b w:val="0"/>
                <w:color w:val="auto"/>
                <w:kern w:val="0"/>
                <w:highlight w:val="none"/>
              </w:rPr>
              <w:t>mg/L</w:t>
            </w:r>
          </w:p>
        </w:tc>
        <w:tc>
          <w:tcPr>
            <w:tcW w:w="1666" w:type="pct"/>
            <w:noWrap w:val="0"/>
            <w:vAlign w:val="center"/>
          </w:tcPr>
          <w:p w14:paraId="1A1C5DBE">
            <w:pPr>
              <w:pStyle w:val="199"/>
              <w:spacing w:beforeLines="0" w:line="240" w:lineRule="auto"/>
              <w:rPr>
                <w:b w:val="0"/>
                <w:color w:val="auto"/>
                <w:kern w:val="0"/>
                <w:highlight w:val="none"/>
              </w:rPr>
            </w:pPr>
            <w:r>
              <w:rPr>
                <w:b w:val="0"/>
                <w:color w:val="auto"/>
                <w:kern w:val="0"/>
                <w:highlight w:val="none"/>
              </w:rPr>
              <w:t>-</w:t>
            </w:r>
          </w:p>
        </w:tc>
      </w:tr>
      <w:tr w14:paraId="4E2DA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59" w:type="pct"/>
            <w:noWrap w:val="0"/>
            <w:vAlign w:val="center"/>
          </w:tcPr>
          <w:p w14:paraId="2817A339">
            <w:pPr>
              <w:pStyle w:val="199"/>
              <w:spacing w:beforeLines="0" w:line="240" w:lineRule="auto"/>
              <w:rPr>
                <w:b w:val="0"/>
                <w:color w:val="auto"/>
                <w:kern w:val="0"/>
                <w:highlight w:val="none"/>
              </w:rPr>
            </w:pPr>
            <w:r>
              <w:rPr>
                <w:b w:val="0"/>
                <w:color w:val="auto"/>
                <w:kern w:val="0"/>
                <w:highlight w:val="none"/>
              </w:rPr>
              <w:t>TN</w:t>
            </w:r>
          </w:p>
        </w:tc>
        <w:tc>
          <w:tcPr>
            <w:tcW w:w="1773" w:type="pct"/>
            <w:noWrap w:val="0"/>
            <w:vAlign w:val="center"/>
          </w:tcPr>
          <w:p w14:paraId="0EC6734D">
            <w:pPr>
              <w:pStyle w:val="199"/>
              <w:spacing w:beforeLines="0" w:line="240" w:lineRule="auto"/>
              <w:rPr>
                <w:b w:val="0"/>
                <w:color w:val="auto"/>
                <w:kern w:val="0"/>
                <w:highlight w:val="none"/>
              </w:rPr>
            </w:pPr>
            <w:r>
              <w:rPr>
                <w:b w:val="0"/>
                <w:color w:val="auto"/>
                <w:kern w:val="0"/>
                <w:highlight w:val="none"/>
              </w:rPr>
              <w:t>mg/L</w:t>
            </w:r>
          </w:p>
        </w:tc>
        <w:tc>
          <w:tcPr>
            <w:tcW w:w="1666" w:type="pct"/>
            <w:noWrap w:val="0"/>
            <w:vAlign w:val="center"/>
          </w:tcPr>
          <w:p w14:paraId="1782C7D9">
            <w:pPr>
              <w:pStyle w:val="199"/>
              <w:spacing w:beforeLines="0" w:line="240" w:lineRule="auto"/>
              <w:rPr>
                <w:b w:val="0"/>
                <w:color w:val="auto"/>
                <w:kern w:val="0"/>
                <w:highlight w:val="none"/>
              </w:rPr>
            </w:pPr>
            <w:r>
              <w:rPr>
                <w:b w:val="0"/>
                <w:color w:val="auto"/>
                <w:kern w:val="0"/>
                <w:highlight w:val="none"/>
              </w:rPr>
              <w:t>-</w:t>
            </w:r>
          </w:p>
        </w:tc>
      </w:tr>
    </w:tbl>
    <w:p w14:paraId="0282274B">
      <w:pP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）噪声排放标准</w:t>
      </w:r>
    </w:p>
    <w:p w14:paraId="50A8E3F4">
      <w:pPr>
        <w:ind w:firstLine="480"/>
        <w:rPr>
          <w:color w:val="auto"/>
          <w:highlight w:val="none"/>
        </w:rPr>
      </w:pPr>
      <w:r>
        <w:rPr>
          <w:rFonts w:hint="eastAsia"/>
          <w:color w:val="auto"/>
          <w:highlight w:val="none"/>
        </w:rPr>
        <w:t>本次项目厂址位于声环境</w:t>
      </w:r>
      <w:r>
        <w:rPr>
          <w:color w:val="auto"/>
          <w:highlight w:val="none"/>
        </w:rPr>
        <w:t>3</w:t>
      </w:r>
      <w:r>
        <w:rPr>
          <w:rFonts w:hint="eastAsia"/>
          <w:color w:val="auto"/>
          <w:highlight w:val="none"/>
        </w:rPr>
        <w:t>类功能区，施工期执行《建筑施工场界环境噪声排放标准》（</w:t>
      </w:r>
      <w:r>
        <w:rPr>
          <w:color w:val="auto"/>
          <w:highlight w:val="none"/>
        </w:rPr>
        <w:t>GB12523-2011</w:t>
      </w:r>
      <w:r>
        <w:rPr>
          <w:rFonts w:hint="eastAsia"/>
          <w:color w:val="auto"/>
          <w:highlight w:val="none"/>
        </w:rPr>
        <w:t>）标准，运营期执行《工业企业厂界环境噪声排放标准》（</w:t>
      </w:r>
      <w:r>
        <w:rPr>
          <w:color w:val="auto"/>
          <w:highlight w:val="none"/>
        </w:rPr>
        <w:t>GB12348-2008</w:t>
      </w:r>
      <w:r>
        <w:rPr>
          <w:rFonts w:hint="eastAsia"/>
          <w:color w:val="auto"/>
          <w:highlight w:val="none"/>
        </w:rPr>
        <w:t>）</w:t>
      </w:r>
      <w:r>
        <w:rPr>
          <w:color w:val="auto"/>
          <w:highlight w:val="none"/>
        </w:rPr>
        <w:t>3</w:t>
      </w:r>
      <w:r>
        <w:rPr>
          <w:rFonts w:hint="eastAsia"/>
          <w:color w:val="auto"/>
          <w:highlight w:val="none"/>
        </w:rPr>
        <w:t>类标准。执行的标准见表</w:t>
      </w:r>
      <w:r>
        <w:rPr>
          <w:color w:val="auto"/>
          <w:highlight w:val="none"/>
        </w:rPr>
        <w:t>2.3-</w:t>
      </w:r>
      <w:r>
        <w:rPr>
          <w:rFonts w:hint="eastAsia"/>
          <w:color w:val="auto"/>
          <w:highlight w:val="none"/>
        </w:rPr>
        <w:t>11。</w:t>
      </w:r>
    </w:p>
    <w:p w14:paraId="07D406F5">
      <w:pPr>
        <w:pStyle w:val="206"/>
        <w:spacing w:before="120"/>
        <w:rPr>
          <w:rFonts w:cs="Times New Roman"/>
          <w:color w:val="auto"/>
          <w:sz w:val="24"/>
          <w:szCs w:val="24"/>
          <w:highlight w:val="none"/>
        </w:rPr>
      </w:pPr>
      <w:r>
        <w:rPr>
          <w:rFonts w:hint="eastAsia" w:cs="Times New Roman"/>
          <w:color w:val="auto"/>
          <w:sz w:val="24"/>
          <w:szCs w:val="24"/>
          <w:highlight w:val="none"/>
        </w:rPr>
        <w:t>表</w:t>
      </w:r>
      <w:r>
        <w:rPr>
          <w:rFonts w:cs="Times New Roman"/>
          <w:color w:val="auto"/>
          <w:sz w:val="24"/>
          <w:szCs w:val="24"/>
          <w:highlight w:val="none"/>
        </w:rPr>
        <w:t xml:space="preserve">2.3.2-11  </w:t>
      </w:r>
      <w:r>
        <w:rPr>
          <w:rFonts w:hint="eastAsia" w:cs="Times New Roman"/>
          <w:color w:val="auto"/>
          <w:sz w:val="24"/>
          <w:szCs w:val="24"/>
          <w:highlight w:val="none"/>
        </w:rPr>
        <w:t>噪声评价控制标准</w:t>
      </w:r>
      <w:r>
        <w:rPr>
          <w:rFonts w:cs="Times New Roman"/>
          <w:color w:val="auto"/>
          <w:sz w:val="24"/>
          <w:szCs w:val="24"/>
          <w:highlight w:val="none"/>
        </w:rPr>
        <w:t xml:space="preserve">  </w:t>
      </w:r>
      <w:r>
        <w:rPr>
          <w:rFonts w:hint="eastAsia" w:cs="Times New Roman"/>
          <w:color w:val="auto"/>
          <w:sz w:val="24"/>
          <w:szCs w:val="24"/>
          <w:highlight w:val="none"/>
        </w:rPr>
        <w:t>单位：</w:t>
      </w:r>
      <w:r>
        <w:rPr>
          <w:color w:val="auto"/>
          <w:sz w:val="24"/>
          <w:szCs w:val="24"/>
          <w:highlight w:val="none"/>
        </w:rPr>
        <w:t>dB</w:t>
      </w:r>
      <w:r>
        <w:rPr>
          <w:rFonts w:hint="eastAsia"/>
          <w:color w:val="auto"/>
          <w:sz w:val="24"/>
          <w:szCs w:val="24"/>
          <w:highlight w:val="none"/>
        </w:rPr>
        <w:t>（</w:t>
      </w:r>
      <w:r>
        <w:rPr>
          <w:color w:val="auto"/>
          <w:sz w:val="24"/>
          <w:szCs w:val="24"/>
          <w:highlight w:val="none"/>
        </w:rPr>
        <w:t>A</w:t>
      </w:r>
      <w:r>
        <w:rPr>
          <w:rFonts w:hint="eastAsia"/>
          <w:color w:val="auto"/>
          <w:sz w:val="24"/>
          <w:szCs w:val="24"/>
          <w:highlight w:val="none"/>
        </w:rPr>
        <w:t>）</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257"/>
        <w:gridCol w:w="1075"/>
        <w:gridCol w:w="1256"/>
        <w:gridCol w:w="3624"/>
      </w:tblGrid>
      <w:tr w14:paraId="39347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vMerge w:val="restart"/>
            <w:noWrap w:val="0"/>
            <w:vAlign w:val="center"/>
          </w:tcPr>
          <w:p w14:paraId="7A630C16">
            <w:pPr>
              <w:pStyle w:val="189"/>
              <w:rPr>
                <w:color w:val="auto"/>
                <w:highlight w:val="none"/>
              </w:rPr>
            </w:pPr>
            <w:r>
              <w:rPr>
                <w:rFonts w:hint="eastAsia"/>
                <w:color w:val="auto"/>
                <w:highlight w:val="none"/>
              </w:rPr>
              <w:t>评价区域</w:t>
            </w:r>
          </w:p>
        </w:tc>
        <w:tc>
          <w:tcPr>
            <w:tcW w:w="1257" w:type="dxa"/>
            <w:vMerge w:val="restart"/>
            <w:noWrap w:val="0"/>
            <w:vAlign w:val="center"/>
          </w:tcPr>
          <w:p w14:paraId="048CC92E">
            <w:pPr>
              <w:pStyle w:val="189"/>
              <w:rPr>
                <w:color w:val="auto"/>
                <w:highlight w:val="none"/>
              </w:rPr>
            </w:pPr>
            <w:r>
              <w:rPr>
                <w:rFonts w:hint="eastAsia"/>
                <w:color w:val="auto"/>
                <w:highlight w:val="none"/>
              </w:rPr>
              <w:t>类别</w:t>
            </w:r>
          </w:p>
        </w:tc>
        <w:tc>
          <w:tcPr>
            <w:tcW w:w="2331" w:type="dxa"/>
            <w:gridSpan w:val="2"/>
            <w:noWrap w:val="0"/>
            <w:vAlign w:val="center"/>
          </w:tcPr>
          <w:p w14:paraId="21E857F9">
            <w:pPr>
              <w:pStyle w:val="189"/>
              <w:rPr>
                <w:color w:val="auto"/>
                <w:highlight w:val="none"/>
              </w:rPr>
            </w:pPr>
            <w:r>
              <w:rPr>
                <w:rFonts w:hint="eastAsia"/>
                <w:color w:val="auto"/>
                <w:highlight w:val="none"/>
              </w:rPr>
              <w:t>标准值</w:t>
            </w:r>
          </w:p>
        </w:tc>
        <w:tc>
          <w:tcPr>
            <w:tcW w:w="3624" w:type="dxa"/>
            <w:vMerge w:val="restart"/>
            <w:noWrap w:val="0"/>
            <w:vAlign w:val="center"/>
          </w:tcPr>
          <w:p w14:paraId="3C92ED17">
            <w:pPr>
              <w:pStyle w:val="189"/>
              <w:rPr>
                <w:color w:val="auto"/>
                <w:highlight w:val="none"/>
              </w:rPr>
            </w:pPr>
            <w:r>
              <w:rPr>
                <w:rFonts w:hint="eastAsia"/>
                <w:color w:val="auto"/>
                <w:highlight w:val="none"/>
              </w:rPr>
              <w:t>标准来源</w:t>
            </w:r>
          </w:p>
        </w:tc>
      </w:tr>
      <w:tr w14:paraId="70118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vMerge w:val="continue"/>
            <w:noWrap w:val="0"/>
            <w:vAlign w:val="center"/>
          </w:tcPr>
          <w:p w14:paraId="4E9E4E58">
            <w:pPr>
              <w:pStyle w:val="189"/>
              <w:rPr>
                <w:color w:val="auto"/>
                <w:highlight w:val="none"/>
              </w:rPr>
            </w:pPr>
          </w:p>
        </w:tc>
        <w:tc>
          <w:tcPr>
            <w:tcW w:w="1257" w:type="dxa"/>
            <w:vMerge w:val="continue"/>
            <w:noWrap w:val="0"/>
            <w:vAlign w:val="center"/>
          </w:tcPr>
          <w:p w14:paraId="20D6645B">
            <w:pPr>
              <w:pStyle w:val="189"/>
              <w:rPr>
                <w:color w:val="auto"/>
                <w:highlight w:val="none"/>
              </w:rPr>
            </w:pPr>
          </w:p>
        </w:tc>
        <w:tc>
          <w:tcPr>
            <w:tcW w:w="1075" w:type="dxa"/>
            <w:noWrap w:val="0"/>
            <w:vAlign w:val="center"/>
          </w:tcPr>
          <w:p w14:paraId="033E182F">
            <w:pPr>
              <w:pStyle w:val="189"/>
              <w:rPr>
                <w:color w:val="auto"/>
                <w:highlight w:val="none"/>
              </w:rPr>
            </w:pPr>
            <w:r>
              <w:rPr>
                <w:rFonts w:hint="eastAsia"/>
                <w:color w:val="auto"/>
                <w:highlight w:val="none"/>
              </w:rPr>
              <w:t>昼间</w:t>
            </w:r>
          </w:p>
        </w:tc>
        <w:tc>
          <w:tcPr>
            <w:tcW w:w="1256" w:type="dxa"/>
            <w:noWrap w:val="0"/>
            <w:vAlign w:val="center"/>
          </w:tcPr>
          <w:p w14:paraId="17D9EA70">
            <w:pPr>
              <w:pStyle w:val="189"/>
              <w:rPr>
                <w:color w:val="auto"/>
                <w:highlight w:val="none"/>
              </w:rPr>
            </w:pPr>
            <w:r>
              <w:rPr>
                <w:rFonts w:hint="eastAsia"/>
                <w:color w:val="auto"/>
                <w:highlight w:val="none"/>
              </w:rPr>
              <w:t>夜间</w:t>
            </w:r>
          </w:p>
        </w:tc>
        <w:tc>
          <w:tcPr>
            <w:tcW w:w="3624" w:type="dxa"/>
            <w:vMerge w:val="continue"/>
            <w:noWrap w:val="0"/>
            <w:vAlign w:val="center"/>
          </w:tcPr>
          <w:p w14:paraId="66F0F395">
            <w:pPr>
              <w:pStyle w:val="189"/>
              <w:rPr>
                <w:color w:val="auto"/>
                <w:highlight w:val="none"/>
              </w:rPr>
            </w:pPr>
          </w:p>
        </w:tc>
      </w:tr>
      <w:tr w14:paraId="1FDEC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noWrap w:val="0"/>
            <w:vAlign w:val="center"/>
          </w:tcPr>
          <w:p w14:paraId="25676CBE">
            <w:pPr>
              <w:pStyle w:val="189"/>
              <w:rPr>
                <w:color w:val="auto"/>
                <w:highlight w:val="none"/>
              </w:rPr>
            </w:pPr>
            <w:r>
              <w:rPr>
                <w:rFonts w:hint="eastAsia"/>
                <w:color w:val="auto"/>
                <w:highlight w:val="none"/>
              </w:rPr>
              <w:t>施工区</w:t>
            </w:r>
          </w:p>
        </w:tc>
        <w:tc>
          <w:tcPr>
            <w:tcW w:w="1257" w:type="dxa"/>
            <w:noWrap w:val="0"/>
            <w:vAlign w:val="center"/>
          </w:tcPr>
          <w:p w14:paraId="61B68C25">
            <w:pPr>
              <w:pStyle w:val="189"/>
              <w:rPr>
                <w:color w:val="auto"/>
                <w:highlight w:val="none"/>
              </w:rPr>
            </w:pPr>
            <w:r>
              <w:rPr>
                <w:color w:val="auto"/>
                <w:highlight w:val="none"/>
              </w:rPr>
              <w:t>--</w:t>
            </w:r>
          </w:p>
        </w:tc>
        <w:tc>
          <w:tcPr>
            <w:tcW w:w="1075" w:type="dxa"/>
            <w:noWrap w:val="0"/>
            <w:vAlign w:val="center"/>
          </w:tcPr>
          <w:p w14:paraId="2DDEC3BE">
            <w:pPr>
              <w:pStyle w:val="189"/>
              <w:rPr>
                <w:color w:val="auto"/>
                <w:highlight w:val="none"/>
              </w:rPr>
            </w:pPr>
            <w:r>
              <w:rPr>
                <w:color w:val="auto"/>
                <w:highlight w:val="none"/>
              </w:rPr>
              <w:t>70</w:t>
            </w:r>
          </w:p>
        </w:tc>
        <w:tc>
          <w:tcPr>
            <w:tcW w:w="1256" w:type="dxa"/>
            <w:noWrap w:val="0"/>
            <w:vAlign w:val="center"/>
          </w:tcPr>
          <w:p w14:paraId="1EFF3888">
            <w:pPr>
              <w:pStyle w:val="189"/>
              <w:rPr>
                <w:color w:val="auto"/>
                <w:highlight w:val="none"/>
              </w:rPr>
            </w:pPr>
            <w:r>
              <w:rPr>
                <w:color w:val="auto"/>
                <w:highlight w:val="none"/>
              </w:rPr>
              <w:t>55</w:t>
            </w:r>
          </w:p>
        </w:tc>
        <w:tc>
          <w:tcPr>
            <w:tcW w:w="3624" w:type="dxa"/>
            <w:noWrap w:val="0"/>
            <w:vAlign w:val="center"/>
          </w:tcPr>
          <w:p w14:paraId="01D4BC65">
            <w:pPr>
              <w:pStyle w:val="189"/>
              <w:rPr>
                <w:color w:val="auto"/>
                <w:highlight w:val="none"/>
              </w:rPr>
            </w:pPr>
            <w:r>
              <w:rPr>
                <w:rFonts w:hint="eastAsia"/>
                <w:color w:val="auto"/>
                <w:highlight w:val="none"/>
              </w:rPr>
              <w:t>《建筑施工场界环境噪声排放标准》（</w:t>
            </w:r>
            <w:r>
              <w:rPr>
                <w:color w:val="auto"/>
                <w:highlight w:val="none"/>
              </w:rPr>
              <w:t>GB12523-2011</w:t>
            </w:r>
            <w:r>
              <w:rPr>
                <w:rFonts w:hint="eastAsia"/>
                <w:color w:val="auto"/>
                <w:highlight w:val="none"/>
              </w:rPr>
              <w:t>）</w:t>
            </w:r>
          </w:p>
        </w:tc>
      </w:tr>
      <w:tr w14:paraId="38855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noWrap w:val="0"/>
            <w:vAlign w:val="center"/>
          </w:tcPr>
          <w:p w14:paraId="6B248716">
            <w:pPr>
              <w:pStyle w:val="189"/>
              <w:rPr>
                <w:color w:val="auto"/>
                <w:highlight w:val="none"/>
              </w:rPr>
            </w:pPr>
            <w:r>
              <w:rPr>
                <w:rFonts w:hint="eastAsia"/>
                <w:color w:val="auto"/>
                <w:highlight w:val="none"/>
              </w:rPr>
              <w:t>厂界</w:t>
            </w:r>
          </w:p>
        </w:tc>
        <w:tc>
          <w:tcPr>
            <w:tcW w:w="1257" w:type="dxa"/>
            <w:noWrap w:val="0"/>
            <w:vAlign w:val="center"/>
          </w:tcPr>
          <w:p w14:paraId="151DA9D1">
            <w:pPr>
              <w:pStyle w:val="189"/>
              <w:rPr>
                <w:color w:val="auto"/>
                <w:highlight w:val="none"/>
              </w:rPr>
            </w:pPr>
            <w:r>
              <w:rPr>
                <w:color w:val="auto"/>
                <w:highlight w:val="none"/>
              </w:rPr>
              <w:t>3</w:t>
            </w:r>
            <w:r>
              <w:rPr>
                <w:rFonts w:hint="eastAsia"/>
                <w:color w:val="auto"/>
                <w:highlight w:val="none"/>
              </w:rPr>
              <w:t>类</w:t>
            </w:r>
          </w:p>
        </w:tc>
        <w:tc>
          <w:tcPr>
            <w:tcW w:w="1075" w:type="dxa"/>
            <w:noWrap w:val="0"/>
            <w:vAlign w:val="center"/>
          </w:tcPr>
          <w:p w14:paraId="04D4C714">
            <w:pPr>
              <w:pStyle w:val="189"/>
              <w:rPr>
                <w:color w:val="auto"/>
                <w:highlight w:val="none"/>
              </w:rPr>
            </w:pPr>
            <w:r>
              <w:rPr>
                <w:color w:val="auto"/>
                <w:highlight w:val="none"/>
              </w:rPr>
              <w:t>65</w:t>
            </w:r>
          </w:p>
        </w:tc>
        <w:tc>
          <w:tcPr>
            <w:tcW w:w="1256" w:type="dxa"/>
            <w:noWrap w:val="0"/>
            <w:vAlign w:val="center"/>
          </w:tcPr>
          <w:p w14:paraId="0D140387">
            <w:pPr>
              <w:pStyle w:val="189"/>
              <w:rPr>
                <w:color w:val="auto"/>
                <w:highlight w:val="none"/>
              </w:rPr>
            </w:pPr>
            <w:r>
              <w:rPr>
                <w:color w:val="auto"/>
                <w:highlight w:val="none"/>
              </w:rPr>
              <w:t>55</w:t>
            </w:r>
          </w:p>
        </w:tc>
        <w:tc>
          <w:tcPr>
            <w:tcW w:w="3624" w:type="dxa"/>
            <w:noWrap w:val="0"/>
            <w:vAlign w:val="center"/>
          </w:tcPr>
          <w:p w14:paraId="055157F5">
            <w:pPr>
              <w:pStyle w:val="189"/>
              <w:rPr>
                <w:color w:val="auto"/>
                <w:highlight w:val="none"/>
              </w:rPr>
            </w:pPr>
            <w:r>
              <w:rPr>
                <w:rFonts w:hint="eastAsia"/>
                <w:color w:val="auto"/>
                <w:highlight w:val="none"/>
              </w:rPr>
              <w:t>《工业企业厂界环境噪声排放标准》</w:t>
            </w:r>
          </w:p>
          <w:p w14:paraId="7D31E517">
            <w:pPr>
              <w:pStyle w:val="189"/>
              <w:rPr>
                <w:color w:val="auto"/>
                <w:highlight w:val="none"/>
              </w:rPr>
            </w:pPr>
            <w:r>
              <w:rPr>
                <w:rFonts w:hint="eastAsia"/>
                <w:color w:val="auto"/>
                <w:highlight w:val="none"/>
              </w:rPr>
              <w:t>（</w:t>
            </w:r>
            <w:r>
              <w:rPr>
                <w:color w:val="auto"/>
                <w:highlight w:val="none"/>
              </w:rPr>
              <w:t>GB12348-2008</w:t>
            </w:r>
            <w:r>
              <w:rPr>
                <w:rFonts w:hint="eastAsia"/>
                <w:color w:val="auto"/>
                <w:highlight w:val="none"/>
              </w:rPr>
              <w:t>）</w:t>
            </w:r>
          </w:p>
        </w:tc>
      </w:tr>
    </w:tbl>
    <w:p w14:paraId="56DD72A5">
      <w:pPr>
        <w:pStyle w:val="181"/>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）固体废物评价标准</w:t>
      </w:r>
    </w:p>
    <w:p w14:paraId="3EE64407">
      <w:pPr>
        <w:pStyle w:val="181"/>
        <w:ind w:firstLine="480"/>
        <w:rPr>
          <w:color w:val="auto"/>
          <w:highlight w:val="none"/>
        </w:rPr>
      </w:pPr>
      <w:r>
        <w:rPr>
          <w:rFonts w:hint="eastAsia"/>
          <w:color w:val="auto"/>
          <w:highlight w:val="none"/>
          <w:lang w:val="en-US" w:eastAsia="zh-CN"/>
        </w:rPr>
        <w:t>本项目各类固体废物厂内暂存及处置</w:t>
      </w:r>
      <w:r>
        <w:rPr>
          <w:color w:val="auto"/>
          <w:highlight w:val="none"/>
          <w:lang w:val="zh-CN"/>
        </w:rPr>
        <w:t>执行《一般工业固体废物贮存和填埋污染控制标准》（GB18599-2020）</w:t>
      </w:r>
      <w:r>
        <w:rPr>
          <w:rFonts w:hint="eastAsia"/>
          <w:color w:val="auto"/>
          <w:highlight w:val="none"/>
          <w:lang w:val="en-US" w:eastAsia="zh-CN"/>
        </w:rPr>
        <w:t>和</w:t>
      </w:r>
      <w:r>
        <w:rPr>
          <w:color w:val="auto"/>
          <w:highlight w:val="none"/>
          <w:lang w:val="zh-CN"/>
        </w:rPr>
        <w:t>《危险废物贮存污染控制标准》（GB18597-2023）。</w:t>
      </w:r>
    </w:p>
    <w:p w14:paraId="6C5C4235">
      <w:pPr>
        <w:pStyle w:val="4"/>
        <w:spacing w:before="120" w:after="120"/>
        <w:rPr>
          <w:color w:val="auto"/>
          <w:highlight w:val="none"/>
        </w:rPr>
      </w:pPr>
      <w:bookmarkStart w:id="51" w:name="_Toc24340209"/>
      <w:bookmarkStart w:id="52" w:name="_Toc24447604"/>
      <w:bookmarkStart w:id="53" w:name="_Toc24447066"/>
      <w:bookmarkStart w:id="54" w:name="_Toc25358"/>
      <w:r>
        <w:rPr>
          <w:rFonts w:hint="eastAsia"/>
          <w:color w:val="auto"/>
          <w:highlight w:val="none"/>
        </w:rPr>
        <w:t>评价工作等级及评价范围</w:t>
      </w:r>
      <w:bookmarkEnd w:id="51"/>
      <w:bookmarkEnd w:id="52"/>
      <w:bookmarkEnd w:id="53"/>
      <w:bookmarkEnd w:id="54"/>
    </w:p>
    <w:p w14:paraId="2195A79F">
      <w:pPr>
        <w:pStyle w:val="5"/>
        <w:rPr>
          <w:color w:val="auto"/>
          <w:highlight w:val="none"/>
        </w:rPr>
      </w:pPr>
      <w:bookmarkStart w:id="55" w:name="_Toc24447069"/>
      <w:r>
        <w:rPr>
          <w:rFonts w:hint="eastAsia"/>
          <w:color w:val="auto"/>
          <w:highlight w:val="none"/>
        </w:rPr>
        <w:t>大气环境影响评价</w:t>
      </w:r>
      <w:bookmarkEnd w:id="55"/>
    </w:p>
    <w:p w14:paraId="1FEDEBB8">
      <w:pPr>
        <w:overflowPunct w:val="0"/>
        <w:ind w:firstLine="480"/>
        <w:rPr>
          <w:color w:val="auto"/>
          <w:highlight w:val="none"/>
        </w:rPr>
      </w:pPr>
      <w:r>
        <w:rPr>
          <w:rFonts w:hint="eastAsia"/>
          <w:color w:val="auto"/>
          <w:highlight w:val="none"/>
        </w:rPr>
        <w:t>（1）评价等级判定</w:t>
      </w:r>
    </w:p>
    <w:p w14:paraId="4BA0BCF7">
      <w:pPr>
        <w:overflowPunct w:val="0"/>
        <w:ind w:firstLine="480"/>
        <w:rPr>
          <w:color w:val="auto"/>
          <w:highlight w:val="none"/>
        </w:rPr>
      </w:pPr>
      <w:r>
        <w:rPr>
          <w:color w:val="auto"/>
          <w:highlight w:val="none"/>
        </w:rPr>
        <w:t>根据《环境影响评价技术导则－大气环境》（HJ2.2-2018）中规定，</w:t>
      </w:r>
      <w:r>
        <w:rPr>
          <w:rFonts w:hint="eastAsia"/>
          <w:color w:val="auto"/>
          <w:highlight w:val="none"/>
        </w:rPr>
        <w:t>根据项目污染源初步调查结果，分别计算项目排放主要污染物的最大地面空气质量浓度占标率P</w:t>
      </w:r>
      <w:r>
        <w:rPr>
          <w:rFonts w:hint="eastAsia"/>
          <w:color w:val="auto"/>
          <w:highlight w:val="none"/>
          <w:vertAlign w:val="subscript"/>
        </w:rPr>
        <w:t>i</w:t>
      </w:r>
      <w:r>
        <w:rPr>
          <w:rFonts w:hint="eastAsia"/>
          <w:color w:val="auto"/>
          <w:highlight w:val="none"/>
        </w:rPr>
        <w:t>（第i个污染物，简称“最大浓度占标率”），及</w:t>
      </w:r>
      <w:r>
        <w:rPr>
          <w:color w:val="auto"/>
          <w:highlight w:val="none"/>
        </w:rPr>
        <w:t>第i个污染物的地面</w:t>
      </w:r>
      <w:r>
        <w:rPr>
          <w:rFonts w:hint="eastAsia"/>
          <w:color w:val="auto"/>
          <w:highlight w:val="none"/>
        </w:rPr>
        <w:t>空气质量浓度达到标准值的</w:t>
      </w:r>
      <w:r>
        <w:rPr>
          <w:color w:val="auto"/>
          <w:highlight w:val="none"/>
        </w:rPr>
        <w:t>10%时所对应的最远距离D</w:t>
      </w:r>
      <w:r>
        <w:rPr>
          <w:color w:val="auto"/>
          <w:highlight w:val="none"/>
          <w:vertAlign w:val="subscript"/>
        </w:rPr>
        <w:t>10</w:t>
      </w:r>
      <w:r>
        <w:rPr>
          <w:color w:val="auto"/>
          <w:highlight w:val="none"/>
        </w:rPr>
        <w:t>%</w:t>
      </w:r>
      <w:r>
        <w:rPr>
          <w:rFonts w:hint="eastAsia"/>
          <w:color w:val="auto"/>
          <w:highlight w:val="none"/>
        </w:rPr>
        <w:t>。其中P</w:t>
      </w:r>
      <w:r>
        <w:rPr>
          <w:rFonts w:hint="eastAsia"/>
          <w:color w:val="auto"/>
          <w:highlight w:val="none"/>
          <w:vertAlign w:val="subscript"/>
        </w:rPr>
        <w:t>i</w:t>
      </w:r>
      <w:r>
        <w:rPr>
          <w:rFonts w:hint="eastAsia"/>
          <w:color w:val="auto"/>
          <w:highlight w:val="none"/>
        </w:rPr>
        <w:t>定义见公式。</w:t>
      </w:r>
    </w:p>
    <w:p w14:paraId="6BFF7892">
      <w:pPr>
        <w:overflowPunct w:val="0"/>
        <w:ind w:firstLine="0" w:firstLineChars="0"/>
        <w:jc w:val="center"/>
        <w:rPr>
          <w:color w:val="auto"/>
          <w:highlight w:val="none"/>
        </w:rPr>
      </w:pPr>
      <w:r>
        <w:rPr>
          <w:color w:val="auto"/>
          <w:highlight w:val="none"/>
        </w:rPr>
        <w:object>
          <v:shape id="_x0000_i1025" o:spt="75" type="#_x0000_t75" style="height:37.55pt;width:99.55pt;" o:ole="t"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25" r:id="rId29">
            <o:LockedField>false</o:LockedField>
          </o:OLEObject>
        </w:object>
      </w:r>
    </w:p>
    <w:p w14:paraId="6E625D87">
      <w:pPr>
        <w:overflowPunct w:val="0"/>
        <w:ind w:firstLine="480"/>
        <w:rPr>
          <w:color w:val="auto"/>
          <w:highlight w:val="none"/>
        </w:rPr>
      </w:pPr>
      <w:r>
        <w:rPr>
          <w:color w:val="auto"/>
          <w:highlight w:val="none"/>
        </w:rPr>
        <w:t>式中：P</w:t>
      </w:r>
      <w:r>
        <w:rPr>
          <w:color w:val="auto"/>
          <w:highlight w:val="none"/>
          <w:vertAlign w:val="subscript"/>
        </w:rPr>
        <w:t>i</w:t>
      </w:r>
      <w:r>
        <w:rPr>
          <w:color w:val="auto"/>
          <w:highlight w:val="none"/>
        </w:rPr>
        <w:t>－第i个污染物的最大地面</w:t>
      </w:r>
      <w:r>
        <w:rPr>
          <w:rFonts w:hint="eastAsia"/>
          <w:color w:val="auto"/>
          <w:highlight w:val="none"/>
        </w:rPr>
        <w:t>空气质量</w:t>
      </w:r>
      <w:r>
        <w:rPr>
          <w:color w:val="auto"/>
          <w:highlight w:val="none"/>
        </w:rPr>
        <w:t>浓度占标率，%；</w:t>
      </w:r>
    </w:p>
    <w:p w14:paraId="48EB4168">
      <w:pPr>
        <w:ind w:firstLine="480"/>
        <w:rPr>
          <w:color w:val="auto"/>
          <w:highlight w:val="none"/>
        </w:rPr>
      </w:pPr>
      <w:r>
        <w:rPr>
          <w:color w:val="auto"/>
          <w:highlight w:val="none"/>
        </w:rPr>
        <w:t xml:space="preserve">      C</w:t>
      </w:r>
      <w:r>
        <w:rPr>
          <w:color w:val="auto"/>
          <w:highlight w:val="none"/>
          <w:vertAlign w:val="subscript"/>
        </w:rPr>
        <w:t>i</w:t>
      </w:r>
      <w:r>
        <w:rPr>
          <w:color w:val="auto"/>
          <w:highlight w:val="none"/>
        </w:rPr>
        <w:t>－采用估算模式计算出的第i个污染物的</w:t>
      </w:r>
      <w:r>
        <w:rPr>
          <w:rFonts w:hint="eastAsia"/>
          <w:color w:val="auto"/>
          <w:highlight w:val="none"/>
        </w:rPr>
        <w:t>最大1h地面空气质量浓度</w:t>
      </w:r>
      <w:r>
        <w:rPr>
          <w:color w:val="auto"/>
          <w:highlight w:val="none"/>
        </w:rPr>
        <w:t>，</w:t>
      </w:r>
      <w:r>
        <w:rPr>
          <w:rFonts w:hint="eastAsia"/>
          <w:color w:val="auto"/>
          <w:highlight w:val="none"/>
        </w:rPr>
        <w:t>m</w:t>
      </w:r>
      <w:r>
        <w:rPr>
          <w:color w:val="auto"/>
          <w:highlight w:val="none"/>
        </w:rPr>
        <w:t>g/m</w:t>
      </w:r>
      <w:r>
        <w:rPr>
          <w:color w:val="auto"/>
          <w:highlight w:val="none"/>
          <w:vertAlign w:val="superscript"/>
        </w:rPr>
        <w:t>3</w:t>
      </w:r>
      <w:r>
        <w:rPr>
          <w:color w:val="auto"/>
          <w:highlight w:val="none"/>
        </w:rPr>
        <w:t>；</w:t>
      </w:r>
    </w:p>
    <w:p w14:paraId="1992AF17">
      <w:pPr>
        <w:overflowPunct w:val="0"/>
        <w:ind w:firstLine="480"/>
        <w:rPr>
          <w:color w:val="auto"/>
          <w:highlight w:val="none"/>
        </w:rPr>
      </w:pPr>
      <w:r>
        <w:rPr>
          <w:color w:val="auto"/>
          <w:highlight w:val="none"/>
        </w:rPr>
        <w:t xml:space="preserve">      C</w:t>
      </w:r>
      <w:r>
        <w:rPr>
          <w:rFonts w:hint="eastAsia"/>
          <w:color w:val="auto"/>
          <w:highlight w:val="none"/>
          <w:vertAlign w:val="subscript"/>
        </w:rPr>
        <w:t>0</w:t>
      </w:r>
      <w:r>
        <w:rPr>
          <w:color w:val="auto"/>
          <w:highlight w:val="none"/>
          <w:vertAlign w:val="subscript"/>
        </w:rPr>
        <w:t>i</w:t>
      </w:r>
      <w:r>
        <w:rPr>
          <w:color w:val="auto"/>
          <w:highlight w:val="none"/>
        </w:rPr>
        <w:t>－第i个污染物的环境空气质量标准，μg/m</w:t>
      </w:r>
      <w:r>
        <w:rPr>
          <w:color w:val="auto"/>
          <w:highlight w:val="none"/>
          <w:vertAlign w:val="superscript"/>
        </w:rPr>
        <w:t>3</w:t>
      </w:r>
      <w:r>
        <w:rPr>
          <w:color w:val="auto"/>
          <w:highlight w:val="none"/>
        </w:rPr>
        <w:t>。</w:t>
      </w:r>
    </w:p>
    <w:p w14:paraId="786D4A15">
      <w:pPr>
        <w:overflowPunct w:val="0"/>
        <w:ind w:firstLine="480"/>
        <w:rPr>
          <w:color w:val="auto"/>
          <w:highlight w:val="none"/>
        </w:rPr>
      </w:pPr>
      <w:r>
        <w:rPr>
          <w:rFonts w:hint="eastAsia"/>
          <w:color w:val="auto"/>
          <w:highlight w:val="none"/>
        </w:rPr>
        <w:t>评价工作等级按表2.5-1的分级判据进行划分。最大地面空气质量浓度占标率P</w:t>
      </w:r>
      <w:r>
        <w:rPr>
          <w:rFonts w:hint="eastAsia"/>
          <w:color w:val="auto"/>
          <w:highlight w:val="none"/>
          <w:vertAlign w:val="subscript"/>
        </w:rPr>
        <w:t>i</w:t>
      </w:r>
      <w:r>
        <w:rPr>
          <w:rFonts w:hint="eastAsia"/>
          <w:color w:val="auto"/>
          <w:highlight w:val="none"/>
        </w:rPr>
        <w:t>按上公式计算，如污染物i大于1，取P值中的最大者P</w:t>
      </w:r>
      <w:r>
        <w:rPr>
          <w:rFonts w:hint="eastAsia"/>
          <w:color w:val="auto"/>
          <w:highlight w:val="none"/>
          <w:vertAlign w:val="subscript"/>
        </w:rPr>
        <w:t>max</w:t>
      </w:r>
      <w:r>
        <w:rPr>
          <w:rFonts w:hint="eastAsia"/>
          <w:color w:val="auto"/>
          <w:highlight w:val="none"/>
        </w:rPr>
        <w:t>。</w:t>
      </w:r>
    </w:p>
    <w:p w14:paraId="6A521586">
      <w:pPr>
        <w:overflowPunct w:val="0"/>
        <w:ind w:firstLine="0" w:firstLineChars="0"/>
        <w:jc w:val="center"/>
        <w:rPr>
          <w:b/>
          <w:bCs/>
          <w:color w:val="auto"/>
          <w:highlight w:val="none"/>
        </w:rPr>
      </w:pPr>
      <w:r>
        <w:rPr>
          <w:b/>
          <w:bCs/>
          <w:color w:val="auto"/>
          <w:highlight w:val="none"/>
        </w:rPr>
        <w:t>表</w:t>
      </w:r>
      <w:r>
        <w:rPr>
          <w:rFonts w:hint="eastAsia"/>
          <w:b/>
          <w:bCs/>
          <w:color w:val="auto"/>
          <w:highlight w:val="none"/>
        </w:rPr>
        <w:t xml:space="preserve">2.4-1   </w:t>
      </w:r>
      <w:r>
        <w:rPr>
          <w:b/>
          <w:bCs/>
          <w:color w:val="auto"/>
          <w:highlight w:val="none"/>
        </w:rPr>
        <w:t>评价等级判</w:t>
      </w:r>
      <w:r>
        <w:rPr>
          <w:rFonts w:hint="eastAsia"/>
          <w:b/>
          <w:bCs/>
          <w:color w:val="auto"/>
          <w:highlight w:val="none"/>
        </w:rPr>
        <w:t>别</w:t>
      </w:r>
      <w:r>
        <w:rPr>
          <w:b/>
          <w:bCs/>
          <w:color w:val="auto"/>
          <w:highlight w:val="none"/>
        </w:rPr>
        <w:t>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559"/>
        <w:gridCol w:w="4741"/>
      </w:tblGrid>
      <w:tr w14:paraId="60144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144" w:type="pct"/>
            <w:noWrap w:val="0"/>
            <w:vAlign w:val="center"/>
          </w:tcPr>
          <w:p w14:paraId="7BA414BE">
            <w:pPr>
              <w:pStyle w:val="245"/>
              <w:ind w:firstLine="482"/>
              <w:rPr>
                <w:color w:val="auto"/>
                <w:highlight w:val="none"/>
              </w:rPr>
            </w:pPr>
            <w:r>
              <w:rPr>
                <w:color w:val="auto"/>
                <w:highlight w:val="none"/>
              </w:rPr>
              <w:t>评价工作等级</w:t>
            </w:r>
          </w:p>
        </w:tc>
        <w:tc>
          <w:tcPr>
            <w:tcW w:w="2856" w:type="pct"/>
            <w:noWrap w:val="0"/>
            <w:vAlign w:val="center"/>
          </w:tcPr>
          <w:p w14:paraId="713EF865">
            <w:pPr>
              <w:pStyle w:val="245"/>
              <w:ind w:firstLine="482"/>
              <w:rPr>
                <w:color w:val="auto"/>
                <w:highlight w:val="none"/>
              </w:rPr>
            </w:pPr>
            <w:r>
              <w:rPr>
                <w:color w:val="auto"/>
                <w:highlight w:val="none"/>
              </w:rPr>
              <w:t>评价工作分级判据</w:t>
            </w:r>
          </w:p>
        </w:tc>
      </w:tr>
      <w:tr w14:paraId="62873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144" w:type="pct"/>
            <w:noWrap w:val="0"/>
            <w:vAlign w:val="center"/>
          </w:tcPr>
          <w:p w14:paraId="79DAAA29">
            <w:pPr>
              <w:pStyle w:val="245"/>
              <w:ind w:firstLine="482"/>
              <w:rPr>
                <w:color w:val="auto"/>
                <w:highlight w:val="none"/>
              </w:rPr>
            </w:pPr>
            <w:r>
              <w:rPr>
                <w:color w:val="auto"/>
                <w:highlight w:val="none"/>
              </w:rPr>
              <w:t>一级</w:t>
            </w:r>
            <w:r>
              <w:rPr>
                <w:rFonts w:hint="eastAsia"/>
                <w:color w:val="auto"/>
                <w:highlight w:val="none"/>
              </w:rPr>
              <w:t>评价</w:t>
            </w:r>
          </w:p>
        </w:tc>
        <w:tc>
          <w:tcPr>
            <w:tcW w:w="2856" w:type="pct"/>
            <w:noWrap w:val="0"/>
            <w:vAlign w:val="center"/>
          </w:tcPr>
          <w:p w14:paraId="3E16C357">
            <w:pPr>
              <w:pStyle w:val="245"/>
              <w:ind w:firstLine="482"/>
              <w:rPr>
                <w:color w:val="auto"/>
                <w:highlight w:val="none"/>
              </w:rPr>
            </w:pPr>
            <w:r>
              <w:rPr>
                <w:color w:val="auto"/>
                <w:highlight w:val="none"/>
              </w:rPr>
              <w:t>Pmax</w:t>
            </w:r>
            <w:r>
              <w:rPr>
                <w:rFonts w:hint="eastAsia"/>
                <w:color w:val="auto"/>
                <w:highlight w:val="none"/>
              </w:rPr>
              <w:t>≥1</w:t>
            </w:r>
            <w:r>
              <w:rPr>
                <w:color w:val="auto"/>
                <w:highlight w:val="none"/>
              </w:rPr>
              <w:t>0%</w:t>
            </w:r>
          </w:p>
        </w:tc>
      </w:tr>
      <w:tr w14:paraId="003BC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144" w:type="pct"/>
            <w:noWrap w:val="0"/>
            <w:vAlign w:val="center"/>
          </w:tcPr>
          <w:p w14:paraId="505B4157">
            <w:pPr>
              <w:pStyle w:val="245"/>
              <w:ind w:firstLine="482"/>
              <w:rPr>
                <w:color w:val="auto"/>
                <w:highlight w:val="none"/>
              </w:rPr>
            </w:pPr>
            <w:r>
              <w:rPr>
                <w:color w:val="auto"/>
                <w:highlight w:val="none"/>
              </w:rPr>
              <w:t>二级</w:t>
            </w:r>
            <w:r>
              <w:rPr>
                <w:rFonts w:hint="eastAsia"/>
                <w:color w:val="auto"/>
                <w:highlight w:val="none"/>
              </w:rPr>
              <w:t>评价</w:t>
            </w:r>
          </w:p>
        </w:tc>
        <w:tc>
          <w:tcPr>
            <w:tcW w:w="2856" w:type="pct"/>
            <w:noWrap w:val="0"/>
            <w:vAlign w:val="center"/>
          </w:tcPr>
          <w:p w14:paraId="3AB00C4E">
            <w:pPr>
              <w:pStyle w:val="245"/>
              <w:ind w:firstLine="482"/>
              <w:rPr>
                <w:color w:val="auto"/>
                <w:highlight w:val="none"/>
              </w:rPr>
            </w:pPr>
            <w:r>
              <w:rPr>
                <w:rFonts w:hint="eastAsia"/>
                <w:color w:val="auto"/>
                <w:highlight w:val="none"/>
              </w:rPr>
              <w:t>1%≤</w:t>
            </w:r>
            <w:r>
              <w:rPr>
                <w:color w:val="auto"/>
                <w:highlight w:val="none"/>
              </w:rPr>
              <w:t>Pmax</w:t>
            </w:r>
            <w:r>
              <w:rPr>
                <w:rFonts w:hint="eastAsia"/>
                <w:color w:val="auto"/>
                <w:highlight w:val="none"/>
              </w:rPr>
              <w:t>＜10%</w:t>
            </w:r>
          </w:p>
        </w:tc>
      </w:tr>
      <w:tr w14:paraId="7138D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144" w:type="pct"/>
            <w:noWrap w:val="0"/>
            <w:vAlign w:val="center"/>
          </w:tcPr>
          <w:p w14:paraId="44FA8363">
            <w:pPr>
              <w:pStyle w:val="245"/>
              <w:ind w:firstLine="482"/>
              <w:rPr>
                <w:color w:val="auto"/>
                <w:highlight w:val="none"/>
              </w:rPr>
            </w:pPr>
            <w:r>
              <w:rPr>
                <w:color w:val="auto"/>
                <w:highlight w:val="none"/>
              </w:rPr>
              <w:t>三级</w:t>
            </w:r>
            <w:r>
              <w:rPr>
                <w:rFonts w:hint="eastAsia"/>
                <w:color w:val="auto"/>
                <w:highlight w:val="none"/>
              </w:rPr>
              <w:t>评价</w:t>
            </w:r>
          </w:p>
        </w:tc>
        <w:tc>
          <w:tcPr>
            <w:tcW w:w="2856" w:type="pct"/>
            <w:noWrap w:val="0"/>
            <w:vAlign w:val="center"/>
          </w:tcPr>
          <w:p w14:paraId="52DD1DF2">
            <w:pPr>
              <w:pStyle w:val="245"/>
              <w:ind w:firstLine="482"/>
              <w:rPr>
                <w:color w:val="auto"/>
                <w:highlight w:val="none"/>
              </w:rPr>
            </w:pPr>
            <w:r>
              <w:rPr>
                <w:color w:val="auto"/>
                <w:highlight w:val="none"/>
              </w:rPr>
              <w:t>Pmax＜1%</w:t>
            </w:r>
          </w:p>
        </w:tc>
      </w:tr>
    </w:tbl>
    <w:p w14:paraId="62C75075">
      <w:pPr>
        <w:overflowPunct w:val="0"/>
        <w:ind w:firstLine="480"/>
        <w:rPr>
          <w:color w:val="auto"/>
          <w:highlight w:val="none"/>
        </w:rPr>
      </w:pPr>
      <w:r>
        <w:rPr>
          <w:rFonts w:hint="eastAsia"/>
          <w:color w:val="auto"/>
          <w:highlight w:val="none"/>
        </w:rPr>
        <w:t>本评价采用《环境影响评价技术导则大气环境》（HJ2.2-2018）推荐模式清单中的估算模式（AERSCREEN）分别计算各源各污染物的短期浓度最大值及对应距离，用以分析最大影响程度和最远影响范围。</w:t>
      </w:r>
    </w:p>
    <w:p w14:paraId="5C54839D">
      <w:pPr>
        <w:ind w:firstLine="480"/>
        <w:rPr>
          <w:color w:val="auto"/>
          <w:highlight w:val="none"/>
        </w:rPr>
      </w:pPr>
      <w:r>
        <w:rPr>
          <w:rFonts w:hint="eastAsia"/>
          <w:color w:val="auto"/>
          <w:highlight w:val="none"/>
        </w:rPr>
        <w:t>（2）估算模型参数</w:t>
      </w:r>
    </w:p>
    <w:p w14:paraId="17769541">
      <w:pPr>
        <w:ind w:firstLine="480"/>
        <w:rPr>
          <w:color w:val="auto"/>
          <w:highlight w:val="none"/>
        </w:rPr>
      </w:pPr>
      <w:r>
        <w:rPr>
          <w:rFonts w:hint="eastAsia"/>
          <w:color w:val="auto"/>
          <w:highlight w:val="none"/>
        </w:rPr>
        <w:t>本项目地形数据采用SRTM（Shuttle Radar Topography Mission）90m分辨率地形数据。数据来源为：http://srtm.csi.cgiar.org。估算模型参数见表2.4-2。</w:t>
      </w:r>
    </w:p>
    <w:p w14:paraId="60D282E1">
      <w:pPr>
        <w:overflowPunct w:val="0"/>
        <w:ind w:firstLine="0" w:firstLineChars="0"/>
        <w:jc w:val="center"/>
        <w:rPr>
          <w:b/>
          <w:bCs/>
          <w:color w:val="auto"/>
          <w:highlight w:val="none"/>
        </w:rPr>
      </w:pPr>
      <w:r>
        <w:rPr>
          <w:b/>
          <w:bCs/>
          <w:color w:val="auto"/>
          <w:highlight w:val="none"/>
        </w:rPr>
        <w:t>表</w:t>
      </w:r>
      <w:r>
        <w:rPr>
          <w:rFonts w:hint="eastAsia"/>
          <w:b/>
          <w:bCs/>
          <w:color w:val="auto"/>
          <w:highlight w:val="none"/>
        </w:rPr>
        <w:t>2.4</w:t>
      </w:r>
      <w:r>
        <w:rPr>
          <w:b/>
          <w:bCs/>
          <w:color w:val="auto"/>
          <w:highlight w:val="none"/>
        </w:rPr>
        <w:t>-</w:t>
      </w:r>
      <w:r>
        <w:rPr>
          <w:rFonts w:hint="eastAsia"/>
          <w:b/>
          <w:bCs/>
          <w:color w:val="auto"/>
          <w:highlight w:val="none"/>
        </w:rPr>
        <w:t>2</w:t>
      </w:r>
      <w:r>
        <w:rPr>
          <w:b/>
          <w:bCs/>
          <w:color w:val="auto"/>
          <w:highlight w:val="none"/>
        </w:rPr>
        <w:t xml:space="preserve">  </w:t>
      </w:r>
      <w:r>
        <w:rPr>
          <w:rFonts w:hint="eastAsia"/>
          <w:b/>
          <w:bCs/>
          <w:color w:val="auto"/>
          <w:highlight w:val="none"/>
        </w:rPr>
        <w:t xml:space="preserve"> </w:t>
      </w:r>
      <w:r>
        <w:rPr>
          <w:b/>
          <w:bCs/>
          <w:color w:val="auto"/>
          <w:highlight w:val="none"/>
        </w:rPr>
        <w:t xml:space="preserve"> 估算模型参数表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3219"/>
        <w:gridCol w:w="2660"/>
      </w:tblGrid>
      <w:tr w14:paraId="28233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6943FA46">
            <w:pPr>
              <w:pStyle w:val="245"/>
              <w:spacing w:line="240" w:lineRule="auto"/>
              <w:rPr>
                <w:color w:val="auto"/>
                <w:kern w:val="0"/>
                <w:highlight w:val="none"/>
              </w:rPr>
            </w:pPr>
            <w:r>
              <w:rPr>
                <w:color w:val="auto"/>
                <w:kern w:val="0"/>
                <w:highlight w:val="none"/>
              </w:rPr>
              <w:t>参数</w:t>
            </w:r>
          </w:p>
        </w:tc>
        <w:tc>
          <w:tcPr>
            <w:tcW w:w="1562" w:type="pct"/>
            <w:tcBorders>
              <w:tl2br w:val="nil"/>
              <w:tr2bl w:val="nil"/>
            </w:tcBorders>
            <w:noWrap w:val="0"/>
            <w:vAlign w:val="center"/>
          </w:tcPr>
          <w:p w14:paraId="1BD47D43">
            <w:pPr>
              <w:pStyle w:val="245"/>
              <w:spacing w:line="240" w:lineRule="auto"/>
              <w:rPr>
                <w:color w:val="auto"/>
                <w:kern w:val="0"/>
                <w:highlight w:val="none"/>
              </w:rPr>
            </w:pPr>
            <w:r>
              <w:rPr>
                <w:color w:val="auto"/>
                <w:kern w:val="0"/>
                <w:highlight w:val="none"/>
              </w:rPr>
              <w:t>取值</w:t>
            </w:r>
          </w:p>
        </w:tc>
      </w:tr>
      <w:tr w14:paraId="1A960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restart"/>
            <w:tcBorders>
              <w:tl2br w:val="nil"/>
              <w:tr2bl w:val="nil"/>
            </w:tcBorders>
            <w:noWrap w:val="0"/>
            <w:vAlign w:val="center"/>
          </w:tcPr>
          <w:p w14:paraId="5A1EBC14">
            <w:pPr>
              <w:pStyle w:val="245"/>
              <w:spacing w:line="240" w:lineRule="auto"/>
              <w:rPr>
                <w:color w:val="auto"/>
                <w:kern w:val="0"/>
                <w:highlight w:val="none"/>
              </w:rPr>
            </w:pPr>
            <w:r>
              <w:rPr>
                <w:color w:val="auto"/>
                <w:kern w:val="0"/>
                <w:highlight w:val="none"/>
              </w:rPr>
              <w:t>城市/农村选项</w:t>
            </w:r>
          </w:p>
        </w:tc>
        <w:tc>
          <w:tcPr>
            <w:tcW w:w="1890" w:type="pct"/>
            <w:tcBorders>
              <w:tl2br w:val="nil"/>
              <w:tr2bl w:val="nil"/>
            </w:tcBorders>
            <w:noWrap w:val="0"/>
            <w:vAlign w:val="center"/>
          </w:tcPr>
          <w:p w14:paraId="734992FC">
            <w:pPr>
              <w:pStyle w:val="245"/>
              <w:spacing w:line="240" w:lineRule="auto"/>
              <w:rPr>
                <w:color w:val="auto"/>
                <w:kern w:val="0"/>
                <w:highlight w:val="none"/>
              </w:rPr>
            </w:pPr>
            <w:r>
              <w:rPr>
                <w:color w:val="auto"/>
                <w:kern w:val="0"/>
                <w:highlight w:val="none"/>
              </w:rPr>
              <w:t>城市/农村</w:t>
            </w:r>
          </w:p>
        </w:tc>
        <w:tc>
          <w:tcPr>
            <w:tcW w:w="1562" w:type="pct"/>
            <w:tcBorders>
              <w:tl2br w:val="nil"/>
              <w:tr2bl w:val="nil"/>
            </w:tcBorders>
            <w:noWrap w:val="0"/>
            <w:vAlign w:val="center"/>
          </w:tcPr>
          <w:p w14:paraId="57232E88">
            <w:pPr>
              <w:pStyle w:val="245"/>
              <w:spacing w:line="240" w:lineRule="auto"/>
              <w:rPr>
                <w:color w:val="auto"/>
                <w:kern w:val="0"/>
                <w:highlight w:val="none"/>
              </w:rPr>
            </w:pPr>
            <w:r>
              <w:rPr>
                <w:rFonts w:hint="eastAsia"/>
                <w:color w:val="auto"/>
                <w:kern w:val="0"/>
                <w:highlight w:val="none"/>
              </w:rPr>
              <w:t>农村</w:t>
            </w:r>
          </w:p>
        </w:tc>
      </w:tr>
      <w:tr w14:paraId="59699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continue"/>
            <w:tcBorders>
              <w:tl2br w:val="nil"/>
              <w:tr2bl w:val="nil"/>
            </w:tcBorders>
            <w:noWrap w:val="0"/>
            <w:vAlign w:val="center"/>
          </w:tcPr>
          <w:p w14:paraId="39EAB403">
            <w:pPr>
              <w:pStyle w:val="245"/>
              <w:spacing w:line="240" w:lineRule="auto"/>
              <w:rPr>
                <w:color w:val="auto"/>
                <w:kern w:val="0"/>
                <w:highlight w:val="none"/>
              </w:rPr>
            </w:pPr>
          </w:p>
        </w:tc>
        <w:tc>
          <w:tcPr>
            <w:tcW w:w="1890" w:type="pct"/>
            <w:tcBorders>
              <w:tl2br w:val="nil"/>
              <w:tr2bl w:val="nil"/>
            </w:tcBorders>
            <w:noWrap w:val="0"/>
            <w:vAlign w:val="center"/>
          </w:tcPr>
          <w:p w14:paraId="5C9E58BE">
            <w:pPr>
              <w:pStyle w:val="245"/>
              <w:spacing w:line="240" w:lineRule="auto"/>
              <w:rPr>
                <w:color w:val="auto"/>
                <w:kern w:val="0"/>
                <w:highlight w:val="none"/>
              </w:rPr>
            </w:pPr>
            <w:r>
              <w:rPr>
                <w:color w:val="auto"/>
                <w:kern w:val="0"/>
                <w:highlight w:val="none"/>
              </w:rPr>
              <w:t>人口数（城市选型时）</w:t>
            </w:r>
          </w:p>
        </w:tc>
        <w:tc>
          <w:tcPr>
            <w:tcW w:w="1562" w:type="pct"/>
            <w:tcBorders>
              <w:tl2br w:val="nil"/>
              <w:tr2bl w:val="nil"/>
            </w:tcBorders>
            <w:noWrap w:val="0"/>
            <w:vAlign w:val="center"/>
          </w:tcPr>
          <w:p w14:paraId="130509B0">
            <w:pPr>
              <w:pStyle w:val="245"/>
              <w:spacing w:line="240" w:lineRule="auto"/>
              <w:rPr>
                <w:color w:val="auto"/>
                <w:kern w:val="0"/>
                <w:highlight w:val="none"/>
              </w:rPr>
            </w:pPr>
            <w:r>
              <w:rPr>
                <w:rFonts w:hint="eastAsia"/>
                <w:color w:val="auto"/>
                <w:kern w:val="0"/>
                <w:highlight w:val="none"/>
              </w:rPr>
              <w:t>/</w:t>
            </w:r>
          </w:p>
        </w:tc>
      </w:tr>
      <w:tr w14:paraId="13CDC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76685E8F">
            <w:pPr>
              <w:pStyle w:val="245"/>
              <w:spacing w:line="240" w:lineRule="auto"/>
              <w:rPr>
                <w:color w:val="auto"/>
                <w:kern w:val="0"/>
                <w:highlight w:val="none"/>
              </w:rPr>
            </w:pPr>
            <w:r>
              <w:rPr>
                <w:color w:val="auto"/>
                <w:kern w:val="0"/>
                <w:highlight w:val="none"/>
              </w:rPr>
              <w:t>最高环境温度/</w:t>
            </w:r>
            <w:r>
              <w:rPr>
                <w:rFonts w:hint="eastAsia" w:ascii="宋体" w:hAnsi="宋体" w:cs="宋体"/>
                <w:color w:val="auto"/>
                <w:kern w:val="0"/>
                <w:highlight w:val="none"/>
              </w:rPr>
              <w:t>℃</w:t>
            </w:r>
          </w:p>
        </w:tc>
        <w:tc>
          <w:tcPr>
            <w:tcW w:w="1562" w:type="pct"/>
            <w:tcBorders>
              <w:tl2br w:val="nil"/>
              <w:tr2bl w:val="nil"/>
            </w:tcBorders>
            <w:noWrap w:val="0"/>
            <w:vAlign w:val="center"/>
          </w:tcPr>
          <w:p w14:paraId="2389DCF1">
            <w:pPr>
              <w:pStyle w:val="245"/>
              <w:spacing w:line="240" w:lineRule="auto"/>
              <w:rPr>
                <w:rFonts w:hint="default" w:eastAsia="宋体"/>
                <w:color w:val="auto"/>
                <w:highlight w:val="none"/>
                <w:lang w:val="en-US" w:eastAsia="zh-CN"/>
              </w:rPr>
            </w:pPr>
            <w:r>
              <w:rPr>
                <w:rFonts w:hint="eastAsia"/>
                <w:color w:val="auto"/>
                <w:highlight w:val="none"/>
                <w:lang w:val="en-US" w:eastAsia="zh-CN"/>
              </w:rPr>
              <w:t>36.8</w:t>
            </w:r>
          </w:p>
        </w:tc>
      </w:tr>
      <w:tr w14:paraId="74019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48926373">
            <w:pPr>
              <w:pStyle w:val="245"/>
              <w:spacing w:line="240" w:lineRule="auto"/>
              <w:rPr>
                <w:color w:val="auto"/>
                <w:kern w:val="0"/>
                <w:highlight w:val="none"/>
              </w:rPr>
            </w:pPr>
            <w:r>
              <w:rPr>
                <w:color w:val="auto"/>
                <w:kern w:val="0"/>
                <w:highlight w:val="none"/>
              </w:rPr>
              <w:t>最低环境温度/</w:t>
            </w:r>
            <w:r>
              <w:rPr>
                <w:rFonts w:hint="eastAsia" w:ascii="宋体" w:hAnsi="宋体" w:cs="宋体"/>
                <w:color w:val="auto"/>
                <w:kern w:val="0"/>
                <w:highlight w:val="none"/>
              </w:rPr>
              <w:t xml:space="preserve">℃   </w:t>
            </w:r>
          </w:p>
        </w:tc>
        <w:tc>
          <w:tcPr>
            <w:tcW w:w="1562" w:type="pct"/>
            <w:tcBorders>
              <w:tl2br w:val="nil"/>
              <w:tr2bl w:val="nil"/>
            </w:tcBorders>
            <w:noWrap w:val="0"/>
            <w:vAlign w:val="center"/>
          </w:tcPr>
          <w:p w14:paraId="256C2073">
            <w:pPr>
              <w:pStyle w:val="245"/>
              <w:spacing w:line="240" w:lineRule="auto"/>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38.4</w:t>
            </w:r>
          </w:p>
        </w:tc>
      </w:tr>
      <w:tr w14:paraId="6A041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1726929F">
            <w:pPr>
              <w:pStyle w:val="245"/>
              <w:spacing w:line="240" w:lineRule="auto"/>
              <w:rPr>
                <w:color w:val="auto"/>
                <w:kern w:val="0"/>
                <w:highlight w:val="none"/>
              </w:rPr>
            </w:pPr>
            <w:r>
              <w:rPr>
                <w:color w:val="auto"/>
                <w:kern w:val="0"/>
                <w:highlight w:val="none"/>
              </w:rPr>
              <w:t>土地利用类型</w:t>
            </w:r>
          </w:p>
        </w:tc>
        <w:tc>
          <w:tcPr>
            <w:tcW w:w="1562" w:type="pct"/>
            <w:tcBorders>
              <w:tl2br w:val="nil"/>
              <w:tr2bl w:val="nil"/>
            </w:tcBorders>
            <w:noWrap w:val="0"/>
            <w:vAlign w:val="center"/>
          </w:tcPr>
          <w:p w14:paraId="27C40DEB">
            <w:pPr>
              <w:pStyle w:val="245"/>
              <w:spacing w:line="240" w:lineRule="auto"/>
              <w:rPr>
                <w:rFonts w:hint="eastAsia" w:eastAsia="宋体"/>
                <w:color w:val="auto"/>
                <w:kern w:val="0"/>
                <w:highlight w:val="none"/>
                <w:lang w:eastAsia="zh-CN"/>
              </w:rPr>
            </w:pPr>
            <w:r>
              <w:rPr>
                <w:rFonts w:hint="eastAsia"/>
                <w:color w:val="auto"/>
                <w:kern w:val="0"/>
                <w:highlight w:val="none"/>
                <w:lang w:val="en-US" w:eastAsia="zh-CN"/>
              </w:rPr>
              <w:t>草地</w:t>
            </w:r>
          </w:p>
        </w:tc>
      </w:tr>
      <w:tr w14:paraId="641B0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7E912203">
            <w:pPr>
              <w:pStyle w:val="245"/>
              <w:spacing w:line="240" w:lineRule="auto"/>
              <w:rPr>
                <w:color w:val="auto"/>
                <w:kern w:val="0"/>
                <w:highlight w:val="none"/>
              </w:rPr>
            </w:pPr>
            <w:r>
              <w:rPr>
                <w:color w:val="auto"/>
                <w:kern w:val="0"/>
                <w:highlight w:val="none"/>
              </w:rPr>
              <w:t>区域湿度条件</w:t>
            </w:r>
          </w:p>
        </w:tc>
        <w:tc>
          <w:tcPr>
            <w:tcW w:w="1562" w:type="pct"/>
            <w:tcBorders>
              <w:tl2br w:val="nil"/>
              <w:tr2bl w:val="nil"/>
            </w:tcBorders>
            <w:noWrap w:val="0"/>
            <w:vAlign w:val="center"/>
          </w:tcPr>
          <w:p w14:paraId="7B2F32B3">
            <w:pPr>
              <w:pStyle w:val="245"/>
              <w:spacing w:line="240" w:lineRule="auto"/>
              <w:rPr>
                <w:rFonts w:hint="default" w:eastAsia="宋体"/>
                <w:color w:val="auto"/>
                <w:kern w:val="0"/>
                <w:highlight w:val="none"/>
                <w:lang w:val="en-US" w:eastAsia="zh-CN"/>
              </w:rPr>
            </w:pPr>
            <w:r>
              <w:rPr>
                <w:rFonts w:hint="eastAsia"/>
                <w:color w:val="auto"/>
                <w:kern w:val="0"/>
                <w:highlight w:val="none"/>
                <w:lang w:val="en-US" w:eastAsia="zh-CN"/>
              </w:rPr>
              <w:t>中等湿度</w:t>
            </w:r>
          </w:p>
        </w:tc>
      </w:tr>
      <w:tr w14:paraId="24A49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restart"/>
            <w:tcBorders>
              <w:tl2br w:val="nil"/>
              <w:tr2bl w:val="nil"/>
            </w:tcBorders>
            <w:noWrap w:val="0"/>
            <w:vAlign w:val="center"/>
          </w:tcPr>
          <w:p w14:paraId="254EF507">
            <w:pPr>
              <w:pStyle w:val="245"/>
              <w:spacing w:line="240" w:lineRule="auto"/>
              <w:rPr>
                <w:color w:val="auto"/>
                <w:kern w:val="0"/>
                <w:highlight w:val="none"/>
              </w:rPr>
            </w:pPr>
            <w:r>
              <w:rPr>
                <w:color w:val="auto"/>
                <w:kern w:val="0"/>
                <w:highlight w:val="none"/>
              </w:rPr>
              <w:t>是否考虑地形</w:t>
            </w:r>
          </w:p>
        </w:tc>
        <w:tc>
          <w:tcPr>
            <w:tcW w:w="1890" w:type="pct"/>
            <w:tcBorders>
              <w:tl2br w:val="nil"/>
              <w:tr2bl w:val="nil"/>
            </w:tcBorders>
            <w:noWrap w:val="0"/>
            <w:vAlign w:val="center"/>
          </w:tcPr>
          <w:p w14:paraId="1B0FDF49">
            <w:pPr>
              <w:pStyle w:val="245"/>
              <w:spacing w:line="240" w:lineRule="auto"/>
              <w:rPr>
                <w:color w:val="auto"/>
                <w:kern w:val="0"/>
                <w:highlight w:val="none"/>
              </w:rPr>
            </w:pPr>
            <w:r>
              <w:rPr>
                <w:color w:val="auto"/>
                <w:kern w:val="0"/>
                <w:highlight w:val="none"/>
              </w:rPr>
              <w:t>考虑地形</w:t>
            </w:r>
          </w:p>
        </w:tc>
        <w:tc>
          <w:tcPr>
            <w:tcW w:w="1562" w:type="pct"/>
            <w:tcBorders>
              <w:tl2br w:val="nil"/>
              <w:tr2bl w:val="nil"/>
            </w:tcBorders>
            <w:noWrap w:val="0"/>
            <w:vAlign w:val="center"/>
          </w:tcPr>
          <w:p w14:paraId="2BB5F4C9">
            <w:pPr>
              <w:pStyle w:val="245"/>
              <w:spacing w:line="240" w:lineRule="auto"/>
              <w:rPr>
                <w:color w:val="auto"/>
                <w:kern w:val="0"/>
                <w:highlight w:val="none"/>
              </w:rPr>
            </w:pPr>
            <w:r>
              <w:rPr>
                <w:color w:val="auto"/>
                <w:kern w:val="0"/>
                <w:highlight w:val="none"/>
              </w:rPr>
              <w:sym w:font="Wingdings 2" w:char="0052"/>
            </w:r>
            <w:r>
              <w:rPr>
                <w:color w:val="auto"/>
                <w:kern w:val="0"/>
                <w:highlight w:val="none"/>
              </w:rPr>
              <w:t>是   □否</w:t>
            </w:r>
          </w:p>
        </w:tc>
      </w:tr>
      <w:tr w14:paraId="66F17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continue"/>
            <w:tcBorders>
              <w:tl2br w:val="nil"/>
              <w:tr2bl w:val="nil"/>
            </w:tcBorders>
            <w:noWrap w:val="0"/>
            <w:vAlign w:val="center"/>
          </w:tcPr>
          <w:p w14:paraId="461AF7D6">
            <w:pPr>
              <w:pStyle w:val="245"/>
              <w:spacing w:line="240" w:lineRule="auto"/>
              <w:rPr>
                <w:color w:val="auto"/>
                <w:kern w:val="0"/>
                <w:highlight w:val="none"/>
              </w:rPr>
            </w:pPr>
          </w:p>
        </w:tc>
        <w:tc>
          <w:tcPr>
            <w:tcW w:w="1890" w:type="pct"/>
            <w:tcBorders>
              <w:tl2br w:val="nil"/>
              <w:tr2bl w:val="nil"/>
            </w:tcBorders>
            <w:noWrap w:val="0"/>
            <w:vAlign w:val="center"/>
          </w:tcPr>
          <w:p w14:paraId="069CDC74">
            <w:pPr>
              <w:pStyle w:val="245"/>
              <w:spacing w:line="240" w:lineRule="auto"/>
              <w:rPr>
                <w:color w:val="auto"/>
                <w:kern w:val="0"/>
                <w:highlight w:val="none"/>
              </w:rPr>
            </w:pPr>
            <w:r>
              <w:rPr>
                <w:color w:val="auto"/>
                <w:kern w:val="0"/>
                <w:highlight w:val="none"/>
              </w:rPr>
              <w:t>地形数据分辨率/m</w:t>
            </w:r>
          </w:p>
        </w:tc>
        <w:tc>
          <w:tcPr>
            <w:tcW w:w="1562" w:type="pct"/>
            <w:tcBorders>
              <w:tl2br w:val="nil"/>
              <w:tr2bl w:val="nil"/>
            </w:tcBorders>
            <w:noWrap w:val="0"/>
            <w:vAlign w:val="center"/>
          </w:tcPr>
          <w:p w14:paraId="245A5243">
            <w:pPr>
              <w:pStyle w:val="245"/>
              <w:spacing w:line="240" w:lineRule="auto"/>
              <w:rPr>
                <w:color w:val="auto"/>
                <w:kern w:val="0"/>
                <w:highlight w:val="none"/>
              </w:rPr>
            </w:pPr>
            <w:r>
              <w:rPr>
                <w:rFonts w:hint="eastAsia"/>
                <w:color w:val="auto"/>
                <w:kern w:val="0"/>
                <w:highlight w:val="none"/>
              </w:rPr>
              <w:t>90m</w:t>
            </w:r>
          </w:p>
        </w:tc>
      </w:tr>
      <w:tr w14:paraId="70F69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restart"/>
            <w:tcBorders>
              <w:tl2br w:val="nil"/>
              <w:tr2bl w:val="nil"/>
            </w:tcBorders>
            <w:noWrap w:val="0"/>
            <w:vAlign w:val="center"/>
          </w:tcPr>
          <w:p w14:paraId="2DDB4BD0">
            <w:pPr>
              <w:pStyle w:val="245"/>
              <w:spacing w:line="240" w:lineRule="auto"/>
              <w:rPr>
                <w:color w:val="auto"/>
                <w:kern w:val="0"/>
                <w:highlight w:val="none"/>
              </w:rPr>
            </w:pPr>
            <w:r>
              <w:rPr>
                <w:color w:val="auto"/>
                <w:kern w:val="0"/>
                <w:highlight w:val="none"/>
              </w:rPr>
              <w:t>是否考虑岸线熏烟</w:t>
            </w:r>
          </w:p>
        </w:tc>
        <w:tc>
          <w:tcPr>
            <w:tcW w:w="1890" w:type="pct"/>
            <w:tcBorders>
              <w:tl2br w:val="nil"/>
              <w:tr2bl w:val="nil"/>
            </w:tcBorders>
            <w:noWrap w:val="0"/>
            <w:vAlign w:val="center"/>
          </w:tcPr>
          <w:p w14:paraId="09F3B81A">
            <w:pPr>
              <w:pStyle w:val="245"/>
              <w:spacing w:line="240" w:lineRule="auto"/>
              <w:rPr>
                <w:color w:val="auto"/>
                <w:kern w:val="0"/>
                <w:highlight w:val="none"/>
              </w:rPr>
            </w:pPr>
            <w:r>
              <w:rPr>
                <w:color w:val="auto"/>
                <w:kern w:val="0"/>
                <w:highlight w:val="none"/>
              </w:rPr>
              <w:t>考虑岸线熏烟</w:t>
            </w:r>
          </w:p>
        </w:tc>
        <w:tc>
          <w:tcPr>
            <w:tcW w:w="1562" w:type="pct"/>
            <w:tcBorders>
              <w:tl2br w:val="nil"/>
              <w:tr2bl w:val="nil"/>
            </w:tcBorders>
            <w:noWrap w:val="0"/>
            <w:vAlign w:val="center"/>
          </w:tcPr>
          <w:p w14:paraId="5960B1ED">
            <w:pPr>
              <w:pStyle w:val="245"/>
              <w:spacing w:line="240" w:lineRule="auto"/>
              <w:rPr>
                <w:color w:val="auto"/>
                <w:kern w:val="0"/>
                <w:highlight w:val="none"/>
              </w:rPr>
            </w:pPr>
            <w:r>
              <w:rPr>
                <w:color w:val="auto"/>
                <w:kern w:val="0"/>
                <w:highlight w:val="none"/>
              </w:rPr>
              <w:t xml:space="preserve">□是   </w:t>
            </w:r>
            <w:r>
              <w:rPr>
                <w:color w:val="auto"/>
                <w:kern w:val="0"/>
                <w:highlight w:val="none"/>
              </w:rPr>
              <w:sym w:font="Wingdings 2" w:char="0052"/>
            </w:r>
            <w:r>
              <w:rPr>
                <w:color w:val="auto"/>
                <w:kern w:val="0"/>
                <w:highlight w:val="none"/>
              </w:rPr>
              <w:t>否</w:t>
            </w:r>
          </w:p>
        </w:tc>
      </w:tr>
      <w:tr w14:paraId="30C40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continue"/>
            <w:tcBorders>
              <w:tl2br w:val="nil"/>
              <w:tr2bl w:val="nil"/>
            </w:tcBorders>
            <w:noWrap w:val="0"/>
            <w:vAlign w:val="center"/>
          </w:tcPr>
          <w:p w14:paraId="76EB1F82">
            <w:pPr>
              <w:pStyle w:val="245"/>
              <w:spacing w:line="240" w:lineRule="auto"/>
              <w:rPr>
                <w:color w:val="auto"/>
                <w:kern w:val="0"/>
                <w:highlight w:val="none"/>
              </w:rPr>
            </w:pPr>
          </w:p>
        </w:tc>
        <w:tc>
          <w:tcPr>
            <w:tcW w:w="1890" w:type="pct"/>
            <w:tcBorders>
              <w:tl2br w:val="nil"/>
              <w:tr2bl w:val="nil"/>
            </w:tcBorders>
            <w:noWrap w:val="0"/>
            <w:vAlign w:val="center"/>
          </w:tcPr>
          <w:p w14:paraId="68857A52">
            <w:pPr>
              <w:pStyle w:val="245"/>
              <w:spacing w:line="240" w:lineRule="auto"/>
              <w:rPr>
                <w:color w:val="auto"/>
                <w:kern w:val="0"/>
                <w:highlight w:val="none"/>
              </w:rPr>
            </w:pPr>
            <w:r>
              <w:rPr>
                <w:color w:val="auto"/>
                <w:kern w:val="0"/>
                <w:highlight w:val="none"/>
              </w:rPr>
              <w:t>岸线距离/km</w:t>
            </w:r>
          </w:p>
        </w:tc>
        <w:tc>
          <w:tcPr>
            <w:tcW w:w="1562" w:type="pct"/>
            <w:tcBorders>
              <w:tl2br w:val="nil"/>
              <w:tr2bl w:val="nil"/>
            </w:tcBorders>
            <w:noWrap w:val="0"/>
            <w:vAlign w:val="center"/>
          </w:tcPr>
          <w:p w14:paraId="60B2D407">
            <w:pPr>
              <w:pStyle w:val="245"/>
              <w:spacing w:line="240" w:lineRule="auto"/>
              <w:rPr>
                <w:color w:val="auto"/>
                <w:kern w:val="0"/>
                <w:highlight w:val="none"/>
              </w:rPr>
            </w:pPr>
            <w:r>
              <w:rPr>
                <w:rFonts w:hint="eastAsia"/>
                <w:color w:val="auto"/>
                <w:kern w:val="0"/>
                <w:highlight w:val="none"/>
              </w:rPr>
              <w:t>/</w:t>
            </w:r>
          </w:p>
        </w:tc>
      </w:tr>
      <w:tr w14:paraId="38AF7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continue"/>
            <w:tcBorders>
              <w:tl2br w:val="nil"/>
              <w:tr2bl w:val="nil"/>
            </w:tcBorders>
            <w:noWrap w:val="0"/>
            <w:vAlign w:val="center"/>
          </w:tcPr>
          <w:p w14:paraId="4BA45EAA">
            <w:pPr>
              <w:pStyle w:val="245"/>
              <w:spacing w:line="240" w:lineRule="auto"/>
              <w:rPr>
                <w:color w:val="auto"/>
                <w:kern w:val="0"/>
                <w:highlight w:val="none"/>
              </w:rPr>
            </w:pPr>
          </w:p>
        </w:tc>
        <w:tc>
          <w:tcPr>
            <w:tcW w:w="1890" w:type="pct"/>
            <w:tcBorders>
              <w:tl2br w:val="nil"/>
              <w:tr2bl w:val="nil"/>
            </w:tcBorders>
            <w:noWrap w:val="0"/>
            <w:vAlign w:val="center"/>
          </w:tcPr>
          <w:p w14:paraId="363273BC">
            <w:pPr>
              <w:pStyle w:val="245"/>
              <w:spacing w:line="240" w:lineRule="auto"/>
              <w:rPr>
                <w:color w:val="auto"/>
                <w:kern w:val="0"/>
                <w:highlight w:val="none"/>
              </w:rPr>
            </w:pPr>
            <w:r>
              <w:rPr>
                <w:color w:val="auto"/>
                <w:kern w:val="0"/>
                <w:highlight w:val="none"/>
              </w:rPr>
              <w:t>岸线方向/°</w:t>
            </w:r>
          </w:p>
        </w:tc>
        <w:tc>
          <w:tcPr>
            <w:tcW w:w="1562" w:type="pct"/>
            <w:tcBorders>
              <w:tl2br w:val="nil"/>
              <w:tr2bl w:val="nil"/>
            </w:tcBorders>
            <w:noWrap w:val="0"/>
            <w:vAlign w:val="center"/>
          </w:tcPr>
          <w:p w14:paraId="32A6B1FB">
            <w:pPr>
              <w:pStyle w:val="245"/>
              <w:spacing w:line="240" w:lineRule="auto"/>
              <w:rPr>
                <w:color w:val="auto"/>
                <w:kern w:val="0"/>
                <w:highlight w:val="none"/>
              </w:rPr>
            </w:pPr>
            <w:r>
              <w:rPr>
                <w:rFonts w:hint="eastAsia"/>
                <w:color w:val="auto"/>
                <w:kern w:val="0"/>
                <w:highlight w:val="none"/>
              </w:rPr>
              <w:t>/</w:t>
            </w:r>
          </w:p>
        </w:tc>
      </w:tr>
    </w:tbl>
    <w:p w14:paraId="753C3AEF">
      <w:pPr>
        <w:ind w:firstLine="480"/>
        <w:rPr>
          <w:color w:val="auto"/>
          <w:highlight w:val="none"/>
        </w:rPr>
      </w:pPr>
    </w:p>
    <w:p w14:paraId="62139A1C">
      <w:pPr>
        <w:ind w:firstLine="480"/>
        <w:rPr>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14:paraId="588181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highlight w:val="none"/>
        </w:rPr>
      </w:pPr>
      <w:r>
        <w:rPr>
          <w:b/>
          <w:color w:val="auto"/>
          <w:highlight w:val="none"/>
        </w:rPr>
        <w:t>表2.</w:t>
      </w:r>
      <w:r>
        <w:rPr>
          <w:rFonts w:hint="eastAsia"/>
          <w:b/>
          <w:color w:val="auto"/>
          <w:highlight w:val="none"/>
          <w:lang w:val="en-US" w:eastAsia="zh-CN"/>
        </w:rPr>
        <w:t>4-3</w:t>
      </w:r>
      <w:r>
        <w:rPr>
          <w:b/>
          <w:color w:val="auto"/>
          <w:highlight w:val="none"/>
        </w:rPr>
        <w:t xml:space="preserve">    点源参数表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03"/>
        <w:gridCol w:w="1561"/>
        <w:gridCol w:w="1373"/>
        <w:gridCol w:w="1620"/>
        <w:gridCol w:w="1004"/>
        <w:gridCol w:w="1022"/>
        <w:gridCol w:w="1375"/>
        <w:gridCol w:w="937"/>
        <w:gridCol w:w="1064"/>
        <w:gridCol w:w="765"/>
        <w:gridCol w:w="1815"/>
      </w:tblGrid>
      <w:tr w14:paraId="7032D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tcBorders>
              <w:tl2br w:val="nil"/>
              <w:tr2bl w:val="nil"/>
            </w:tcBorders>
            <w:noWrap w:val="0"/>
            <w:vAlign w:val="center"/>
          </w:tcPr>
          <w:p w14:paraId="57B9E20B">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编号</w:t>
            </w:r>
          </w:p>
        </w:tc>
        <w:tc>
          <w:tcPr>
            <w:tcW w:w="0" w:type="auto"/>
            <w:vMerge w:val="restart"/>
            <w:tcBorders>
              <w:tl2br w:val="nil"/>
              <w:tr2bl w:val="nil"/>
            </w:tcBorders>
            <w:noWrap w:val="0"/>
            <w:vAlign w:val="center"/>
          </w:tcPr>
          <w:p w14:paraId="5F6159CC">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名称</w:t>
            </w:r>
          </w:p>
        </w:tc>
        <w:tc>
          <w:tcPr>
            <w:tcW w:w="0" w:type="auto"/>
            <w:gridSpan w:val="2"/>
            <w:vMerge w:val="restart"/>
            <w:tcBorders>
              <w:tl2br w:val="nil"/>
              <w:tr2bl w:val="nil"/>
            </w:tcBorders>
            <w:noWrap w:val="0"/>
            <w:vAlign w:val="center"/>
          </w:tcPr>
          <w:p w14:paraId="4D696219">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排气筒底部中心坐标</w:t>
            </w:r>
          </w:p>
          <w:p w14:paraId="18759595">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（经纬度坐标/°）</w:t>
            </w:r>
          </w:p>
        </w:tc>
        <w:tc>
          <w:tcPr>
            <w:tcW w:w="0" w:type="auto"/>
            <w:vMerge w:val="restart"/>
            <w:tcBorders>
              <w:tl2br w:val="nil"/>
              <w:tr2bl w:val="nil"/>
            </w:tcBorders>
            <w:noWrap w:val="0"/>
            <w:vAlign w:val="center"/>
          </w:tcPr>
          <w:p w14:paraId="51EFFA5E">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排气筒底部海拔高度/m</w:t>
            </w:r>
          </w:p>
        </w:tc>
        <w:tc>
          <w:tcPr>
            <w:tcW w:w="0" w:type="auto"/>
            <w:vMerge w:val="restart"/>
            <w:tcBorders>
              <w:tl2br w:val="nil"/>
              <w:tr2bl w:val="nil"/>
            </w:tcBorders>
            <w:noWrap w:val="0"/>
            <w:vAlign w:val="center"/>
          </w:tcPr>
          <w:p w14:paraId="0AC164D7">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排气筒高度/m</w:t>
            </w:r>
          </w:p>
        </w:tc>
        <w:tc>
          <w:tcPr>
            <w:tcW w:w="0" w:type="auto"/>
            <w:vMerge w:val="restart"/>
            <w:tcBorders>
              <w:tl2br w:val="nil"/>
              <w:tr2bl w:val="nil"/>
            </w:tcBorders>
            <w:noWrap w:val="0"/>
            <w:vAlign w:val="center"/>
          </w:tcPr>
          <w:p w14:paraId="3EA0C42F">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排气筒内径/m</w:t>
            </w:r>
          </w:p>
        </w:tc>
        <w:tc>
          <w:tcPr>
            <w:tcW w:w="0" w:type="auto"/>
            <w:vMerge w:val="restart"/>
            <w:tcBorders>
              <w:tl2br w:val="nil"/>
              <w:tr2bl w:val="nil"/>
            </w:tcBorders>
            <w:noWrap w:val="0"/>
            <w:vAlign w:val="center"/>
          </w:tcPr>
          <w:p w14:paraId="03103A31">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烟气流速/（m/s）</w:t>
            </w:r>
          </w:p>
        </w:tc>
        <w:tc>
          <w:tcPr>
            <w:tcW w:w="0" w:type="auto"/>
            <w:vMerge w:val="restart"/>
            <w:tcBorders>
              <w:tl2br w:val="nil"/>
              <w:tr2bl w:val="nil"/>
            </w:tcBorders>
            <w:noWrap w:val="0"/>
            <w:vAlign w:val="center"/>
          </w:tcPr>
          <w:p w14:paraId="76725909">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烟气温度/℃</w:t>
            </w:r>
          </w:p>
        </w:tc>
        <w:tc>
          <w:tcPr>
            <w:tcW w:w="0" w:type="auto"/>
            <w:vMerge w:val="restart"/>
            <w:tcBorders>
              <w:tl2br w:val="nil"/>
              <w:tr2bl w:val="nil"/>
            </w:tcBorders>
            <w:noWrap w:val="0"/>
            <w:vAlign w:val="center"/>
          </w:tcPr>
          <w:p w14:paraId="3A94EB82">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年排放小时/h</w:t>
            </w:r>
          </w:p>
        </w:tc>
        <w:tc>
          <w:tcPr>
            <w:tcW w:w="0" w:type="auto"/>
            <w:vMerge w:val="restart"/>
            <w:tcBorders>
              <w:tl2br w:val="nil"/>
              <w:tr2bl w:val="nil"/>
            </w:tcBorders>
            <w:noWrap w:val="0"/>
            <w:vAlign w:val="center"/>
          </w:tcPr>
          <w:p w14:paraId="7EE96B92">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排放工况</w:t>
            </w:r>
          </w:p>
        </w:tc>
        <w:tc>
          <w:tcPr>
            <w:tcW w:w="0" w:type="auto"/>
            <w:tcBorders>
              <w:tl2br w:val="nil"/>
              <w:tr2bl w:val="nil"/>
            </w:tcBorders>
            <w:noWrap w:val="0"/>
            <w:vAlign w:val="center"/>
          </w:tcPr>
          <w:p w14:paraId="256FCF88">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污染物排放速率/（kg/h）</w:t>
            </w:r>
          </w:p>
        </w:tc>
      </w:tr>
      <w:tr w14:paraId="2056F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53F7AC40">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639B07B5">
            <w:pPr>
              <w:pStyle w:val="245"/>
              <w:spacing w:line="240" w:lineRule="auto"/>
              <w:rPr>
                <w:rFonts w:ascii="Times New Roman" w:hAnsi="Times New Roman" w:cs="Times New Roman"/>
                <w:color w:val="auto"/>
                <w:kern w:val="0"/>
                <w:highlight w:val="none"/>
              </w:rPr>
            </w:pPr>
          </w:p>
        </w:tc>
        <w:tc>
          <w:tcPr>
            <w:tcW w:w="0" w:type="auto"/>
            <w:gridSpan w:val="2"/>
            <w:vMerge w:val="continue"/>
            <w:tcBorders>
              <w:tl2br w:val="nil"/>
              <w:tr2bl w:val="nil"/>
            </w:tcBorders>
            <w:noWrap w:val="0"/>
            <w:vAlign w:val="center"/>
          </w:tcPr>
          <w:p w14:paraId="32C98B69">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00DAF437">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5ABA2C3E">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6134BF8D">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43EE9694">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7601BADF">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6411AFB0">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04863E3E">
            <w:pPr>
              <w:pStyle w:val="245"/>
              <w:spacing w:line="240" w:lineRule="auto"/>
              <w:rPr>
                <w:rFonts w:ascii="Times New Roman" w:hAnsi="Times New Roman" w:cs="Times New Roman"/>
                <w:color w:val="auto"/>
                <w:kern w:val="0"/>
                <w:highlight w:val="none"/>
              </w:rPr>
            </w:pPr>
          </w:p>
        </w:tc>
        <w:tc>
          <w:tcPr>
            <w:tcW w:w="0" w:type="auto"/>
            <w:tcBorders>
              <w:tl2br w:val="nil"/>
              <w:tr2bl w:val="nil"/>
            </w:tcBorders>
            <w:noWrap w:val="0"/>
            <w:vAlign w:val="center"/>
          </w:tcPr>
          <w:p w14:paraId="4FA10227">
            <w:pPr>
              <w:pStyle w:val="245"/>
              <w:spacing w:line="240" w:lineRule="auto"/>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val="en-US" w:eastAsia="zh-CN"/>
              </w:rPr>
              <w:t>颗粒物（</w:t>
            </w:r>
            <w:r>
              <w:rPr>
                <w:rFonts w:ascii="Times New Roman" w:hAnsi="Times New Roman" w:cs="Times New Roman"/>
                <w:color w:val="auto"/>
                <w:kern w:val="0"/>
                <w:highlight w:val="none"/>
              </w:rPr>
              <w:t>PM</w:t>
            </w:r>
            <w:r>
              <w:rPr>
                <w:rFonts w:ascii="Times New Roman" w:hAnsi="Times New Roman" w:cs="Times New Roman"/>
                <w:color w:val="auto"/>
                <w:kern w:val="0"/>
                <w:highlight w:val="none"/>
                <w:vertAlign w:val="subscript"/>
              </w:rPr>
              <w:t>10</w:t>
            </w:r>
            <w:r>
              <w:rPr>
                <w:rFonts w:hint="eastAsia" w:ascii="Times New Roman" w:hAnsi="Times New Roman" w:cs="Times New Roman"/>
                <w:color w:val="auto"/>
                <w:kern w:val="0"/>
                <w:highlight w:val="none"/>
                <w:lang w:val="en-US" w:eastAsia="zh-CN"/>
              </w:rPr>
              <w:t>）</w:t>
            </w:r>
          </w:p>
        </w:tc>
      </w:tr>
      <w:tr w14:paraId="3A042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7B72AC33">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DA001</w:t>
            </w:r>
          </w:p>
        </w:tc>
        <w:tc>
          <w:tcPr>
            <w:tcW w:w="0" w:type="auto"/>
            <w:tcBorders>
              <w:tl2br w:val="nil"/>
              <w:tr2bl w:val="nil"/>
            </w:tcBorders>
            <w:noWrap w:val="0"/>
            <w:vAlign w:val="center"/>
          </w:tcPr>
          <w:p w14:paraId="5FC96697">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破碎</w:t>
            </w:r>
            <w:r>
              <w:rPr>
                <w:rFonts w:hint="eastAsia" w:ascii="Times New Roman" w:hAnsi="Times New Roman" w:cs="Times New Roman"/>
                <w:color w:val="auto"/>
                <w:kern w:val="0"/>
                <w:highlight w:val="none"/>
              </w:rPr>
              <w:t>-筛分</w:t>
            </w:r>
          </w:p>
        </w:tc>
        <w:tc>
          <w:tcPr>
            <w:tcW w:w="1560" w:type="dxa"/>
            <w:tcBorders>
              <w:tl2br w:val="nil"/>
              <w:tr2bl w:val="nil"/>
            </w:tcBorders>
            <w:noWrap w:val="0"/>
            <w:vAlign w:val="center"/>
          </w:tcPr>
          <w:p w14:paraId="75D72149">
            <w:pPr>
              <w:pStyle w:val="245"/>
              <w:spacing w:line="240" w:lineRule="auto"/>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val="en-US" w:eastAsia="zh-CN"/>
              </w:rPr>
              <w:t>E</w:t>
            </w:r>
            <w:r>
              <w:rPr>
                <w:rFonts w:ascii="Times New Roman" w:hAnsi="Times New Roman" w:cs="Times New Roman"/>
                <w:color w:val="auto"/>
                <w:kern w:val="0"/>
                <w:highlight w:val="none"/>
              </w:rPr>
              <w:t>116.576275</w:t>
            </w:r>
          </w:p>
        </w:tc>
        <w:tc>
          <w:tcPr>
            <w:tcW w:w="1373" w:type="dxa"/>
            <w:tcBorders>
              <w:tl2br w:val="nil"/>
              <w:tr2bl w:val="nil"/>
            </w:tcBorders>
            <w:noWrap w:val="0"/>
            <w:vAlign w:val="center"/>
          </w:tcPr>
          <w:p w14:paraId="11AF59A8">
            <w:pPr>
              <w:pStyle w:val="245"/>
              <w:spacing w:line="240" w:lineRule="auto"/>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val="en-US" w:eastAsia="zh-CN"/>
              </w:rPr>
              <w:t>N</w:t>
            </w:r>
            <w:r>
              <w:rPr>
                <w:rFonts w:ascii="Times New Roman" w:hAnsi="Times New Roman" w:cs="Times New Roman"/>
                <w:color w:val="auto"/>
                <w:kern w:val="0"/>
                <w:highlight w:val="none"/>
              </w:rPr>
              <w:t>42.186927</w:t>
            </w:r>
          </w:p>
        </w:tc>
        <w:tc>
          <w:tcPr>
            <w:tcW w:w="0" w:type="auto"/>
            <w:tcBorders>
              <w:tl2br w:val="nil"/>
              <w:tr2bl w:val="nil"/>
            </w:tcBorders>
            <w:noWrap w:val="0"/>
            <w:vAlign w:val="center"/>
          </w:tcPr>
          <w:p w14:paraId="1543A771">
            <w:pPr>
              <w:pStyle w:val="245"/>
              <w:spacing w:line="240" w:lineRule="auto"/>
              <w:rPr>
                <w:rFonts w:hint="default"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1257</w:t>
            </w:r>
            <w:r>
              <w:rPr>
                <w:rFonts w:hint="eastAsia" w:ascii="Times New Roman" w:hAnsi="Times New Roman" w:cs="Times New Roman"/>
                <w:color w:val="auto"/>
                <w:kern w:val="0"/>
                <w:highlight w:val="none"/>
                <w:lang w:val="en-US" w:eastAsia="zh-CN"/>
              </w:rPr>
              <w:t>.0</w:t>
            </w:r>
          </w:p>
        </w:tc>
        <w:tc>
          <w:tcPr>
            <w:tcW w:w="0" w:type="auto"/>
            <w:tcBorders>
              <w:tl2br w:val="nil"/>
              <w:tr2bl w:val="nil"/>
            </w:tcBorders>
            <w:noWrap w:val="0"/>
            <w:vAlign w:val="center"/>
          </w:tcPr>
          <w:p w14:paraId="3AAA57BB">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15</w:t>
            </w:r>
          </w:p>
        </w:tc>
        <w:tc>
          <w:tcPr>
            <w:tcW w:w="0" w:type="auto"/>
            <w:tcBorders>
              <w:tl2br w:val="nil"/>
              <w:tr2bl w:val="nil"/>
            </w:tcBorders>
            <w:noWrap w:val="0"/>
            <w:vAlign w:val="center"/>
          </w:tcPr>
          <w:p w14:paraId="34A9CC5C">
            <w:pPr>
              <w:pStyle w:val="245"/>
              <w:spacing w:line="240" w:lineRule="auto"/>
              <w:rPr>
                <w:rFonts w:hint="eastAsia" w:ascii="Times New Roman" w:hAnsi="Times New Roman" w:eastAsia="宋体" w:cs="Times New Roman"/>
                <w:color w:val="auto"/>
                <w:kern w:val="0"/>
                <w:highlight w:val="none"/>
                <w:lang w:eastAsia="zh-CN"/>
              </w:rPr>
            </w:pPr>
            <w:r>
              <w:rPr>
                <w:rFonts w:ascii="Times New Roman" w:hAnsi="Times New Roman" w:cs="Times New Roman"/>
                <w:color w:val="auto"/>
                <w:kern w:val="0"/>
                <w:highlight w:val="none"/>
              </w:rPr>
              <w:t>0.</w:t>
            </w:r>
            <w:r>
              <w:rPr>
                <w:rFonts w:hint="eastAsia" w:cs="Times New Roman"/>
                <w:color w:val="auto"/>
                <w:kern w:val="0"/>
                <w:highlight w:val="none"/>
                <w:lang w:val="en-US" w:eastAsia="zh-CN"/>
              </w:rPr>
              <w:t>2</w:t>
            </w:r>
          </w:p>
        </w:tc>
        <w:tc>
          <w:tcPr>
            <w:tcW w:w="0" w:type="auto"/>
            <w:tcBorders>
              <w:tl2br w:val="nil"/>
              <w:tr2bl w:val="nil"/>
            </w:tcBorders>
            <w:noWrap w:val="0"/>
            <w:vAlign w:val="center"/>
          </w:tcPr>
          <w:p w14:paraId="498093A3">
            <w:pPr>
              <w:pStyle w:val="245"/>
              <w:spacing w:line="240" w:lineRule="auto"/>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17.</w:t>
            </w:r>
            <w:r>
              <w:rPr>
                <w:rFonts w:hint="eastAsia" w:cs="Times New Roman"/>
                <w:color w:val="auto"/>
                <w:kern w:val="0"/>
                <w:highlight w:val="none"/>
                <w:lang w:val="en-US" w:eastAsia="zh-CN"/>
              </w:rPr>
              <w:t>7</w:t>
            </w:r>
          </w:p>
        </w:tc>
        <w:tc>
          <w:tcPr>
            <w:tcW w:w="0" w:type="auto"/>
            <w:tcBorders>
              <w:tl2br w:val="nil"/>
              <w:tr2bl w:val="nil"/>
            </w:tcBorders>
            <w:noWrap w:val="0"/>
            <w:vAlign w:val="center"/>
          </w:tcPr>
          <w:p w14:paraId="43EDB741">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25</w:t>
            </w:r>
          </w:p>
        </w:tc>
        <w:tc>
          <w:tcPr>
            <w:tcW w:w="0" w:type="auto"/>
            <w:tcBorders>
              <w:tl2br w:val="nil"/>
              <w:tr2bl w:val="nil"/>
            </w:tcBorders>
            <w:noWrap w:val="0"/>
            <w:vAlign w:val="center"/>
          </w:tcPr>
          <w:p w14:paraId="2C5D0046">
            <w:pPr>
              <w:pStyle w:val="245"/>
              <w:spacing w:line="240" w:lineRule="auto"/>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2400</w:t>
            </w:r>
          </w:p>
        </w:tc>
        <w:tc>
          <w:tcPr>
            <w:tcW w:w="0" w:type="auto"/>
            <w:tcBorders>
              <w:tl2br w:val="nil"/>
              <w:tr2bl w:val="nil"/>
            </w:tcBorders>
            <w:noWrap w:val="0"/>
            <w:vAlign w:val="center"/>
          </w:tcPr>
          <w:p w14:paraId="40ACFE6E">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正常</w:t>
            </w:r>
          </w:p>
        </w:tc>
        <w:tc>
          <w:tcPr>
            <w:tcW w:w="0" w:type="auto"/>
            <w:tcBorders>
              <w:tl2br w:val="nil"/>
              <w:tr2bl w:val="nil"/>
            </w:tcBorders>
            <w:noWrap w:val="0"/>
            <w:vAlign w:val="center"/>
          </w:tcPr>
          <w:p w14:paraId="26FAF996">
            <w:pPr>
              <w:pStyle w:val="245"/>
              <w:spacing w:line="240" w:lineRule="auto"/>
              <w:rPr>
                <w:rFonts w:hint="default"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0.</w:t>
            </w:r>
            <w:r>
              <w:rPr>
                <w:rFonts w:hint="eastAsia" w:ascii="Times New Roman" w:hAnsi="Times New Roman" w:cs="Times New Roman"/>
                <w:color w:val="auto"/>
                <w:kern w:val="0"/>
                <w:highlight w:val="none"/>
              </w:rPr>
              <w:t>0</w:t>
            </w:r>
            <w:r>
              <w:rPr>
                <w:rFonts w:hint="eastAsia" w:ascii="Times New Roman" w:hAnsi="Times New Roman" w:cs="Times New Roman"/>
                <w:color w:val="auto"/>
                <w:kern w:val="0"/>
                <w:highlight w:val="none"/>
                <w:lang w:val="en-US" w:eastAsia="zh-CN"/>
              </w:rPr>
              <w:t>1</w:t>
            </w:r>
            <w:r>
              <w:rPr>
                <w:rFonts w:hint="eastAsia" w:cs="Times New Roman"/>
                <w:color w:val="auto"/>
                <w:kern w:val="0"/>
                <w:highlight w:val="none"/>
                <w:lang w:val="en-US" w:eastAsia="zh-CN"/>
              </w:rPr>
              <w:t>4</w:t>
            </w:r>
          </w:p>
        </w:tc>
      </w:tr>
    </w:tbl>
    <w:p w14:paraId="6DB106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highlight w:val="none"/>
        </w:rPr>
      </w:pPr>
    </w:p>
    <w:p w14:paraId="2C8517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highlight w:val="none"/>
        </w:rPr>
      </w:pPr>
      <w:r>
        <w:rPr>
          <w:b/>
          <w:color w:val="auto"/>
          <w:highlight w:val="none"/>
        </w:rPr>
        <w:t>表2.</w:t>
      </w:r>
      <w:r>
        <w:rPr>
          <w:rFonts w:hint="eastAsia"/>
          <w:b/>
          <w:color w:val="auto"/>
          <w:highlight w:val="none"/>
          <w:lang w:val="en-US" w:eastAsia="zh-CN"/>
        </w:rPr>
        <w:t>4-4</w:t>
      </w:r>
      <w:r>
        <w:rPr>
          <w:b/>
          <w:color w:val="auto"/>
          <w:highlight w:val="none"/>
        </w:rPr>
        <w:t xml:space="preserve">    面源参数表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642"/>
        <w:gridCol w:w="1560"/>
        <w:gridCol w:w="1484"/>
        <w:gridCol w:w="1174"/>
        <w:gridCol w:w="1120"/>
        <w:gridCol w:w="1067"/>
        <w:gridCol w:w="1432"/>
        <w:gridCol w:w="1342"/>
        <w:gridCol w:w="825"/>
        <w:gridCol w:w="1654"/>
      </w:tblGrid>
      <w:tr w14:paraId="538FD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 w:type="pct"/>
            <w:vMerge w:val="restart"/>
            <w:tcBorders>
              <w:tl2br w:val="nil"/>
              <w:tr2bl w:val="nil"/>
            </w:tcBorders>
            <w:noWrap w:val="0"/>
            <w:vAlign w:val="center"/>
          </w:tcPr>
          <w:p w14:paraId="211FCEC3">
            <w:pPr>
              <w:pStyle w:val="245"/>
              <w:spacing w:line="240" w:lineRule="auto"/>
              <w:jc w:val="center"/>
              <w:rPr>
                <w:rFonts w:hint="eastAsia" w:ascii="Times New Roman" w:hAnsi="Times New Roman" w:cs="Times New Roman"/>
                <w:color w:val="auto"/>
                <w:kern w:val="0"/>
                <w:highlight w:val="none"/>
                <w:lang w:eastAsia="zh-CN"/>
              </w:rPr>
            </w:pPr>
            <w:r>
              <w:rPr>
                <w:rFonts w:hint="eastAsia" w:ascii="Times New Roman" w:hAnsi="Times New Roman" w:cs="Times New Roman"/>
                <w:color w:val="auto"/>
                <w:kern w:val="0"/>
                <w:highlight w:val="none"/>
                <w:lang w:val="en-US" w:eastAsia="zh-CN"/>
              </w:rPr>
              <w:t>序号</w:t>
            </w:r>
          </w:p>
        </w:tc>
        <w:tc>
          <w:tcPr>
            <w:tcW w:w="579" w:type="pct"/>
            <w:vMerge w:val="restart"/>
            <w:tcBorders>
              <w:tl2br w:val="nil"/>
              <w:tr2bl w:val="nil"/>
            </w:tcBorders>
            <w:noWrap w:val="0"/>
            <w:vAlign w:val="center"/>
          </w:tcPr>
          <w:p w14:paraId="2996FF0F">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名称</w:t>
            </w:r>
          </w:p>
        </w:tc>
        <w:tc>
          <w:tcPr>
            <w:tcW w:w="1073" w:type="pct"/>
            <w:gridSpan w:val="2"/>
            <w:vMerge w:val="restart"/>
            <w:tcBorders>
              <w:tl2br w:val="nil"/>
              <w:tr2bl w:val="nil"/>
            </w:tcBorders>
            <w:noWrap w:val="0"/>
            <w:vAlign w:val="center"/>
          </w:tcPr>
          <w:p w14:paraId="2EF5EB12">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面源起始点坐标</w:t>
            </w:r>
          </w:p>
          <w:p w14:paraId="113D73FE">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（经纬度坐标/°）</w:t>
            </w:r>
          </w:p>
        </w:tc>
        <w:tc>
          <w:tcPr>
            <w:tcW w:w="1690" w:type="pct"/>
            <w:gridSpan w:val="4"/>
            <w:tcBorders>
              <w:tl2br w:val="nil"/>
              <w:tr2bl w:val="nil"/>
            </w:tcBorders>
            <w:noWrap w:val="0"/>
            <w:vAlign w:val="center"/>
          </w:tcPr>
          <w:p w14:paraId="27C511B6">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面源参数</w:t>
            </w:r>
          </w:p>
        </w:tc>
        <w:tc>
          <w:tcPr>
            <w:tcW w:w="473" w:type="pct"/>
            <w:vMerge w:val="restart"/>
            <w:tcBorders>
              <w:tl2br w:val="nil"/>
              <w:tr2bl w:val="nil"/>
            </w:tcBorders>
            <w:noWrap w:val="0"/>
            <w:vAlign w:val="center"/>
          </w:tcPr>
          <w:p w14:paraId="56117B3B">
            <w:pPr>
              <w:pStyle w:val="245"/>
              <w:spacing w:line="240" w:lineRule="auto"/>
              <w:jc w:val="center"/>
              <w:rPr>
                <w:rFonts w:hint="eastAsia" w:ascii="Times New Roman" w:hAnsi="Times New Roman" w:cs="Times New Roman"/>
                <w:color w:val="auto"/>
                <w:kern w:val="0"/>
                <w:highlight w:val="none"/>
                <w:lang w:eastAsia="zh-CN"/>
              </w:rPr>
            </w:pPr>
            <w:r>
              <w:rPr>
                <w:rFonts w:ascii="Times New Roman" w:hAnsi="Times New Roman" w:cs="Times New Roman"/>
                <w:color w:val="auto"/>
                <w:kern w:val="0"/>
                <w:highlight w:val="none"/>
              </w:rPr>
              <w:t>年排放小时</w:t>
            </w: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h</w:t>
            </w:r>
            <w:r>
              <w:rPr>
                <w:rFonts w:hint="eastAsia" w:ascii="Times New Roman" w:hAnsi="Times New Roman" w:cs="Times New Roman"/>
                <w:color w:val="auto"/>
                <w:kern w:val="0"/>
                <w:highlight w:val="none"/>
                <w:lang w:eastAsia="zh-CN"/>
              </w:rPr>
              <w:t>）</w:t>
            </w:r>
          </w:p>
        </w:tc>
        <w:tc>
          <w:tcPr>
            <w:tcW w:w="291" w:type="pct"/>
            <w:vMerge w:val="restart"/>
            <w:tcBorders>
              <w:tl2br w:val="nil"/>
              <w:tr2bl w:val="nil"/>
            </w:tcBorders>
            <w:noWrap w:val="0"/>
            <w:vAlign w:val="center"/>
          </w:tcPr>
          <w:p w14:paraId="4E66B5C0">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排放工况</w:t>
            </w:r>
          </w:p>
        </w:tc>
        <w:tc>
          <w:tcPr>
            <w:tcW w:w="583" w:type="pct"/>
            <w:tcBorders>
              <w:tl2br w:val="nil"/>
              <w:tr2bl w:val="nil"/>
            </w:tcBorders>
            <w:noWrap w:val="0"/>
            <w:vAlign w:val="center"/>
          </w:tcPr>
          <w:p w14:paraId="6B3BB37F">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污染物排放速率/（</w:t>
            </w:r>
            <w:r>
              <w:rPr>
                <w:rFonts w:hint="eastAsia" w:cs="Times New Roman"/>
                <w:color w:val="auto"/>
                <w:kern w:val="0"/>
                <w:highlight w:val="none"/>
                <w:lang w:val="en-US" w:eastAsia="zh-CN"/>
              </w:rPr>
              <w:t>kg</w:t>
            </w:r>
            <w:r>
              <w:rPr>
                <w:rFonts w:ascii="Times New Roman" w:hAnsi="Times New Roman" w:cs="Times New Roman"/>
                <w:color w:val="auto"/>
                <w:kern w:val="0"/>
                <w:highlight w:val="none"/>
              </w:rPr>
              <w:t>/</w:t>
            </w:r>
            <w:r>
              <w:rPr>
                <w:rFonts w:hint="eastAsia" w:cs="Times New Roman"/>
                <w:color w:val="auto"/>
                <w:kern w:val="0"/>
                <w:highlight w:val="none"/>
                <w:lang w:val="en-US" w:eastAsia="zh-CN"/>
              </w:rPr>
              <w:t>h</w:t>
            </w:r>
            <w:r>
              <w:rPr>
                <w:rFonts w:ascii="Times New Roman" w:hAnsi="Times New Roman" w:cs="Times New Roman"/>
                <w:color w:val="auto"/>
                <w:kern w:val="0"/>
                <w:highlight w:val="none"/>
              </w:rPr>
              <w:t>）</w:t>
            </w:r>
          </w:p>
        </w:tc>
      </w:tr>
      <w:tr w14:paraId="64879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 w:type="pct"/>
            <w:vMerge w:val="continue"/>
            <w:tcBorders>
              <w:tl2br w:val="nil"/>
              <w:tr2bl w:val="nil"/>
            </w:tcBorders>
            <w:noWrap w:val="0"/>
            <w:vAlign w:val="center"/>
          </w:tcPr>
          <w:p w14:paraId="543DC185">
            <w:pPr>
              <w:pStyle w:val="245"/>
              <w:spacing w:line="240" w:lineRule="auto"/>
              <w:jc w:val="center"/>
              <w:rPr>
                <w:rFonts w:ascii="Times New Roman" w:hAnsi="Times New Roman" w:cs="Times New Roman"/>
                <w:color w:val="auto"/>
                <w:kern w:val="0"/>
                <w:highlight w:val="none"/>
              </w:rPr>
            </w:pPr>
          </w:p>
        </w:tc>
        <w:tc>
          <w:tcPr>
            <w:tcW w:w="579" w:type="pct"/>
            <w:vMerge w:val="continue"/>
            <w:tcBorders>
              <w:tl2br w:val="nil"/>
              <w:tr2bl w:val="nil"/>
            </w:tcBorders>
            <w:noWrap w:val="0"/>
            <w:vAlign w:val="center"/>
          </w:tcPr>
          <w:p w14:paraId="0827C632">
            <w:pPr>
              <w:pStyle w:val="245"/>
              <w:spacing w:line="240" w:lineRule="auto"/>
              <w:jc w:val="center"/>
              <w:rPr>
                <w:rFonts w:ascii="Times New Roman" w:hAnsi="Times New Roman" w:cs="Times New Roman"/>
                <w:color w:val="auto"/>
                <w:kern w:val="0"/>
                <w:highlight w:val="none"/>
              </w:rPr>
            </w:pPr>
          </w:p>
        </w:tc>
        <w:tc>
          <w:tcPr>
            <w:tcW w:w="1073" w:type="pct"/>
            <w:gridSpan w:val="2"/>
            <w:vMerge w:val="continue"/>
            <w:tcBorders>
              <w:tl2br w:val="nil"/>
              <w:tr2bl w:val="nil"/>
            </w:tcBorders>
            <w:noWrap w:val="0"/>
            <w:vAlign w:val="center"/>
          </w:tcPr>
          <w:p w14:paraId="0E10E48B">
            <w:pPr>
              <w:pStyle w:val="245"/>
              <w:spacing w:line="240" w:lineRule="auto"/>
              <w:jc w:val="center"/>
              <w:rPr>
                <w:rFonts w:ascii="Times New Roman" w:hAnsi="Times New Roman" w:cs="Times New Roman"/>
                <w:color w:val="auto"/>
                <w:kern w:val="0"/>
                <w:highlight w:val="none"/>
              </w:rPr>
            </w:pPr>
          </w:p>
        </w:tc>
        <w:tc>
          <w:tcPr>
            <w:tcW w:w="414" w:type="pct"/>
            <w:tcBorders>
              <w:tl2br w:val="nil"/>
              <w:tr2bl w:val="nil"/>
            </w:tcBorders>
            <w:noWrap w:val="0"/>
            <w:vAlign w:val="center"/>
          </w:tcPr>
          <w:p w14:paraId="26D0C049">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面源长度</w:t>
            </w:r>
          </w:p>
          <w:p w14:paraId="714CB759">
            <w:pPr>
              <w:pStyle w:val="245"/>
              <w:spacing w:line="240" w:lineRule="auto"/>
              <w:jc w:val="center"/>
              <w:rPr>
                <w:rFonts w:hint="eastAsia" w:ascii="Times New Roman" w:hAnsi="Times New Roman" w:cs="Times New Roman"/>
                <w:color w:val="auto"/>
                <w:kern w:val="0"/>
                <w:highlight w:val="none"/>
                <w:lang w:eastAsia="zh-CN"/>
              </w:rPr>
            </w:pP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m</w:t>
            </w:r>
            <w:r>
              <w:rPr>
                <w:rFonts w:hint="eastAsia" w:ascii="Times New Roman" w:hAnsi="Times New Roman" w:cs="Times New Roman"/>
                <w:color w:val="auto"/>
                <w:kern w:val="0"/>
                <w:highlight w:val="none"/>
                <w:lang w:eastAsia="zh-CN"/>
              </w:rPr>
              <w:t>）</w:t>
            </w:r>
          </w:p>
        </w:tc>
        <w:tc>
          <w:tcPr>
            <w:tcW w:w="395" w:type="pct"/>
            <w:tcBorders>
              <w:tl2br w:val="nil"/>
              <w:tr2bl w:val="nil"/>
            </w:tcBorders>
            <w:noWrap w:val="0"/>
            <w:vAlign w:val="center"/>
          </w:tcPr>
          <w:p w14:paraId="603A0A46">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面源宽度</w:t>
            </w: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m</w:t>
            </w:r>
            <w:r>
              <w:rPr>
                <w:rFonts w:hint="eastAsia" w:ascii="Times New Roman" w:hAnsi="Times New Roman" w:cs="Times New Roman"/>
                <w:color w:val="auto"/>
                <w:kern w:val="0"/>
                <w:highlight w:val="none"/>
                <w:lang w:eastAsia="zh-CN"/>
              </w:rPr>
              <w:t>）</w:t>
            </w:r>
          </w:p>
        </w:tc>
        <w:tc>
          <w:tcPr>
            <w:tcW w:w="376" w:type="pct"/>
            <w:tcBorders>
              <w:tl2br w:val="nil"/>
              <w:tr2bl w:val="nil"/>
            </w:tcBorders>
            <w:noWrap w:val="0"/>
            <w:vAlign w:val="center"/>
          </w:tcPr>
          <w:p w14:paraId="0267284A">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海拔高度（m）</w:t>
            </w:r>
          </w:p>
        </w:tc>
        <w:tc>
          <w:tcPr>
            <w:tcW w:w="505" w:type="pct"/>
            <w:tcBorders>
              <w:tl2br w:val="nil"/>
              <w:tr2bl w:val="nil"/>
            </w:tcBorders>
            <w:noWrap w:val="0"/>
            <w:vAlign w:val="center"/>
          </w:tcPr>
          <w:p w14:paraId="5E2D3B62">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有效排放高度（m）</w:t>
            </w:r>
          </w:p>
        </w:tc>
        <w:tc>
          <w:tcPr>
            <w:tcW w:w="473" w:type="pct"/>
            <w:vMerge w:val="continue"/>
            <w:tcBorders>
              <w:tl2br w:val="nil"/>
              <w:tr2bl w:val="nil"/>
            </w:tcBorders>
            <w:noWrap w:val="0"/>
            <w:vAlign w:val="center"/>
          </w:tcPr>
          <w:p w14:paraId="041925BB">
            <w:pPr>
              <w:pStyle w:val="245"/>
              <w:spacing w:line="240" w:lineRule="auto"/>
              <w:jc w:val="center"/>
              <w:rPr>
                <w:rFonts w:ascii="Times New Roman" w:hAnsi="Times New Roman" w:cs="Times New Roman"/>
                <w:color w:val="auto"/>
                <w:kern w:val="0"/>
                <w:highlight w:val="none"/>
              </w:rPr>
            </w:pPr>
          </w:p>
        </w:tc>
        <w:tc>
          <w:tcPr>
            <w:tcW w:w="291" w:type="pct"/>
            <w:vMerge w:val="continue"/>
            <w:tcBorders>
              <w:tl2br w:val="nil"/>
              <w:tr2bl w:val="nil"/>
            </w:tcBorders>
            <w:noWrap w:val="0"/>
            <w:vAlign w:val="center"/>
          </w:tcPr>
          <w:p w14:paraId="308E33A2">
            <w:pPr>
              <w:pStyle w:val="245"/>
              <w:spacing w:line="240" w:lineRule="auto"/>
              <w:jc w:val="center"/>
              <w:rPr>
                <w:rFonts w:ascii="Times New Roman" w:hAnsi="Times New Roman" w:cs="Times New Roman"/>
                <w:color w:val="auto"/>
                <w:kern w:val="0"/>
                <w:highlight w:val="none"/>
              </w:rPr>
            </w:pPr>
          </w:p>
        </w:tc>
        <w:tc>
          <w:tcPr>
            <w:tcW w:w="583" w:type="pct"/>
            <w:tcBorders>
              <w:tl2br w:val="nil"/>
              <w:tr2bl w:val="nil"/>
            </w:tcBorders>
            <w:noWrap w:val="0"/>
            <w:vAlign w:val="center"/>
          </w:tcPr>
          <w:p w14:paraId="05300F10">
            <w:pPr>
              <w:pStyle w:val="245"/>
              <w:spacing w:line="240" w:lineRule="auto"/>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val="en-US" w:eastAsia="zh-CN"/>
              </w:rPr>
              <w:t>颗粒物（</w:t>
            </w:r>
            <w:r>
              <w:rPr>
                <w:rFonts w:ascii="Times New Roman" w:hAnsi="Times New Roman" w:cs="Times New Roman"/>
                <w:color w:val="auto"/>
                <w:kern w:val="0"/>
                <w:highlight w:val="none"/>
              </w:rPr>
              <w:t>TSP</w:t>
            </w:r>
            <w:r>
              <w:rPr>
                <w:rFonts w:hint="eastAsia" w:ascii="Times New Roman" w:hAnsi="Times New Roman" w:cs="Times New Roman"/>
                <w:color w:val="auto"/>
                <w:kern w:val="0"/>
                <w:highlight w:val="none"/>
                <w:lang w:val="en-US" w:eastAsia="zh-CN"/>
              </w:rPr>
              <w:t>）</w:t>
            </w:r>
          </w:p>
        </w:tc>
      </w:tr>
      <w:tr w14:paraId="6F126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 w:type="pct"/>
            <w:tcBorders>
              <w:tl2br w:val="nil"/>
              <w:tr2bl w:val="nil"/>
            </w:tcBorders>
            <w:noWrap w:val="0"/>
            <w:vAlign w:val="center"/>
          </w:tcPr>
          <w:p w14:paraId="7434DD76">
            <w:pPr>
              <w:pStyle w:val="245"/>
              <w:spacing w:line="240" w:lineRule="auto"/>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w:t>
            </w:r>
          </w:p>
        </w:tc>
        <w:tc>
          <w:tcPr>
            <w:tcW w:w="579" w:type="pct"/>
            <w:tcBorders>
              <w:tl2br w:val="nil"/>
              <w:tr2bl w:val="nil"/>
            </w:tcBorders>
            <w:noWrap w:val="0"/>
            <w:vAlign w:val="center"/>
          </w:tcPr>
          <w:p w14:paraId="1FEB01BF">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原矿</w:t>
            </w:r>
            <w:r>
              <w:rPr>
                <w:rFonts w:hint="eastAsia" w:ascii="Times New Roman" w:hAnsi="Times New Roman" w:cs="Times New Roman"/>
                <w:color w:val="auto"/>
                <w:kern w:val="0"/>
                <w:highlight w:val="none"/>
                <w:lang w:val="en-US" w:eastAsia="zh-CN"/>
              </w:rPr>
              <w:t>贮存库</w:t>
            </w:r>
          </w:p>
        </w:tc>
        <w:tc>
          <w:tcPr>
            <w:tcW w:w="1583" w:type="dxa"/>
            <w:tcBorders>
              <w:tl2br w:val="nil"/>
              <w:tr2bl w:val="nil"/>
            </w:tcBorders>
            <w:noWrap w:val="0"/>
            <w:vAlign w:val="center"/>
          </w:tcPr>
          <w:p w14:paraId="00A63267">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116.575782</w:t>
            </w:r>
          </w:p>
        </w:tc>
        <w:tc>
          <w:tcPr>
            <w:tcW w:w="1506" w:type="dxa"/>
            <w:tcBorders>
              <w:tl2br w:val="nil"/>
              <w:tr2bl w:val="nil"/>
            </w:tcBorders>
            <w:noWrap w:val="0"/>
            <w:vAlign w:val="center"/>
          </w:tcPr>
          <w:p w14:paraId="056911B4">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42.186713</w:t>
            </w:r>
          </w:p>
        </w:tc>
        <w:tc>
          <w:tcPr>
            <w:tcW w:w="414" w:type="pct"/>
            <w:tcBorders>
              <w:tl2br w:val="nil"/>
              <w:tr2bl w:val="nil"/>
            </w:tcBorders>
            <w:noWrap w:val="0"/>
            <w:vAlign w:val="center"/>
          </w:tcPr>
          <w:p w14:paraId="3C6AC105">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100</w:t>
            </w:r>
          </w:p>
        </w:tc>
        <w:tc>
          <w:tcPr>
            <w:tcW w:w="395" w:type="pct"/>
            <w:tcBorders>
              <w:tl2br w:val="nil"/>
              <w:tr2bl w:val="nil"/>
            </w:tcBorders>
            <w:noWrap w:val="0"/>
            <w:vAlign w:val="center"/>
          </w:tcPr>
          <w:p w14:paraId="1A8AB6BC">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rPr>
              <w:t>40</w:t>
            </w:r>
          </w:p>
        </w:tc>
        <w:tc>
          <w:tcPr>
            <w:tcW w:w="376" w:type="pct"/>
            <w:tcBorders>
              <w:tl2br w:val="nil"/>
              <w:tr2bl w:val="nil"/>
            </w:tcBorders>
            <w:noWrap w:val="0"/>
            <w:vAlign w:val="center"/>
          </w:tcPr>
          <w:p w14:paraId="00B6F420">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1258</w:t>
            </w:r>
          </w:p>
        </w:tc>
        <w:tc>
          <w:tcPr>
            <w:tcW w:w="505" w:type="pct"/>
            <w:tcBorders>
              <w:tl2br w:val="nil"/>
              <w:tr2bl w:val="nil"/>
            </w:tcBorders>
            <w:noWrap w:val="0"/>
            <w:vAlign w:val="center"/>
          </w:tcPr>
          <w:p w14:paraId="6E25F07A">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8</w:t>
            </w:r>
          </w:p>
        </w:tc>
        <w:tc>
          <w:tcPr>
            <w:tcW w:w="473" w:type="pct"/>
            <w:tcBorders>
              <w:tl2br w:val="nil"/>
              <w:tr2bl w:val="nil"/>
            </w:tcBorders>
            <w:noWrap w:val="0"/>
            <w:vAlign w:val="center"/>
          </w:tcPr>
          <w:p w14:paraId="63E2251E">
            <w:pPr>
              <w:pStyle w:val="245"/>
              <w:spacing w:line="240" w:lineRule="auto"/>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7200</w:t>
            </w:r>
          </w:p>
        </w:tc>
        <w:tc>
          <w:tcPr>
            <w:tcW w:w="291" w:type="pct"/>
            <w:vMerge w:val="restart"/>
            <w:tcBorders>
              <w:tl2br w:val="nil"/>
              <w:tr2bl w:val="nil"/>
            </w:tcBorders>
            <w:noWrap w:val="0"/>
            <w:vAlign w:val="center"/>
          </w:tcPr>
          <w:p w14:paraId="080735A5">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正常</w:t>
            </w:r>
          </w:p>
        </w:tc>
        <w:tc>
          <w:tcPr>
            <w:tcW w:w="583" w:type="pct"/>
            <w:tcBorders>
              <w:tl2br w:val="nil"/>
              <w:tr2bl w:val="nil"/>
            </w:tcBorders>
            <w:noWrap w:val="0"/>
            <w:vAlign w:val="center"/>
          </w:tcPr>
          <w:p w14:paraId="7B7901C5">
            <w:pPr>
              <w:pStyle w:val="245"/>
              <w:spacing w:line="240" w:lineRule="auto"/>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0.0</w:t>
            </w:r>
            <w:r>
              <w:rPr>
                <w:rFonts w:hint="eastAsia" w:cs="Times New Roman"/>
                <w:color w:val="auto"/>
                <w:kern w:val="0"/>
                <w:highlight w:val="none"/>
                <w:lang w:val="en-US" w:eastAsia="zh-CN"/>
              </w:rPr>
              <w:t>42</w:t>
            </w:r>
          </w:p>
        </w:tc>
      </w:tr>
      <w:tr w14:paraId="02D9C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 w:type="pct"/>
            <w:tcBorders>
              <w:tl2br w:val="nil"/>
              <w:tr2bl w:val="nil"/>
            </w:tcBorders>
            <w:noWrap w:val="0"/>
            <w:vAlign w:val="center"/>
          </w:tcPr>
          <w:p w14:paraId="03413C67">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2</w:t>
            </w:r>
          </w:p>
        </w:tc>
        <w:tc>
          <w:tcPr>
            <w:tcW w:w="579" w:type="pct"/>
            <w:tcBorders>
              <w:tl2br w:val="nil"/>
              <w:tr2bl w:val="nil"/>
            </w:tcBorders>
            <w:noWrap w:val="0"/>
            <w:vAlign w:val="center"/>
          </w:tcPr>
          <w:p w14:paraId="139F41FE">
            <w:pPr>
              <w:pStyle w:val="245"/>
              <w:spacing w:line="240" w:lineRule="auto"/>
              <w:jc w:val="center"/>
              <w:rPr>
                <w:rFonts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破碎、筛选车间</w:t>
            </w:r>
          </w:p>
        </w:tc>
        <w:tc>
          <w:tcPr>
            <w:tcW w:w="1583" w:type="dxa"/>
            <w:tcBorders>
              <w:tl2br w:val="nil"/>
              <w:tr2bl w:val="nil"/>
            </w:tcBorders>
            <w:noWrap w:val="0"/>
            <w:vAlign w:val="center"/>
          </w:tcPr>
          <w:p w14:paraId="7EC0C544">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116.575994</w:t>
            </w:r>
          </w:p>
        </w:tc>
        <w:tc>
          <w:tcPr>
            <w:tcW w:w="1506" w:type="dxa"/>
            <w:tcBorders>
              <w:tl2br w:val="nil"/>
              <w:tr2bl w:val="nil"/>
            </w:tcBorders>
            <w:noWrap w:val="0"/>
            <w:vAlign w:val="center"/>
          </w:tcPr>
          <w:p w14:paraId="5C8C8101">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42.186971</w:t>
            </w:r>
          </w:p>
        </w:tc>
        <w:tc>
          <w:tcPr>
            <w:tcW w:w="414" w:type="pct"/>
            <w:tcBorders>
              <w:tl2br w:val="nil"/>
              <w:tr2bl w:val="nil"/>
            </w:tcBorders>
            <w:noWrap w:val="0"/>
            <w:vAlign w:val="center"/>
          </w:tcPr>
          <w:p w14:paraId="3928BD57">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50</w:t>
            </w:r>
          </w:p>
        </w:tc>
        <w:tc>
          <w:tcPr>
            <w:tcW w:w="395" w:type="pct"/>
            <w:tcBorders>
              <w:tl2br w:val="nil"/>
              <w:tr2bl w:val="nil"/>
            </w:tcBorders>
            <w:noWrap w:val="0"/>
            <w:vAlign w:val="center"/>
          </w:tcPr>
          <w:p w14:paraId="316066E4">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37</w:t>
            </w:r>
          </w:p>
        </w:tc>
        <w:tc>
          <w:tcPr>
            <w:tcW w:w="376" w:type="pct"/>
            <w:tcBorders>
              <w:tl2br w:val="nil"/>
              <w:tr2bl w:val="nil"/>
            </w:tcBorders>
            <w:noWrap w:val="0"/>
            <w:vAlign w:val="center"/>
          </w:tcPr>
          <w:p w14:paraId="652D1604">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1257</w:t>
            </w:r>
          </w:p>
        </w:tc>
        <w:tc>
          <w:tcPr>
            <w:tcW w:w="505" w:type="pct"/>
            <w:tcBorders>
              <w:tl2br w:val="nil"/>
              <w:tr2bl w:val="nil"/>
            </w:tcBorders>
            <w:noWrap w:val="0"/>
            <w:vAlign w:val="center"/>
          </w:tcPr>
          <w:p w14:paraId="4EEE5856">
            <w:pPr>
              <w:pStyle w:val="245"/>
              <w:spacing w:line="240" w:lineRule="auto"/>
              <w:jc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12</w:t>
            </w:r>
          </w:p>
        </w:tc>
        <w:tc>
          <w:tcPr>
            <w:tcW w:w="473" w:type="pct"/>
            <w:tcBorders>
              <w:tl2br w:val="nil"/>
              <w:tr2bl w:val="nil"/>
            </w:tcBorders>
            <w:noWrap w:val="0"/>
            <w:vAlign w:val="center"/>
          </w:tcPr>
          <w:p w14:paraId="1E94A934">
            <w:pPr>
              <w:pStyle w:val="245"/>
              <w:spacing w:line="240" w:lineRule="auto"/>
              <w:jc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2400</w:t>
            </w:r>
          </w:p>
        </w:tc>
        <w:tc>
          <w:tcPr>
            <w:tcW w:w="291" w:type="pct"/>
            <w:vMerge w:val="continue"/>
            <w:tcBorders>
              <w:tl2br w:val="nil"/>
              <w:tr2bl w:val="nil"/>
            </w:tcBorders>
            <w:noWrap w:val="0"/>
            <w:vAlign w:val="center"/>
          </w:tcPr>
          <w:p w14:paraId="1465186A">
            <w:pPr>
              <w:pStyle w:val="245"/>
              <w:spacing w:line="240" w:lineRule="auto"/>
              <w:jc w:val="center"/>
              <w:rPr>
                <w:rFonts w:ascii="Times New Roman" w:hAnsi="Times New Roman" w:cs="Times New Roman"/>
                <w:color w:val="auto"/>
                <w:kern w:val="0"/>
                <w:highlight w:val="none"/>
              </w:rPr>
            </w:pPr>
          </w:p>
        </w:tc>
        <w:tc>
          <w:tcPr>
            <w:tcW w:w="583" w:type="pct"/>
            <w:tcBorders>
              <w:tl2br w:val="nil"/>
              <w:tr2bl w:val="nil"/>
            </w:tcBorders>
            <w:noWrap w:val="0"/>
            <w:vAlign w:val="center"/>
          </w:tcPr>
          <w:p w14:paraId="7A7EA3EC">
            <w:pPr>
              <w:pStyle w:val="245"/>
              <w:spacing w:line="240" w:lineRule="auto"/>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0.1</w:t>
            </w:r>
            <w:r>
              <w:rPr>
                <w:rFonts w:hint="eastAsia" w:cs="Times New Roman"/>
                <w:color w:val="auto"/>
                <w:kern w:val="0"/>
                <w:highlight w:val="none"/>
                <w:lang w:val="en-US" w:eastAsia="zh-CN"/>
              </w:rPr>
              <w:t>56</w:t>
            </w:r>
          </w:p>
        </w:tc>
      </w:tr>
    </w:tbl>
    <w:p w14:paraId="1BDE25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highlight w:val="none"/>
        </w:rPr>
      </w:pPr>
    </w:p>
    <w:p w14:paraId="0AA772A5">
      <w:pPr>
        <w:pStyle w:val="199"/>
        <w:spacing w:before="120"/>
        <w:rPr>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28FD2A79">
      <w:pPr>
        <w:ind w:firstLine="422" w:firstLineChars="176"/>
        <w:jc w:val="left"/>
        <w:rPr>
          <w:color w:val="auto"/>
          <w:szCs w:val="21"/>
          <w:highlight w:val="none"/>
        </w:rPr>
      </w:pPr>
      <w:r>
        <w:rPr>
          <w:rFonts w:hint="eastAsia"/>
          <w:color w:val="auto"/>
          <w:szCs w:val="21"/>
          <w:highlight w:val="none"/>
        </w:rPr>
        <w:t>采用</w:t>
      </w:r>
      <w:r>
        <w:rPr>
          <w:color w:val="auto"/>
          <w:szCs w:val="21"/>
          <w:highlight w:val="none"/>
        </w:rPr>
        <w:t>导则推荐的估算模式</w:t>
      </w:r>
      <w:r>
        <w:rPr>
          <w:rFonts w:hint="eastAsia"/>
          <w:color w:val="auto"/>
          <w:szCs w:val="21"/>
          <w:highlight w:val="none"/>
        </w:rPr>
        <w:t>计算</w:t>
      </w:r>
      <w:r>
        <w:rPr>
          <w:color w:val="auto"/>
          <w:szCs w:val="21"/>
          <w:highlight w:val="none"/>
        </w:rPr>
        <w:t>最大落地浓度和占标率，</w:t>
      </w:r>
      <w:r>
        <w:rPr>
          <w:rFonts w:hint="eastAsia"/>
          <w:color w:val="auto"/>
          <w:szCs w:val="21"/>
          <w:highlight w:val="none"/>
        </w:rPr>
        <w:t>本项目所有污染源的正常排放的污染物的</w:t>
      </w:r>
      <w:r>
        <w:rPr>
          <w:color w:val="auto"/>
          <w:szCs w:val="21"/>
          <w:highlight w:val="none"/>
        </w:rPr>
        <w:t>P</w:t>
      </w:r>
      <w:r>
        <w:rPr>
          <w:color w:val="auto"/>
          <w:szCs w:val="21"/>
          <w:highlight w:val="none"/>
          <w:vertAlign w:val="subscript"/>
        </w:rPr>
        <w:t>max</w:t>
      </w:r>
      <w:r>
        <w:rPr>
          <w:rFonts w:hint="eastAsia"/>
          <w:color w:val="auto"/>
          <w:szCs w:val="21"/>
          <w:highlight w:val="none"/>
        </w:rPr>
        <w:t>和</w:t>
      </w:r>
      <w:r>
        <w:rPr>
          <w:color w:val="auto"/>
          <w:szCs w:val="21"/>
          <w:highlight w:val="none"/>
        </w:rPr>
        <w:t>D</w:t>
      </w:r>
      <w:r>
        <w:rPr>
          <w:color w:val="auto"/>
          <w:szCs w:val="21"/>
          <w:highlight w:val="none"/>
          <w:vertAlign w:val="subscript"/>
        </w:rPr>
        <w:t>10%</w:t>
      </w:r>
      <w:r>
        <w:rPr>
          <w:rFonts w:hint="eastAsia"/>
          <w:color w:val="auto"/>
          <w:szCs w:val="21"/>
          <w:highlight w:val="none"/>
        </w:rPr>
        <w:t>预测结果</w:t>
      </w:r>
      <w:r>
        <w:rPr>
          <w:color w:val="auto"/>
          <w:szCs w:val="21"/>
          <w:highlight w:val="none"/>
        </w:rPr>
        <w:t>详见表</w:t>
      </w:r>
      <w:r>
        <w:rPr>
          <w:rFonts w:hint="eastAsia"/>
          <w:color w:val="auto"/>
          <w:szCs w:val="21"/>
          <w:highlight w:val="none"/>
        </w:rPr>
        <w:t>2.4-5</w:t>
      </w:r>
      <w:r>
        <w:rPr>
          <w:color w:val="auto"/>
          <w:szCs w:val="21"/>
          <w:highlight w:val="none"/>
        </w:rPr>
        <w:t>。</w:t>
      </w:r>
    </w:p>
    <w:p w14:paraId="49AC1457">
      <w:pPr>
        <w:overflowPunct w:val="0"/>
        <w:ind w:firstLine="480"/>
        <w:rPr>
          <w:color w:val="auto"/>
          <w:highlight w:val="none"/>
        </w:rPr>
      </w:pPr>
      <w:r>
        <w:rPr>
          <w:rFonts w:hint="eastAsia"/>
          <w:color w:val="auto"/>
          <w:highlight w:val="none"/>
        </w:rPr>
        <w:t>（4）估算模型计算结果</w:t>
      </w:r>
    </w:p>
    <w:p w14:paraId="18D06782">
      <w:pPr>
        <w:overflowPunct w:val="0"/>
        <w:ind w:firstLine="480"/>
        <w:rPr>
          <w:rFonts w:hint="eastAsia"/>
          <w:color w:val="auto"/>
          <w:highlight w:val="none"/>
        </w:rPr>
      </w:pPr>
      <w:r>
        <w:rPr>
          <w:rFonts w:hint="eastAsia"/>
          <w:color w:val="auto"/>
          <w:highlight w:val="none"/>
        </w:rPr>
        <w:t>主要污染源估算模型计算结果见表2.4-5。</w:t>
      </w:r>
    </w:p>
    <w:p w14:paraId="6ED5CF7C">
      <w:pPr>
        <w:overflowPunct w:val="0"/>
        <w:ind w:firstLine="0" w:firstLineChars="0"/>
        <w:jc w:val="center"/>
        <w:rPr>
          <w:rFonts w:hint="eastAsia"/>
          <w:b/>
          <w:color w:val="auto"/>
          <w:highlight w:val="none"/>
        </w:rPr>
      </w:pPr>
      <w:r>
        <w:rPr>
          <w:b/>
          <w:color w:val="auto"/>
          <w:highlight w:val="none"/>
        </w:rPr>
        <w:t>表</w:t>
      </w:r>
      <w:r>
        <w:rPr>
          <w:rFonts w:hint="eastAsia"/>
          <w:b/>
          <w:color w:val="auto"/>
          <w:highlight w:val="none"/>
        </w:rPr>
        <w:t>2.4</w:t>
      </w:r>
      <w:r>
        <w:rPr>
          <w:b/>
          <w:color w:val="auto"/>
          <w:highlight w:val="none"/>
        </w:rPr>
        <w:t>-</w:t>
      </w:r>
      <w:r>
        <w:rPr>
          <w:rFonts w:hint="eastAsia"/>
          <w:b/>
          <w:color w:val="auto"/>
          <w:highlight w:val="none"/>
        </w:rPr>
        <w:t>5</w:t>
      </w:r>
      <w:r>
        <w:rPr>
          <w:b/>
          <w:color w:val="auto"/>
          <w:highlight w:val="none"/>
        </w:rPr>
        <w:t xml:space="preserve">  </w:t>
      </w:r>
      <w:r>
        <w:rPr>
          <w:rFonts w:hint="eastAsia"/>
          <w:b/>
          <w:color w:val="auto"/>
          <w:highlight w:val="none"/>
        </w:rPr>
        <w:t xml:space="preserve"> 主要污染源估算模型计算结果表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315"/>
        <w:gridCol w:w="930"/>
        <w:gridCol w:w="774"/>
        <w:gridCol w:w="1488"/>
        <w:gridCol w:w="1360"/>
        <w:gridCol w:w="1010"/>
        <w:gridCol w:w="1056"/>
      </w:tblGrid>
      <w:tr w14:paraId="79464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39D9D66">
            <w:pPr>
              <w:pStyle w:val="245"/>
              <w:spacing w:line="240" w:lineRule="auto"/>
              <w:jc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序号</w:t>
            </w:r>
          </w:p>
        </w:tc>
        <w:tc>
          <w:tcPr>
            <w:tcW w:w="0" w:type="auto"/>
            <w:tcBorders>
              <w:tl2br w:val="nil"/>
              <w:tr2bl w:val="nil"/>
            </w:tcBorders>
            <w:noWrap w:val="0"/>
            <w:vAlign w:val="center"/>
          </w:tcPr>
          <w:p w14:paraId="1FD1BF7F">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污染源名称</w:t>
            </w:r>
          </w:p>
        </w:tc>
        <w:tc>
          <w:tcPr>
            <w:tcW w:w="929" w:type="dxa"/>
            <w:tcBorders>
              <w:tl2br w:val="nil"/>
              <w:tr2bl w:val="nil"/>
            </w:tcBorders>
            <w:noWrap w:val="0"/>
            <w:vAlign w:val="center"/>
          </w:tcPr>
          <w:p w14:paraId="21B9C646">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排放</w:t>
            </w:r>
          </w:p>
          <w:p w14:paraId="11D7EE8C">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方式</w:t>
            </w:r>
          </w:p>
        </w:tc>
        <w:tc>
          <w:tcPr>
            <w:tcW w:w="774" w:type="dxa"/>
            <w:tcBorders>
              <w:tl2br w:val="nil"/>
              <w:tr2bl w:val="nil"/>
            </w:tcBorders>
            <w:noWrap w:val="0"/>
            <w:vAlign w:val="center"/>
          </w:tcPr>
          <w:p w14:paraId="049789A8">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评价因子</w:t>
            </w:r>
          </w:p>
        </w:tc>
        <w:tc>
          <w:tcPr>
            <w:tcW w:w="0" w:type="auto"/>
            <w:tcBorders>
              <w:tl2br w:val="nil"/>
              <w:tr2bl w:val="nil"/>
            </w:tcBorders>
            <w:noWrap w:val="0"/>
            <w:vAlign w:val="center"/>
          </w:tcPr>
          <w:p w14:paraId="52B83B1E">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评价标准(μg/m³)</w:t>
            </w:r>
          </w:p>
        </w:tc>
        <w:tc>
          <w:tcPr>
            <w:tcW w:w="0" w:type="auto"/>
            <w:tcBorders>
              <w:tl2br w:val="nil"/>
              <w:tr2bl w:val="nil"/>
            </w:tcBorders>
            <w:noWrap w:val="0"/>
            <w:vAlign w:val="center"/>
          </w:tcPr>
          <w:p w14:paraId="2FD4D53A">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Cmax(μg/m³)</w:t>
            </w:r>
          </w:p>
        </w:tc>
        <w:tc>
          <w:tcPr>
            <w:tcW w:w="0" w:type="auto"/>
            <w:tcBorders>
              <w:tl2br w:val="nil"/>
              <w:tr2bl w:val="nil"/>
            </w:tcBorders>
            <w:noWrap w:val="0"/>
            <w:vAlign w:val="center"/>
          </w:tcPr>
          <w:p w14:paraId="42BAD800">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Pmax(%)</w:t>
            </w:r>
          </w:p>
        </w:tc>
        <w:tc>
          <w:tcPr>
            <w:tcW w:w="0" w:type="auto"/>
            <w:tcBorders>
              <w:tl2br w:val="nil"/>
              <w:tr2bl w:val="nil"/>
            </w:tcBorders>
            <w:noWrap w:val="0"/>
            <w:vAlign w:val="center"/>
          </w:tcPr>
          <w:p w14:paraId="4F763B3C">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D10%(m)</w:t>
            </w:r>
          </w:p>
        </w:tc>
      </w:tr>
      <w:tr w14:paraId="3D0B0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B6800CC">
            <w:pPr>
              <w:pStyle w:val="245"/>
              <w:spacing w:line="240" w:lineRule="auto"/>
              <w:jc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w:t>
            </w:r>
          </w:p>
        </w:tc>
        <w:tc>
          <w:tcPr>
            <w:tcW w:w="0" w:type="auto"/>
            <w:tcBorders>
              <w:tl2br w:val="nil"/>
              <w:tr2bl w:val="nil"/>
            </w:tcBorders>
            <w:noWrap w:val="0"/>
            <w:vAlign w:val="center"/>
          </w:tcPr>
          <w:p w14:paraId="3A480BCE">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原料堆存库</w:t>
            </w:r>
          </w:p>
        </w:tc>
        <w:tc>
          <w:tcPr>
            <w:tcW w:w="929" w:type="dxa"/>
            <w:tcBorders>
              <w:tl2br w:val="nil"/>
              <w:tr2bl w:val="nil"/>
            </w:tcBorders>
            <w:noWrap w:val="0"/>
            <w:vAlign w:val="center"/>
          </w:tcPr>
          <w:p w14:paraId="4B4B97F7">
            <w:pPr>
              <w:pStyle w:val="245"/>
              <w:spacing w:line="240" w:lineRule="auto"/>
              <w:jc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无组织</w:t>
            </w:r>
          </w:p>
        </w:tc>
        <w:tc>
          <w:tcPr>
            <w:tcW w:w="774" w:type="dxa"/>
            <w:tcBorders>
              <w:tl2br w:val="nil"/>
              <w:tr2bl w:val="nil"/>
            </w:tcBorders>
            <w:noWrap w:val="0"/>
            <w:vAlign w:val="center"/>
          </w:tcPr>
          <w:p w14:paraId="006ED0E6">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TSP</w:t>
            </w:r>
          </w:p>
        </w:tc>
        <w:tc>
          <w:tcPr>
            <w:tcW w:w="0" w:type="auto"/>
            <w:tcBorders>
              <w:tl2br w:val="nil"/>
              <w:tr2bl w:val="nil"/>
            </w:tcBorders>
            <w:noWrap w:val="0"/>
            <w:vAlign w:val="center"/>
          </w:tcPr>
          <w:p w14:paraId="5A82FABD">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900.0</w:t>
            </w:r>
          </w:p>
        </w:tc>
        <w:tc>
          <w:tcPr>
            <w:tcW w:w="0" w:type="auto"/>
            <w:tcBorders>
              <w:tl2br w:val="nil"/>
              <w:tr2bl w:val="nil"/>
            </w:tcBorders>
            <w:noWrap w:val="0"/>
            <w:vAlign w:val="center"/>
          </w:tcPr>
          <w:p w14:paraId="0E1B6F5F">
            <w:pPr>
              <w:pStyle w:val="245"/>
              <w:spacing w:line="240" w:lineRule="auto"/>
              <w:jc w:val="center"/>
              <w:rPr>
                <w:rFonts w:ascii="Times New Roman" w:hAnsi="Times New Roman" w:cs="Times New Roman"/>
                <w:color w:val="auto"/>
                <w:kern w:val="0"/>
                <w:highlight w:val="none"/>
              </w:rPr>
            </w:pPr>
            <w:r>
              <w:rPr>
                <w:rFonts w:hint="eastAsia"/>
                <w:color w:val="auto"/>
                <w:highlight w:val="none"/>
              </w:rPr>
              <w:t>33.041</w:t>
            </w:r>
          </w:p>
        </w:tc>
        <w:tc>
          <w:tcPr>
            <w:tcW w:w="0" w:type="auto"/>
            <w:tcBorders>
              <w:tl2br w:val="nil"/>
              <w:tr2bl w:val="nil"/>
            </w:tcBorders>
            <w:noWrap w:val="0"/>
            <w:vAlign w:val="center"/>
          </w:tcPr>
          <w:p w14:paraId="0BFF29AD">
            <w:pPr>
              <w:pStyle w:val="245"/>
              <w:spacing w:line="240" w:lineRule="auto"/>
              <w:jc w:val="center"/>
              <w:rPr>
                <w:rFonts w:ascii="Times New Roman" w:hAnsi="Times New Roman" w:cs="Times New Roman"/>
                <w:color w:val="auto"/>
                <w:kern w:val="0"/>
                <w:highlight w:val="none"/>
              </w:rPr>
            </w:pPr>
            <w:r>
              <w:rPr>
                <w:rFonts w:hint="eastAsia"/>
                <w:color w:val="auto"/>
                <w:highlight w:val="none"/>
              </w:rPr>
              <w:t>3.67</w:t>
            </w:r>
          </w:p>
        </w:tc>
        <w:tc>
          <w:tcPr>
            <w:tcW w:w="0" w:type="auto"/>
            <w:tcBorders>
              <w:tl2br w:val="nil"/>
              <w:tr2bl w:val="nil"/>
            </w:tcBorders>
            <w:noWrap w:val="0"/>
            <w:vAlign w:val="center"/>
          </w:tcPr>
          <w:p w14:paraId="3776F440">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w:t>
            </w:r>
          </w:p>
        </w:tc>
      </w:tr>
      <w:tr w14:paraId="1CCCC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4060343F">
            <w:pPr>
              <w:pStyle w:val="245"/>
              <w:spacing w:line="240" w:lineRule="auto"/>
              <w:jc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2</w:t>
            </w:r>
          </w:p>
        </w:tc>
        <w:tc>
          <w:tcPr>
            <w:tcW w:w="0" w:type="auto"/>
            <w:tcBorders>
              <w:tl2br w:val="nil"/>
              <w:tr2bl w:val="nil"/>
            </w:tcBorders>
            <w:noWrap w:val="0"/>
            <w:vAlign w:val="center"/>
          </w:tcPr>
          <w:p w14:paraId="1CF093CD">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破碎筛分车间</w:t>
            </w:r>
          </w:p>
        </w:tc>
        <w:tc>
          <w:tcPr>
            <w:tcW w:w="929" w:type="dxa"/>
            <w:tcBorders>
              <w:tl2br w:val="nil"/>
              <w:tr2bl w:val="nil"/>
            </w:tcBorders>
            <w:noWrap w:val="0"/>
            <w:vAlign w:val="center"/>
          </w:tcPr>
          <w:p w14:paraId="0FAA16DA">
            <w:pPr>
              <w:pStyle w:val="245"/>
              <w:spacing w:line="240" w:lineRule="auto"/>
              <w:jc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无组织</w:t>
            </w:r>
          </w:p>
        </w:tc>
        <w:tc>
          <w:tcPr>
            <w:tcW w:w="774" w:type="dxa"/>
            <w:tcBorders>
              <w:tl2br w:val="nil"/>
              <w:tr2bl w:val="nil"/>
            </w:tcBorders>
            <w:noWrap w:val="0"/>
            <w:vAlign w:val="center"/>
          </w:tcPr>
          <w:p w14:paraId="42BF3F05">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TSP</w:t>
            </w:r>
          </w:p>
        </w:tc>
        <w:tc>
          <w:tcPr>
            <w:tcW w:w="0" w:type="auto"/>
            <w:tcBorders>
              <w:tl2br w:val="nil"/>
              <w:tr2bl w:val="nil"/>
            </w:tcBorders>
            <w:noWrap w:val="0"/>
            <w:vAlign w:val="center"/>
          </w:tcPr>
          <w:p w14:paraId="60AECA4A">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900.0</w:t>
            </w:r>
          </w:p>
        </w:tc>
        <w:tc>
          <w:tcPr>
            <w:tcW w:w="0" w:type="auto"/>
            <w:tcBorders>
              <w:tl2br w:val="nil"/>
              <w:tr2bl w:val="nil"/>
            </w:tcBorders>
            <w:noWrap w:val="0"/>
            <w:vAlign w:val="center"/>
          </w:tcPr>
          <w:p w14:paraId="2B9DCB50">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65.425</w:t>
            </w:r>
          </w:p>
        </w:tc>
        <w:tc>
          <w:tcPr>
            <w:tcW w:w="0" w:type="auto"/>
            <w:tcBorders>
              <w:tl2br w:val="nil"/>
              <w:tr2bl w:val="nil"/>
            </w:tcBorders>
            <w:noWrap w:val="0"/>
            <w:vAlign w:val="center"/>
          </w:tcPr>
          <w:p w14:paraId="4C0B6E06">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7.27</w:t>
            </w:r>
          </w:p>
        </w:tc>
        <w:tc>
          <w:tcPr>
            <w:tcW w:w="0" w:type="auto"/>
            <w:tcBorders>
              <w:tl2br w:val="nil"/>
              <w:tr2bl w:val="nil"/>
            </w:tcBorders>
            <w:noWrap w:val="0"/>
            <w:vAlign w:val="center"/>
          </w:tcPr>
          <w:p w14:paraId="6B901B33">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w:t>
            </w:r>
          </w:p>
        </w:tc>
      </w:tr>
      <w:tr w14:paraId="6F214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3AEAC171">
            <w:pPr>
              <w:pStyle w:val="245"/>
              <w:spacing w:line="240" w:lineRule="auto"/>
              <w:jc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3</w:t>
            </w:r>
          </w:p>
        </w:tc>
        <w:tc>
          <w:tcPr>
            <w:tcW w:w="0" w:type="auto"/>
            <w:tcBorders>
              <w:tl2br w:val="nil"/>
              <w:tr2bl w:val="nil"/>
            </w:tcBorders>
            <w:noWrap w:val="0"/>
            <w:vAlign w:val="center"/>
          </w:tcPr>
          <w:p w14:paraId="491B5962">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DA001</w:t>
            </w:r>
          </w:p>
        </w:tc>
        <w:tc>
          <w:tcPr>
            <w:tcW w:w="929" w:type="dxa"/>
            <w:tcBorders>
              <w:tl2br w:val="nil"/>
              <w:tr2bl w:val="nil"/>
            </w:tcBorders>
            <w:noWrap w:val="0"/>
            <w:vAlign w:val="center"/>
          </w:tcPr>
          <w:p w14:paraId="5B2FD894">
            <w:pPr>
              <w:pStyle w:val="245"/>
              <w:spacing w:line="240" w:lineRule="auto"/>
              <w:jc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有组织</w:t>
            </w:r>
          </w:p>
        </w:tc>
        <w:tc>
          <w:tcPr>
            <w:tcW w:w="774" w:type="dxa"/>
            <w:tcBorders>
              <w:tl2br w:val="nil"/>
              <w:tr2bl w:val="nil"/>
            </w:tcBorders>
            <w:noWrap w:val="0"/>
            <w:vAlign w:val="center"/>
          </w:tcPr>
          <w:p w14:paraId="2D7C74DC">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PM</w:t>
            </w:r>
            <w:r>
              <w:rPr>
                <w:rFonts w:ascii="Times New Roman" w:hAnsi="Times New Roman" w:cs="Times New Roman"/>
                <w:color w:val="auto"/>
                <w:kern w:val="0"/>
                <w:highlight w:val="none"/>
                <w:vertAlign w:val="subscript"/>
              </w:rPr>
              <w:t>10</w:t>
            </w:r>
          </w:p>
        </w:tc>
        <w:tc>
          <w:tcPr>
            <w:tcW w:w="0" w:type="auto"/>
            <w:tcBorders>
              <w:tl2br w:val="nil"/>
              <w:tr2bl w:val="nil"/>
            </w:tcBorders>
            <w:noWrap w:val="0"/>
            <w:vAlign w:val="center"/>
          </w:tcPr>
          <w:p w14:paraId="2FAD4DDC">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450.0</w:t>
            </w:r>
          </w:p>
        </w:tc>
        <w:tc>
          <w:tcPr>
            <w:tcW w:w="0" w:type="auto"/>
            <w:tcBorders>
              <w:tl2br w:val="nil"/>
              <w:tr2bl w:val="nil"/>
            </w:tcBorders>
            <w:noWrap w:val="0"/>
            <w:vAlign w:val="center"/>
          </w:tcPr>
          <w:p w14:paraId="2A14CBA7">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20.393</w:t>
            </w:r>
          </w:p>
        </w:tc>
        <w:tc>
          <w:tcPr>
            <w:tcW w:w="0" w:type="auto"/>
            <w:tcBorders>
              <w:tl2br w:val="nil"/>
              <w:tr2bl w:val="nil"/>
            </w:tcBorders>
            <w:noWrap w:val="0"/>
            <w:vAlign w:val="center"/>
          </w:tcPr>
          <w:p w14:paraId="616C464C">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4.53</w:t>
            </w:r>
          </w:p>
        </w:tc>
        <w:tc>
          <w:tcPr>
            <w:tcW w:w="0" w:type="auto"/>
            <w:tcBorders>
              <w:tl2br w:val="nil"/>
              <w:tr2bl w:val="nil"/>
            </w:tcBorders>
            <w:noWrap w:val="0"/>
            <w:vAlign w:val="center"/>
          </w:tcPr>
          <w:p w14:paraId="0F9CD0C2">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w:t>
            </w:r>
          </w:p>
        </w:tc>
      </w:tr>
    </w:tbl>
    <w:p w14:paraId="5D146595">
      <w:pPr>
        <w:ind w:firstLine="480"/>
        <w:rPr>
          <w:color w:val="auto"/>
          <w:highlight w:val="none"/>
        </w:rPr>
      </w:pPr>
      <w:r>
        <w:rPr>
          <w:rFonts w:hint="eastAsia"/>
          <w:color w:val="auto"/>
          <w:highlight w:val="none"/>
        </w:rPr>
        <w:t>据估算模式计算结果可知，</w:t>
      </w:r>
      <w:r>
        <w:rPr>
          <w:rFonts w:hint="eastAsia"/>
          <w:color w:val="auto"/>
          <w:highlight w:val="none"/>
          <w:lang w:val="en-US" w:eastAsia="zh-CN"/>
        </w:rPr>
        <w:t>本</w:t>
      </w:r>
      <w:r>
        <w:rPr>
          <w:rFonts w:hint="eastAsia"/>
          <w:color w:val="auto"/>
          <w:highlight w:val="none"/>
        </w:rPr>
        <w:t>项目</w:t>
      </w:r>
      <w:r>
        <w:rPr>
          <w:rFonts w:hint="eastAsia"/>
          <w:color w:val="auto"/>
          <w:highlight w:val="none"/>
          <w:lang w:val="en-US" w:eastAsia="zh-CN"/>
        </w:rPr>
        <w:t>破碎筛分车间组组织排放颗粒物</w:t>
      </w:r>
      <w:r>
        <w:rPr>
          <w:rFonts w:hint="eastAsia"/>
          <w:color w:val="auto"/>
          <w:highlight w:val="none"/>
        </w:rPr>
        <w:t>最大地面空气质量浓度占标率为</w:t>
      </w:r>
      <w:r>
        <w:rPr>
          <w:rFonts w:hint="eastAsia"/>
          <w:color w:val="auto"/>
          <w:highlight w:val="none"/>
          <w:lang w:val="en-US" w:eastAsia="zh-CN"/>
        </w:rPr>
        <w:t>7.27</w:t>
      </w:r>
      <w:r>
        <w:rPr>
          <w:rFonts w:hint="eastAsia"/>
          <w:color w:val="auto"/>
          <w:highlight w:val="none"/>
        </w:rPr>
        <w:t>%，污染物最大地面浓度占标率</w:t>
      </w:r>
      <w:r>
        <w:rPr>
          <w:color w:val="auto"/>
          <w:highlight w:val="none"/>
        </w:rPr>
        <w:t>1%</w:t>
      </w:r>
      <w:r>
        <w:rPr>
          <w:rFonts w:hint="eastAsia"/>
          <w:color w:val="auto"/>
          <w:highlight w:val="none"/>
        </w:rPr>
        <w:t>≤</w:t>
      </w:r>
      <w:r>
        <w:rPr>
          <w:color w:val="auto"/>
          <w:highlight w:val="none"/>
        </w:rPr>
        <w:t>Pmax</w:t>
      </w:r>
      <w:r>
        <w:rPr>
          <w:rFonts w:hint="eastAsia"/>
          <w:color w:val="auto"/>
          <w:highlight w:val="none"/>
        </w:rPr>
        <w:t>＜</w:t>
      </w:r>
      <w:r>
        <w:rPr>
          <w:color w:val="auto"/>
          <w:highlight w:val="none"/>
        </w:rPr>
        <w:t>10%</w:t>
      </w:r>
      <w:r>
        <w:rPr>
          <w:rFonts w:hint="eastAsia"/>
          <w:color w:val="auto"/>
          <w:highlight w:val="none"/>
        </w:rPr>
        <w:t>，属二级评价；根据《环境影响评价技术导则</w:t>
      </w:r>
      <w:r>
        <w:rPr>
          <w:rFonts w:hint="eastAsia"/>
          <w:color w:val="auto"/>
          <w:highlight w:val="none"/>
          <w:lang w:val="en-US" w:eastAsia="zh-CN"/>
        </w:rPr>
        <w:t>-</w:t>
      </w:r>
      <w:r>
        <w:rPr>
          <w:rFonts w:hint="eastAsia"/>
          <w:color w:val="auto"/>
          <w:highlight w:val="none"/>
        </w:rPr>
        <w:t>大气环境》（HJ2.2-2018）中评价等级判断标准，本项目</w:t>
      </w:r>
      <w:r>
        <w:rPr>
          <w:rFonts w:hint="eastAsia"/>
          <w:color w:val="auto"/>
          <w:highlight w:val="none"/>
          <w:lang w:val="en-US" w:eastAsia="zh-CN"/>
        </w:rPr>
        <w:t>属于“</w:t>
      </w:r>
      <w:r>
        <w:rPr>
          <w:rFonts w:ascii="Times New Roman" w:eastAsia="Calibri" w:cs="Times New Roman"/>
          <w:color w:val="auto"/>
          <w:highlight w:val="none"/>
        </w:rPr>
        <w:t>B1099其他未列明非金属矿采选</w:t>
      </w:r>
      <w:r>
        <w:rPr>
          <w:rFonts w:hint="eastAsia"/>
          <w:color w:val="auto"/>
          <w:highlight w:val="none"/>
          <w:lang w:val="en-US" w:eastAsia="zh-CN"/>
        </w:rPr>
        <w:t>”行业，不</w:t>
      </w:r>
      <w:r>
        <w:rPr>
          <w:rFonts w:hint="eastAsia"/>
          <w:color w:val="auto"/>
          <w:highlight w:val="none"/>
        </w:rPr>
        <w:t>属于“对电力、钢铁、水泥、石化、化工、平板玻璃、有色等高耗能行业的多源项目或以使用高污染燃料为主的多源项目</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因此，</w:t>
      </w:r>
      <w:r>
        <w:rPr>
          <w:rFonts w:hint="eastAsia"/>
          <w:color w:val="auto"/>
          <w:highlight w:val="none"/>
        </w:rPr>
        <w:t>本项目的大气环境评价工作等级为</w:t>
      </w:r>
      <w:r>
        <w:rPr>
          <w:rFonts w:hint="eastAsia"/>
          <w:color w:val="auto"/>
          <w:highlight w:val="none"/>
          <w:lang w:val="en-US" w:eastAsia="zh-CN"/>
        </w:rPr>
        <w:t>二</w:t>
      </w:r>
      <w:r>
        <w:rPr>
          <w:rFonts w:hint="eastAsia"/>
          <w:color w:val="auto"/>
          <w:highlight w:val="none"/>
        </w:rPr>
        <w:t>级。</w:t>
      </w:r>
    </w:p>
    <w:p w14:paraId="340AD1EF">
      <w:pPr>
        <w:ind w:firstLine="480"/>
        <w:rPr>
          <w:color w:val="auto"/>
          <w:highlight w:val="none"/>
        </w:rPr>
      </w:pPr>
      <w:r>
        <w:rPr>
          <w:rFonts w:hint="eastAsia"/>
          <w:color w:val="auto"/>
          <w:highlight w:val="none"/>
        </w:rPr>
        <w:t>（2）评价范围</w:t>
      </w:r>
    </w:p>
    <w:p w14:paraId="47F65FD1">
      <w:pPr>
        <w:ind w:firstLine="480"/>
        <w:rPr>
          <w:rFonts w:hint="eastAsia"/>
          <w:color w:val="auto"/>
          <w:highlight w:val="none"/>
          <w:lang w:val="zh-CN"/>
        </w:rPr>
      </w:pPr>
      <w:r>
        <w:rPr>
          <w:rFonts w:hint="eastAsia"/>
          <w:color w:val="auto"/>
          <w:highlight w:val="none"/>
          <w:lang w:val="zh-CN"/>
        </w:rPr>
        <w:t>评价范围是以项目厂址为中心区域，边长为5.0km的矩形区域为本项目环境空气评价范围。</w:t>
      </w:r>
    </w:p>
    <w:p w14:paraId="64DC2DA2">
      <w:pPr>
        <w:ind w:firstLine="480"/>
        <w:rPr>
          <w:rFonts w:hint="eastAsia"/>
          <w:color w:val="auto"/>
          <w:highlight w:val="none"/>
          <w:lang w:val="zh-CN"/>
        </w:rPr>
      </w:pPr>
      <w:r>
        <w:rPr>
          <w:rFonts w:hint="eastAsia"/>
          <w:color w:val="auto"/>
          <w:highlight w:val="none"/>
          <w:lang w:val="en-US" w:eastAsia="zh-CN"/>
        </w:rPr>
        <w:t>本项目大气环境</w:t>
      </w:r>
      <w:r>
        <w:rPr>
          <w:rFonts w:hint="eastAsia"/>
          <w:color w:val="auto"/>
          <w:highlight w:val="none"/>
          <w:lang w:val="zh-CN"/>
        </w:rPr>
        <w:t>评价范围</w:t>
      </w:r>
      <w:r>
        <w:rPr>
          <w:rFonts w:hint="eastAsia"/>
          <w:color w:val="auto"/>
          <w:highlight w:val="none"/>
          <w:lang w:val="en-US" w:eastAsia="zh-CN"/>
        </w:rPr>
        <w:t>详</w:t>
      </w:r>
      <w:r>
        <w:rPr>
          <w:rFonts w:hint="eastAsia"/>
          <w:color w:val="auto"/>
          <w:highlight w:val="none"/>
          <w:lang w:val="zh-CN"/>
        </w:rPr>
        <w:t>见图2.</w:t>
      </w:r>
      <w:r>
        <w:rPr>
          <w:rFonts w:hint="eastAsia"/>
          <w:color w:val="auto"/>
          <w:highlight w:val="none"/>
          <w:lang w:val="en-US" w:eastAsia="zh-CN"/>
        </w:rPr>
        <w:t>5</w:t>
      </w:r>
      <w:r>
        <w:rPr>
          <w:rFonts w:hint="eastAsia"/>
          <w:color w:val="auto"/>
          <w:highlight w:val="none"/>
          <w:lang w:val="zh-CN"/>
        </w:rPr>
        <w:t>-1。</w:t>
      </w:r>
    </w:p>
    <w:p w14:paraId="7A56A720">
      <w:pPr>
        <w:pStyle w:val="5"/>
        <w:rPr>
          <w:color w:val="auto"/>
          <w:highlight w:val="none"/>
        </w:rPr>
      </w:pPr>
      <w:bookmarkStart w:id="56" w:name="_Toc24447067"/>
      <w:r>
        <w:rPr>
          <w:rFonts w:hint="eastAsia"/>
          <w:color w:val="auto"/>
          <w:highlight w:val="none"/>
        </w:rPr>
        <w:t>地下水环境评价</w:t>
      </w:r>
      <w:bookmarkEnd w:id="56"/>
    </w:p>
    <w:p w14:paraId="6A386301">
      <w:pPr>
        <w:pStyle w:val="6"/>
        <w:rPr>
          <w:color w:val="auto"/>
          <w:highlight w:val="none"/>
        </w:rPr>
      </w:pPr>
      <w:r>
        <w:rPr>
          <w:rFonts w:hint="eastAsia"/>
          <w:color w:val="auto"/>
          <w:highlight w:val="none"/>
          <w:lang w:val="en-US" w:eastAsia="zh-CN"/>
        </w:rPr>
        <w:t xml:space="preserve"> </w:t>
      </w:r>
      <w:r>
        <w:rPr>
          <w:rFonts w:hint="eastAsia"/>
          <w:color w:val="auto"/>
          <w:highlight w:val="none"/>
        </w:rPr>
        <w:t>地下水环境评价工作等级</w:t>
      </w:r>
    </w:p>
    <w:p w14:paraId="012A2F77">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）项目类别</w:t>
      </w:r>
    </w:p>
    <w:p w14:paraId="7C9E64B5">
      <w:pPr>
        <w:pStyle w:val="181"/>
        <w:ind w:firstLine="480"/>
        <w:rPr>
          <w:color w:val="auto"/>
          <w:highlight w:val="none"/>
        </w:rPr>
      </w:pPr>
      <w:r>
        <w:rPr>
          <w:rFonts w:hint="eastAsia"/>
          <w:color w:val="auto"/>
          <w:highlight w:val="none"/>
        </w:rPr>
        <w:t>根据《环境影响评价技术导则</w:t>
      </w:r>
      <w:r>
        <w:rPr>
          <w:color w:val="auto"/>
          <w:highlight w:val="none"/>
        </w:rPr>
        <w:t xml:space="preserve"> </w:t>
      </w:r>
      <w:r>
        <w:rPr>
          <w:rFonts w:hint="eastAsia"/>
          <w:color w:val="auto"/>
          <w:highlight w:val="none"/>
        </w:rPr>
        <w:t>地下水环境》（</w:t>
      </w:r>
      <w:r>
        <w:rPr>
          <w:color w:val="auto"/>
          <w:highlight w:val="none"/>
        </w:rPr>
        <w:t>HJ610-2016</w:t>
      </w:r>
      <w:r>
        <w:rPr>
          <w:rFonts w:hint="eastAsia"/>
          <w:color w:val="auto"/>
          <w:highlight w:val="none"/>
        </w:rPr>
        <w:t>）附录</w:t>
      </w:r>
      <w:r>
        <w:rPr>
          <w:color w:val="auto"/>
          <w:highlight w:val="none"/>
        </w:rPr>
        <w:t>A</w:t>
      </w:r>
      <w:r>
        <w:rPr>
          <w:rFonts w:hint="eastAsia"/>
          <w:color w:val="auto"/>
          <w:highlight w:val="none"/>
        </w:rPr>
        <w:t>地下水环境影响评价行业分类表，本项目行业类别为“J非金属矿采选及制品制造-57石棉及其他非金属矿采选”，属于编制环境影响报告书项目，地下水环境影响评价类别为</w:t>
      </w:r>
      <w:r>
        <w:rPr>
          <w:color w:val="auto"/>
          <w:sz w:val="24"/>
          <w:szCs w:val="24"/>
          <w:highlight w:val="none"/>
        </w:rPr>
        <w:fldChar w:fldCharType="begin"/>
      </w:r>
      <w:r>
        <w:rPr>
          <w:color w:val="auto"/>
          <w:sz w:val="24"/>
          <w:szCs w:val="24"/>
          <w:highlight w:val="none"/>
        </w:rPr>
        <w:instrText xml:space="preserve"> = 3 \* ROMAN </w:instrText>
      </w:r>
      <w:r>
        <w:rPr>
          <w:color w:val="auto"/>
          <w:sz w:val="24"/>
          <w:szCs w:val="24"/>
          <w:highlight w:val="none"/>
        </w:rPr>
        <w:fldChar w:fldCharType="separate"/>
      </w:r>
      <w:r>
        <w:rPr>
          <w:color w:val="auto"/>
          <w:sz w:val="24"/>
          <w:szCs w:val="24"/>
          <w:highlight w:val="none"/>
        </w:rPr>
        <w:t>III</w:t>
      </w:r>
      <w:r>
        <w:rPr>
          <w:color w:val="auto"/>
          <w:sz w:val="24"/>
          <w:szCs w:val="24"/>
          <w:highlight w:val="none"/>
        </w:rPr>
        <w:fldChar w:fldCharType="end"/>
      </w:r>
      <w:r>
        <w:rPr>
          <w:rFonts w:hint="eastAsia"/>
          <w:color w:val="auto"/>
          <w:highlight w:val="none"/>
        </w:rPr>
        <w:t>类。</w:t>
      </w:r>
    </w:p>
    <w:p w14:paraId="2546E7F5">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）环境敏感程度</w:t>
      </w:r>
    </w:p>
    <w:p w14:paraId="1A580E67">
      <w:pPr>
        <w:ind w:firstLine="480"/>
        <w:rPr>
          <w:rFonts w:ascii="Calibri" w:cs="Calibri"/>
          <w:b/>
          <w:color w:val="auto"/>
          <w:highlight w:val="none"/>
        </w:rPr>
      </w:pPr>
      <w:r>
        <w:rPr>
          <w:rFonts w:hint="eastAsia"/>
          <w:color w:val="auto"/>
          <w:kern w:val="0"/>
          <w:highlight w:val="none"/>
        </w:rPr>
        <w:t>建设项目的地下水环境敏感程度可分为敏感、较敏感、不敏感三级，分级原则见表</w:t>
      </w:r>
      <w:r>
        <w:rPr>
          <w:color w:val="auto"/>
          <w:kern w:val="0"/>
          <w:highlight w:val="none"/>
        </w:rPr>
        <w:t>2.</w:t>
      </w:r>
      <w:r>
        <w:rPr>
          <w:rFonts w:hint="eastAsia"/>
          <w:color w:val="auto"/>
          <w:kern w:val="0"/>
          <w:highlight w:val="none"/>
        </w:rPr>
        <w:t>4</w:t>
      </w:r>
      <w:r>
        <w:rPr>
          <w:color w:val="auto"/>
          <w:kern w:val="0"/>
          <w:highlight w:val="none"/>
        </w:rPr>
        <w:t>-</w:t>
      </w:r>
      <w:r>
        <w:rPr>
          <w:rFonts w:hint="eastAsia"/>
          <w:color w:val="auto"/>
          <w:kern w:val="0"/>
          <w:highlight w:val="none"/>
        </w:rPr>
        <w:t>6。</w:t>
      </w:r>
    </w:p>
    <w:p w14:paraId="502E253D">
      <w:pPr>
        <w:pStyle w:val="199"/>
        <w:spacing w:before="120"/>
        <w:rPr>
          <w:color w:val="auto"/>
          <w:sz w:val="24"/>
          <w:highlight w:val="none"/>
        </w:rPr>
      </w:pPr>
      <w:r>
        <w:rPr>
          <w:rFonts w:hint="eastAsia"/>
          <w:color w:val="auto"/>
          <w:sz w:val="24"/>
          <w:highlight w:val="none"/>
        </w:rPr>
        <w:t>表</w:t>
      </w:r>
      <w:r>
        <w:rPr>
          <w:color w:val="auto"/>
          <w:sz w:val="24"/>
          <w:highlight w:val="none"/>
        </w:rPr>
        <w:t>2.</w:t>
      </w:r>
      <w:r>
        <w:rPr>
          <w:rFonts w:hint="eastAsia"/>
          <w:color w:val="auto"/>
          <w:sz w:val="24"/>
          <w:highlight w:val="none"/>
        </w:rPr>
        <w:t>4</w:t>
      </w:r>
      <w:r>
        <w:rPr>
          <w:color w:val="auto"/>
          <w:sz w:val="24"/>
          <w:highlight w:val="none"/>
        </w:rPr>
        <w:t>-</w:t>
      </w:r>
      <w:r>
        <w:rPr>
          <w:rFonts w:hint="eastAsia"/>
          <w:color w:val="auto"/>
          <w:sz w:val="24"/>
          <w:highlight w:val="none"/>
        </w:rPr>
        <w:t>6</w:t>
      </w:r>
      <w:r>
        <w:rPr>
          <w:color w:val="auto"/>
          <w:sz w:val="24"/>
          <w:highlight w:val="none"/>
        </w:rPr>
        <w:t xml:space="preserve">   </w:t>
      </w:r>
      <w:r>
        <w:rPr>
          <w:rFonts w:hint="eastAsia"/>
          <w:color w:val="auto"/>
          <w:sz w:val="24"/>
          <w:highlight w:val="none"/>
        </w:rPr>
        <w:t>地下水环境敏感程度分级表</w:t>
      </w:r>
    </w:p>
    <w:tbl>
      <w:tblPr>
        <w:tblStyle w:val="41"/>
        <w:tblW w:w="852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7421"/>
      </w:tblGrid>
      <w:tr w14:paraId="7937F3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101" w:type="dxa"/>
            <w:noWrap w:val="0"/>
            <w:vAlign w:val="center"/>
          </w:tcPr>
          <w:p w14:paraId="34BF351F">
            <w:pPr>
              <w:spacing w:line="240" w:lineRule="auto"/>
              <w:ind w:firstLine="0" w:firstLineChars="0"/>
              <w:jc w:val="center"/>
              <w:rPr>
                <w:bCs/>
                <w:color w:val="auto"/>
                <w:sz w:val="21"/>
                <w:szCs w:val="21"/>
                <w:highlight w:val="none"/>
              </w:rPr>
            </w:pPr>
            <w:r>
              <w:rPr>
                <w:rFonts w:hint="eastAsia"/>
                <w:bCs/>
                <w:color w:val="auto"/>
                <w:sz w:val="21"/>
                <w:szCs w:val="21"/>
                <w:highlight w:val="none"/>
              </w:rPr>
              <w:t>敏感程度</w:t>
            </w:r>
          </w:p>
        </w:tc>
        <w:tc>
          <w:tcPr>
            <w:tcW w:w="7421" w:type="dxa"/>
            <w:noWrap w:val="0"/>
            <w:vAlign w:val="center"/>
          </w:tcPr>
          <w:p w14:paraId="4ACB0DD9">
            <w:pPr>
              <w:spacing w:line="240" w:lineRule="auto"/>
              <w:ind w:firstLine="0" w:firstLineChars="0"/>
              <w:jc w:val="center"/>
              <w:rPr>
                <w:bCs/>
                <w:color w:val="auto"/>
                <w:sz w:val="21"/>
                <w:szCs w:val="21"/>
                <w:highlight w:val="none"/>
              </w:rPr>
            </w:pPr>
            <w:r>
              <w:rPr>
                <w:rFonts w:hint="eastAsia"/>
                <w:bCs/>
                <w:color w:val="auto"/>
                <w:sz w:val="21"/>
                <w:szCs w:val="21"/>
                <w:highlight w:val="none"/>
              </w:rPr>
              <w:t>地下水环境敏感特征</w:t>
            </w:r>
          </w:p>
        </w:tc>
      </w:tr>
      <w:tr w14:paraId="34BD00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noWrap w:val="0"/>
            <w:vAlign w:val="center"/>
          </w:tcPr>
          <w:p w14:paraId="7C6D7B60">
            <w:pPr>
              <w:spacing w:line="240" w:lineRule="auto"/>
              <w:ind w:firstLine="0" w:firstLineChars="0"/>
              <w:jc w:val="center"/>
              <w:rPr>
                <w:color w:val="auto"/>
                <w:sz w:val="21"/>
                <w:szCs w:val="21"/>
                <w:highlight w:val="none"/>
              </w:rPr>
            </w:pPr>
            <w:r>
              <w:rPr>
                <w:rFonts w:hint="eastAsia"/>
                <w:color w:val="auto"/>
                <w:sz w:val="21"/>
                <w:szCs w:val="21"/>
                <w:highlight w:val="none"/>
              </w:rPr>
              <w:t>敏感</w:t>
            </w:r>
          </w:p>
        </w:tc>
        <w:tc>
          <w:tcPr>
            <w:tcW w:w="7421" w:type="dxa"/>
            <w:noWrap w:val="0"/>
            <w:vAlign w:val="center"/>
          </w:tcPr>
          <w:p w14:paraId="29F3EB53">
            <w:pPr>
              <w:spacing w:line="240" w:lineRule="auto"/>
              <w:ind w:firstLine="0" w:firstLineChars="0"/>
              <w:jc w:val="center"/>
              <w:rPr>
                <w:color w:val="auto"/>
                <w:sz w:val="21"/>
                <w:szCs w:val="21"/>
                <w:highlight w:val="none"/>
              </w:rPr>
            </w:pPr>
            <w:r>
              <w:rPr>
                <w:rFonts w:hint="eastAsia"/>
                <w:color w:val="auto"/>
                <w:sz w:val="21"/>
                <w:szCs w:val="21"/>
                <w:highlight w:val="none"/>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7E432C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noWrap w:val="0"/>
            <w:vAlign w:val="center"/>
          </w:tcPr>
          <w:p w14:paraId="2FB5692B">
            <w:pPr>
              <w:spacing w:line="240" w:lineRule="auto"/>
              <w:ind w:firstLine="0" w:firstLineChars="0"/>
              <w:jc w:val="center"/>
              <w:rPr>
                <w:color w:val="auto"/>
                <w:sz w:val="21"/>
                <w:szCs w:val="21"/>
                <w:highlight w:val="none"/>
              </w:rPr>
            </w:pPr>
            <w:r>
              <w:rPr>
                <w:rFonts w:hint="eastAsia"/>
                <w:color w:val="auto"/>
                <w:sz w:val="21"/>
                <w:szCs w:val="21"/>
                <w:highlight w:val="none"/>
              </w:rPr>
              <w:t>较敏感</w:t>
            </w:r>
          </w:p>
        </w:tc>
        <w:tc>
          <w:tcPr>
            <w:tcW w:w="7421" w:type="dxa"/>
            <w:noWrap w:val="0"/>
            <w:vAlign w:val="center"/>
          </w:tcPr>
          <w:p w14:paraId="49DFCCF2">
            <w:pPr>
              <w:spacing w:line="240" w:lineRule="auto"/>
              <w:ind w:firstLine="0" w:firstLineChars="0"/>
              <w:jc w:val="center"/>
              <w:rPr>
                <w:color w:val="auto"/>
                <w:sz w:val="21"/>
                <w:szCs w:val="21"/>
                <w:highlight w:val="none"/>
              </w:rPr>
            </w:pPr>
            <w:r>
              <w:rPr>
                <w:rFonts w:hint="eastAsia"/>
                <w:color w:val="auto"/>
                <w:sz w:val="21"/>
                <w:szCs w:val="21"/>
                <w:highlight w:val="none"/>
              </w:rPr>
              <w:t>集中式饮用水水源（包括已建成的在用、备用、应急水源，在建和规划的饮用水水源）准保护区以外的补给径流区；未划定准保护区的集中式饮用水水源，其保护区以外的补给径流区；</w:t>
            </w:r>
            <w:r>
              <w:rPr>
                <w:rFonts w:hint="eastAsia"/>
                <w:color w:val="auto"/>
                <w:sz w:val="21"/>
                <w:szCs w:val="21"/>
                <w:highlight w:val="none"/>
                <w:lang w:val="en-US" w:eastAsia="zh-CN"/>
              </w:rPr>
              <w:t>分散</w:t>
            </w:r>
            <w:r>
              <w:rPr>
                <w:rFonts w:hint="eastAsia"/>
                <w:color w:val="auto"/>
                <w:sz w:val="21"/>
                <w:szCs w:val="21"/>
                <w:highlight w:val="none"/>
              </w:rPr>
              <w:t>式饮用水水源地；特殊地下水资源（如矿泉水、温泉等）保护区以外的分布区等其他未列入上述敏感分级的环境敏感区。</w:t>
            </w:r>
          </w:p>
        </w:tc>
      </w:tr>
      <w:tr w14:paraId="19E54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noWrap w:val="0"/>
            <w:vAlign w:val="center"/>
          </w:tcPr>
          <w:p w14:paraId="3F62A85A">
            <w:pPr>
              <w:spacing w:line="240" w:lineRule="auto"/>
              <w:ind w:firstLine="0" w:firstLineChars="0"/>
              <w:jc w:val="center"/>
              <w:rPr>
                <w:color w:val="auto"/>
                <w:sz w:val="21"/>
                <w:szCs w:val="21"/>
                <w:highlight w:val="none"/>
              </w:rPr>
            </w:pPr>
            <w:r>
              <w:rPr>
                <w:rFonts w:hint="eastAsia"/>
                <w:color w:val="auto"/>
                <w:sz w:val="21"/>
                <w:szCs w:val="21"/>
                <w:highlight w:val="none"/>
              </w:rPr>
              <w:t>不敏感</w:t>
            </w:r>
          </w:p>
        </w:tc>
        <w:tc>
          <w:tcPr>
            <w:tcW w:w="7421" w:type="dxa"/>
            <w:noWrap w:val="0"/>
            <w:vAlign w:val="center"/>
          </w:tcPr>
          <w:p w14:paraId="201D2519">
            <w:pPr>
              <w:spacing w:line="240" w:lineRule="auto"/>
              <w:ind w:firstLine="0" w:firstLineChars="0"/>
              <w:jc w:val="center"/>
              <w:rPr>
                <w:color w:val="auto"/>
                <w:sz w:val="21"/>
                <w:szCs w:val="21"/>
                <w:highlight w:val="none"/>
              </w:rPr>
            </w:pPr>
            <w:r>
              <w:rPr>
                <w:rFonts w:hint="eastAsia"/>
                <w:color w:val="auto"/>
                <w:sz w:val="21"/>
                <w:szCs w:val="21"/>
                <w:highlight w:val="none"/>
              </w:rPr>
              <w:t>上述地区之外的其他地区。</w:t>
            </w:r>
          </w:p>
        </w:tc>
      </w:tr>
      <w:tr w14:paraId="63899D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2" w:type="dxa"/>
            <w:gridSpan w:val="2"/>
            <w:noWrap w:val="0"/>
            <w:vAlign w:val="center"/>
          </w:tcPr>
          <w:p w14:paraId="0F1F9CB2">
            <w:pPr>
              <w:spacing w:line="240" w:lineRule="auto"/>
              <w:ind w:firstLine="0" w:firstLineChars="0"/>
              <w:jc w:val="center"/>
              <w:rPr>
                <w:color w:val="auto"/>
                <w:sz w:val="21"/>
                <w:szCs w:val="21"/>
                <w:highlight w:val="none"/>
              </w:rPr>
            </w:pPr>
            <w:r>
              <w:rPr>
                <w:rFonts w:hint="eastAsia"/>
                <w:color w:val="auto"/>
                <w:sz w:val="21"/>
                <w:szCs w:val="21"/>
                <w:highlight w:val="none"/>
              </w:rPr>
              <w:t>注：“环境敏感区”是指《建设项目环境影响评价分类管理名录》中所界定的涉及地下水的敏感区。</w:t>
            </w:r>
          </w:p>
        </w:tc>
      </w:tr>
    </w:tbl>
    <w:p w14:paraId="52C8091E">
      <w:pPr>
        <w:ind w:firstLine="480"/>
        <w:rPr>
          <w:color w:val="auto"/>
          <w:highlight w:val="none"/>
        </w:rPr>
      </w:pPr>
      <w:r>
        <w:rPr>
          <w:rFonts w:hint="eastAsia"/>
          <w:color w:val="auto"/>
          <w:highlight w:val="none"/>
          <w:lang w:val="en-US" w:eastAsia="zh-CN"/>
        </w:rPr>
        <w:t>本</w:t>
      </w:r>
      <w:r>
        <w:rPr>
          <w:rFonts w:ascii="宋体" w:hAnsi="宋体" w:eastAsia="宋体" w:cs="宋体"/>
          <w:color w:val="auto"/>
          <w:spacing w:val="5"/>
          <w:sz w:val="24"/>
          <w:szCs w:val="24"/>
          <w:highlight w:val="none"/>
        </w:rPr>
        <w:t>项目所在</w:t>
      </w:r>
      <w:r>
        <w:rPr>
          <w:rFonts w:hint="eastAsia" w:ascii="宋体" w:hAnsi="宋体" w:cs="宋体"/>
          <w:color w:val="auto"/>
          <w:spacing w:val="5"/>
          <w:sz w:val="24"/>
          <w:szCs w:val="24"/>
          <w:highlight w:val="none"/>
          <w:lang w:val="en-US" w:eastAsia="zh-CN"/>
        </w:rPr>
        <w:t>区</w:t>
      </w:r>
      <w:r>
        <w:rPr>
          <w:rFonts w:ascii="宋体" w:hAnsi="宋体" w:eastAsia="宋体" w:cs="宋体"/>
          <w:color w:val="auto"/>
          <w:spacing w:val="5"/>
          <w:sz w:val="24"/>
          <w:szCs w:val="24"/>
          <w:highlight w:val="none"/>
        </w:rPr>
        <w:t>地下水类型为第四系松散岩类孔隙水</w:t>
      </w:r>
      <w:r>
        <w:rPr>
          <w:rFonts w:hint="eastAsia" w:ascii="宋体" w:hAnsi="宋体" w:eastAsia="宋体" w:cs="宋体"/>
          <w:color w:val="auto"/>
          <w:spacing w:val="5"/>
          <w:sz w:val="24"/>
          <w:szCs w:val="24"/>
          <w:highlight w:val="none"/>
          <w:lang w:eastAsia="zh-CN"/>
        </w:rPr>
        <w:t>，</w:t>
      </w:r>
      <w:r>
        <w:rPr>
          <w:color w:val="auto"/>
          <w:highlight w:val="none"/>
        </w:rPr>
        <w:t>根据实地调查以及资料收集可知，</w:t>
      </w:r>
      <w:r>
        <w:rPr>
          <w:rFonts w:hint="eastAsia"/>
          <w:color w:val="auto"/>
          <w:highlight w:val="none"/>
          <w:lang w:val="en-US" w:eastAsia="zh-CN"/>
        </w:rPr>
        <w:t>址评价范围内</w:t>
      </w:r>
      <w:r>
        <w:rPr>
          <w:rFonts w:hint="eastAsia"/>
          <w:color w:val="auto"/>
          <w:highlight w:val="none"/>
          <w:lang w:eastAsia="zh-CN"/>
        </w:rPr>
        <w:t>不</w:t>
      </w:r>
      <w:r>
        <w:rPr>
          <w:rFonts w:hint="eastAsia"/>
          <w:color w:val="auto"/>
          <w:highlight w:val="none"/>
          <w:lang w:val="en-US" w:eastAsia="zh-CN"/>
        </w:rPr>
        <w:t>存</w:t>
      </w:r>
      <w:r>
        <w:rPr>
          <w:rFonts w:hint="eastAsia"/>
          <w:color w:val="auto"/>
          <w:highlight w:val="none"/>
          <w:lang w:eastAsia="zh-CN"/>
        </w:rPr>
        <w:t>在集中式生活饮用水水源地，不属于集中式饮用水水源地准保护区，也不属于国家或地方政府设定的与地下水环境相关的其它保护区，项目场地</w:t>
      </w:r>
      <w:r>
        <w:rPr>
          <w:rFonts w:hint="eastAsia"/>
          <w:color w:val="auto"/>
          <w:highlight w:val="none"/>
          <w:lang w:val="en-US" w:eastAsia="zh-CN"/>
        </w:rPr>
        <w:t>区域属于“未划定准保护区的集中式饮用水水源，其保护区以外的补给径流区”</w:t>
      </w:r>
      <w:r>
        <w:rPr>
          <w:rFonts w:hint="eastAsia"/>
          <w:color w:val="auto"/>
          <w:highlight w:val="none"/>
          <w:lang w:eastAsia="zh-CN"/>
        </w:rPr>
        <w:t>，故地下水环境敏感程度为“</w:t>
      </w:r>
      <w:r>
        <w:rPr>
          <w:rFonts w:hint="eastAsia"/>
          <w:color w:val="auto"/>
          <w:highlight w:val="none"/>
          <w:lang w:val="en-US" w:eastAsia="zh-CN"/>
        </w:rPr>
        <w:t>较敏感</w:t>
      </w:r>
      <w:r>
        <w:rPr>
          <w:rFonts w:hint="eastAsia"/>
          <w:color w:val="auto"/>
          <w:highlight w:val="none"/>
          <w:lang w:eastAsia="zh-CN"/>
        </w:rPr>
        <w:t>”</w:t>
      </w:r>
      <w:r>
        <w:rPr>
          <w:color w:val="auto"/>
          <w:highlight w:val="none"/>
        </w:rPr>
        <w:t>。</w:t>
      </w:r>
    </w:p>
    <w:p w14:paraId="62D324F8">
      <w:pPr>
        <w:spacing w:line="500" w:lineRule="exact"/>
        <w:ind w:firstLine="480"/>
        <w:rPr>
          <w:rFonts w:hAnsi="宋体"/>
          <w:color w:val="auto"/>
          <w:kern w:val="0"/>
          <w:highlight w:val="none"/>
        </w:rPr>
      </w:pPr>
      <w:r>
        <w:rPr>
          <w:rFonts w:hint="eastAsia" w:hAnsi="宋体"/>
          <w:color w:val="auto"/>
          <w:kern w:val="0"/>
          <w:highlight w:val="none"/>
        </w:rPr>
        <w:t>（</w:t>
      </w:r>
      <w:r>
        <w:rPr>
          <w:rFonts w:hAnsi="宋体"/>
          <w:color w:val="auto"/>
          <w:kern w:val="0"/>
          <w:highlight w:val="none"/>
        </w:rPr>
        <w:t>3</w:t>
      </w:r>
      <w:r>
        <w:rPr>
          <w:rFonts w:hint="eastAsia" w:hAnsi="宋体"/>
          <w:color w:val="auto"/>
          <w:kern w:val="0"/>
          <w:highlight w:val="none"/>
        </w:rPr>
        <w:t>）评价工作等级判定</w:t>
      </w:r>
    </w:p>
    <w:p w14:paraId="4AC90CAF">
      <w:pPr>
        <w:spacing w:line="500" w:lineRule="exact"/>
        <w:ind w:firstLine="480"/>
        <w:rPr>
          <w:color w:val="auto"/>
          <w:kern w:val="0"/>
          <w:highlight w:val="none"/>
        </w:rPr>
      </w:pPr>
      <w:r>
        <w:rPr>
          <w:rFonts w:hint="eastAsia" w:hAnsi="宋体"/>
          <w:color w:val="auto"/>
          <w:kern w:val="0"/>
          <w:highlight w:val="none"/>
        </w:rPr>
        <w:t>建设项目地下水环境影响评价工作等级划分见表</w:t>
      </w:r>
      <w:r>
        <w:rPr>
          <w:color w:val="auto"/>
          <w:kern w:val="0"/>
          <w:highlight w:val="none"/>
        </w:rPr>
        <w:t>2.</w:t>
      </w:r>
      <w:r>
        <w:rPr>
          <w:rFonts w:hint="eastAsia"/>
          <w:color w:val="auto"/>
          <w:kern w:val="0"/>
          <w:highlight w:val="none"/>
        </w:rPr>
        <w:t>4</w:t>
      </w:r>
      <w:r>
        <w:rPr>
          <w:color w:val="auto"/>
          <w:kern w:val="0"/>
          <w:highlight w:val="none"/>
        </w:rPr>
        <w:t>-</w:t>
      </w:r>
      <w:r>
        <w:rPr>
          <w:rFonts w:hint="eastAsia"/>
          <w:color w:val="auto"/>
          <w:kern w:val="0"/>
          <w:highlight w:val="none"/>
        </w:rPr>
        <w:t>7</w:t>
      </w:r>
      <w:r>
        <w:rPr>
          <w:rFonts w:hint="eastAsia" w:hAnsi="宋体"/>
          <w:color w:val="auto"/>
          <w:kern w:val="0"/>
          <w:highlight w:val="none"/>
        </w:rPr>
        <w:t>。</w:t>
      </w:r>
    </w:p>
    <w:p w14:paraId="697C9D1F">
      <w:pPr>
        <w:pStyle w:val="199"/>
        <w:spacing w:before="120"/>
        <w:rPr>
          <w:color w:val="auto"/>
          <w:sz w:val="24"/>
          <w:highlight w:val="none"/>
        </w:rPr>
      </w:pPr>
      <w:r>
        <w:rPr>
          <w:rFonts w:hint="eastAsia"/>
          <w:color w:val="auto"/>
          <w:sz w:val="24"/>
          <w:highlight w:val="none"/>
        </w:rPr>
        <w:t>表</w:t>
      </w:r>
      <w:r>
        <w:rPr>
          <w:color w:val="auto"/>
          <w:sz w:val="24"/>
          <w:highlight w:val="none"/>
        </w:rPr>
        <w:t>2.</w:t>
      </w:r>
      <w:r>
        <w:rPr>
          <w:rFonts w:hint="eastAsia"/>
          <w:color w:val="auto"/>
          <w:sz w:val="24"/>
          <w:highlight w:val="none"/>
        </w:rPr>
        <w:t>4</w:t>
      </w:r>
      <w:r>
        <w:rPr>
          <w:color w:val="auto"/>
          <w:sz w:val="24"/>
          <w:highlight w:val="none"/>
        </w:rPr>
        <w:t>-</w:t>
      </w:r>
      <w:r>
        <w:rPr>
          <w:rFonts w:hint="eastAsia"/>
          <w:color w:val="auto"/>
          <w:sz w:val="24"/>
          <w:highlight w:val="none"/>
        </w:rPr>
        <w:t>7</w:t>
      </w:r>
      <w:r>
        <w:rPr>
          <w:color w:val="auto"/>
          <w:sz w:val="24"/>
          <w:highlight w:val="none"/>
        </w:rPr>
        <w:t xml:space="preserve">   </w:t>
      </w:r>
      <w:r>
        <w:rPr>
          <w:rFonts w:hint="eastAsia"/>
          <w:color w:val="auto"/>
          <w:sz w:val="24"/>
          <w:highlight w:val="none"/>
        </w:rPr>
        <w:t>地下水评价工作分级表</w:t>
      </w:r>
    </w:p>
    <w:tbl>
      <w:tblPr>
        <w:tblStyle w:val="41"/>
        <w:tblW w:w="852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60"/>
        <w:gridCol w:w="1600"/>
        <w:gridCol w:w="2131"/>
        <w:gridCol w:w="2131"/>
      </w:tblGrid>
      <w:tr w14:paraId="1FF1E1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60" w:type="dxa"/>
            <w:noWrap w:val="0"/>
            <w:vAlign w:val="center"/>
          </w:tcPr>
          <w:p w14:paraId="687C795D">
            <w:pPr>
              <w:spacing w:line="240" w:lineRule="auto"/>
              <w:ind w:firstLine="0" w:firstLineChars="0"/>
              <w:jc w:val="center"/>
              <w:rPr>
                <w:color w:val="auto"/>
                <w:kern w:val="0"/>
                <w:sz w:val="21"/>
                <w:szCs w:val="21"/>
                <w:highlight w:val="none"/>
              </w:rPr>
            </w:pPr>
            <w:r>
              <w:rPr>
                <w:color w:val="auto"/>
                <w:kern w:val="0"/>
                <w:sz w:val="21"/>
                <w:szCs w:val="21"/>
                <w:highlight w:val="none"/>
              </w:rPr>
              <w:t>项目类别</w:t>
            </w:r>
          </w:p>
        </w:tc>
        <w:tc>
          <w:tcPr>
            <w:tcW w:w="1600" w:type="dxa"/>
            <w:noWrap w:val="0"/>
            <w:vAlign w:val="center"/>
          </w:tcPr>
          <w:p w14:paraId="30B4FC77">
            <w:pPr>
              <w:spacing w:line="240" w:lineRule="auto"/>
              <w:ind w:firstLine="0" w:firstLineChars="0"/>
              <w:jc w:val="center"/>
              <w:rPr>
                <w:bCs/>
                <w:color w:val="auto"/>
                <w:kern w:val="0"/>
                <w:sz w:val="21"/>
                <w:szCs w:val="21"/>
                <w:highlight w:val="none"/>
              </w:rPr>
            </w:pPr>
            <w:r>
              <w:rPr>
                <w:bCs/>
                <w:color w:val="auto"/>
                <w:kern w:val="0"/>
                <w:sz w:val="21"/>
                <w:szCs w:val="21"/>
                <w:highlight w:val="none"/>
              </w:rPr>
              <w:t>Ⅰ类项目</w:t>
            </w:r>
          </w:p>
        </w:tc>
        <w:tc>
          <w:tcPr>
            <w:tcW w:w="2131" w:type="dxa"/>
            <w:noWrap w:val="0"/>
            <w:vAlign w:val="center"/>
          </w:tcPr>
          <w:p w14:paraId="59051836">
            <w:pPr>
              <w:spacing w:line="240" w:lineRule="auto"/>
              <w:ind w:firstLine="0" w:firstLineChars="0"/>
              <w:jc w:val="center"/>
              <w:rPr>
                <w:bCs/>
                <w:color w:val="auto"/>
                <w:kern w:val="0"/>
                <w:sz w:val="21"/>
                <w:szCs w:val="21"/>
                <w:highlight w:val="none"/>
              </w:rPr>
            </w:pPr>
            <w:r>
              <w:rPr>
                <w:bCs/>
                <w:color w:val="auto"/>
                <w:kern w:val="0"/>
                <w:sz w:val="21"/>
                <w:szCs w:val="21"/>
                <w:highlight w:val="none"/>
              </w:rPr>
              <w:t>Ⅱ类项目</w:t>
            </w:r>
          </w:p>
        </w:tc>
        <w:tc>
          <w:tcPr>
            <w:tcW w:w="2131" w:type="dxa"/>
            <w:noWrap w:val="0"/>
            <w:vAlign w:val="center"/>
          </w:tcPr>
          <w:p w14:paraId="4EAC0081">
            <w:pPr>
              <w:spacing w:line="240" w:lineRule="auto"/>
              <w:ind w:firstLine="0" w:firstLineChars="0"/>
              <w:jc w:val="center"/>
              <w:rPr>
                <w:bCs/>
                <w:color w:val="auto"/>
                <w:kern w:val="0"/>
                <w:sz w:val="21"/>
                <w:szCs w:val="21"/>
                <w:highlight w:val="none"/>
              </w:rPr>
            </w:pPr>
            <w:r>
              <w:rPr>
                <w:bCs/>
                <w:color w:val="auto"/>
                <w:kern w:val="0"/>
                <w:sz w:val="21"/>
                <w:szCs w:val="21"/>
                <w:highlight w:val="none"/>
              </w:rPr>
              <w:t>Ⅲ类项目</w:t>
            </w:r>
          </w:p>
        </w:tc>
      </w:tr>
      <w:tr w14:paraId="66FB67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60" w:type="dxa"/>
            <w:noWrap w:val="0"/>
            <w:vAlign w:val="center"/>
          </w:tcPr>
          <w:p w14:paraId="43A8A31D">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敏感</w:t>
            </w:r>
          </w:p>
        </w:tc>
        <w:tc>
          <w:tcPr>
            <w:tcW w:w="1600" w:type="dxa"/>
            <w:noWrap w:val="0"/>
            <w:vAlign w:val="center"/>
          </w:tcPr>
          <w:p w14:paraId="58C3D59D">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一</w:t>
            </w:r>
          </w:p>
        </w:tc>
        <w:tc>
          <w:tcPr>
            <w:tcW w:w="2131" w:type="dxa"/>
            <w:noWrap w:val="0"/>
            <w:vAlign w:val="center"/>
          </w:tcPr>
          <w:p w14:paraId="27CFE5A7">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一</w:t>
            </w:r>
          </w:p>
        </w:tc>
        <w:tc>
          <w:tcPr>
            <w:tcW w:w="2131" w:type="dxa"/>
            <w:noWrap w:val="0"/>
            <w:vAlign w:val="center"/>
          </w:tcPr>
          <w:p w14:paraId="5FB576C2">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二</w:t>
            </w:r>
          </w:p>
        </w:tc>
      </w:tr>
      <w:tr w14:paraId="30AB60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60" w:type="dxa"/>
            <w:noWrap w:val="0"/>
            <w:vAlign w:val="center"/>
          </w:tcPr>
          <w:p w14:paraId="763ACB2A">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较敏感</w:t>
            </w:r>
          </w:p>
        </w:tc>
        <w:tc>
          <w:tcPr>
            <w:tcW w:w="1600" w:type="dxa"/>
            <w:noWrap w:val="0"/>
            <w:vAlign w:val="center"/>
          </w:tcPr>
          <w:p w14:paraId="4507797D">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一</w:t>
            </w:r>
          </w:p>
        </w:tc>
        <w:tc>
          <w:tcPr>
            <w:tcW w:w="2131" w:type="dxa"/>
            <w:noWrap w:val="0"/>
            <w:vAlign w:val="center"/>
          </w:tcPr>
          <w:p w14:paraId="7A69AE92">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二</w:t>
            </w:r>
          </w:p>
        </w:tc>
        <w:tc>
          <w:tcPr>
            <w:tcW w:w="2131" w:type="dxa"/>
            <w:noWrap w:val="0"/>
            <w:vAlign w:val="center"/>
          </w:tcPr>
          <w:p w14:paraId="45CF1913">
            <w:pPr>
              <w:spacing w:line="240" w:lineRule="auto"/>
              <w:ind w:firstLine="0" w:firstLineChars="0"/>
              <w:jc w:val="center"/>
              <w:rPr>
                <w:color w:val="auto"/>
                <w:kern w:val="0"/>
                <w:sz w:val="21"/>
                <w:szCs w:val="21"/>
                <w:highlight w:val="none"/>
              </w:rPr>
            </w:pPr>
            <w:r>
              <w:rPr>
                <w:rFonts w:hint="eastAsia"/>
                <w:b/>
                <w:bCs/>
                <w:color w:val="auto"/>
                <w:kern w:val="0"/>
                <w:sz w:val="21"/>
                <w:szCs w:val="21"/>
                <w:highlight w:val="none"/>
              </w:rPr>
              <w:t>三</w:t>
            </w:r>
          </w:p>
        </w:tc>
      </w:tr>
      <w:tr w14:paraId="62C265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60" w:type="dxa"/>
            <w:noWrap w:val="0"/>
            <w:vAlign w:val="center"/>
          </w:tcPr>
          <w:p w14:paraId="1E4E9AAE">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不敏感</w:t>
            </w:r>
          </w:p>
        </w:tc>
        <w:tc>
          <w:tcPr>
            <w:tcW w:w="1600" w:type="dxa"/>
            <w:noWrap w:val="0"/>
            <w:vAlign w:val="center"/>
          </w:tcPr>
          <w:p w14:paraId="14D94B79">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二</w:t>
            </w:r>
          </w:p>
        </w:tc>
        <w:tc>
          <w:tcPr>
            <w:tcW w:w="2131" w:type="dxa"/>
            <w:noWrap w:val="0"/>
            <w:vAlign w:val="center"/>
          </w:tcPr>
          <w:p w14:paraId="7B347195">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三</w:t>
            </w:r>
          </w:p>
        </w:tc>
        <w:tc>
          <w:tcPr>
            <w:tcW w:w="2131" w:type="dxa"/>
            <w:noWrap w:val="0"/>
            <w:vAlign w:val="center"/>
          </w:tcPr>
          <w:p w14:paraId="4D1320F5">
            <w:pPr>
              <w:spacing w:line="240" w:lineRule="auto"/>
              <w:ind w:firstLine="0" w:firstLineChars="0"/>
              <w:jc w:val="center"/>
              <w:rPr>
                <w:color w:val="auto"/>
                <w:kern w:val="0"/>
                <w:sz w:val="21"/>
                <w:szCs w:val="21"/>
                <w:highlight w:val="none"/>
              </w:rPr>
            </w:pPr>
            <w:r>
              <w:rPr>
                <w:rFonts w:hint="eastAsia"/>
                <w:b/>
                <w:bCs/>
                <w:color w:val="auto"/>
                <w:kern w:val="0"/>
                <w:sz w:val="21"/>
                <w:szCs w:val="21"/>
                <w:highlight w:val="none"/>
              </w:rPr>
              <w:t>三</w:t>
            </w:r>
          </w:p>
        </w:tc>
      </w:tr>
    </w:tbl>
    <w:p w14:paraId="382A9FB5">
      <w:pPr>
        <w:ind w:firstLine="480"/>
        <w:rPr>
          <w:color w:val="auto"/>
          <w:kern w:val="0"/>
          <w:highlight w:val="none"/>
        </w:rPr>
      </w:pPr>
      <w:r>
        <w:rPr>
          <w:rFonts w:hint="eastAsia" w:hAnsi="宋体"/>
          <w:color w:val="auto"/>
          <w:kern w:val="0"/>
          <w:highlight w:val="none"/>
        </w:rPr>
        <w:t>本项目属于</w:t>
      </w:r>
      <w:r>
        <w:rPr>
          <w:color w:val="auto"/>
          <w:sz w:val="24"/>
          <w:szCs w:val="24"/>
          <w:highlight w:val="none"/>
        </w:rPr>
        <w:fldChar w:fldCharType="begin"/>
      </w:r>
      <w:r>
        <w:rPr>
          <w:color w:val="auto"/>
          <w:sz w:val="24"/>
          <w:szCs w:val="24"/>
          <w:highlight w:val="none"/>
        </w:rPr>
        <w:instrText xml:space="preserve"> = 3 \* ROMAN </w:instrText>
      </w:r>
      <w:r>
        <w:rPr>
          <w:color w:val="auto"/>
          <w:sz w:val="24"/>
          <w:szCs w:val="24"/>
          <w:highlight w:val="none"/>
        </w:rPr>
        <w:fldChar w:fldCharType="separate"/>
      </w:r>
      <w:r>
        <w:rPr>
          <w:color w:val="auto"/>
          <w:sz w:val="24"/>
          <w:szCs w:val="24"/>
          <w:highlight w:val="none"/>
        </w:rPr>
        <w:t>III</w:t>
      </w:r>
      <w:r>
        <w:rPr>
          <w:color w:val="auto"/>
          <w:sz w:val="24"/>
          <w:szCs w:val="24"/>
          <w:highlight w:val="none"/>
        </w:rPr>
        <w:fldChar w:fldCharType="end"/>
      </w:r>
      <w:r>
        <w:rPr>
          <w:rFonts w:hint="eastAsia" w:hAnsi="宋体"/>
          <w:color w:val="auto"/>
          <w:kern w:val="0"/>
          <w:highlight w:val="none"/>
        </w:rPr>
        <w:t>类项目，环境敏感程度为“</w:t>
      </w:r>
      <w:r>
        <w:rPr>
          <w:rFonts w:hint="eastAsia" w:hAnsi="宋体"/>
          <w:color w:val="auto"/>
          <w:kern w:val="0"/>
          <w:highlight w:val="none"/>
          <w:lang w:val="en-US" w:eastAsia="zh-CN"/>
        </w:rPr>
        <w:t>较敏感</w:t>
      </w:r>
      <w:r>
        <w:rPr>
          <w:rFonts w:hint="eastAsia" w:hAnsi="宋体"/>
          <w:color w:val="auto"/>
          <w:kern w:val="0"/>
          <w:highlight w:val="none"/>
        </w:rPr>
        <w:t>”，故本项目地下水评价工作等级为“</w:t>
      </w:r>
      <w:r>
        <w:rPr>
          <w:rFonts w:hint="eastAsia" w:hAnsi="宋体"/>
          <w:color w:val="auto"/>
          <w:kern w:val="0"/>
          <w:highlight w:val="none"/>
          <w:lang w:val="en-US" w:eastAsia="zh-CN"/>
        </w:rPr>
        <w:t>三</w:t>
      </w:r>
      <w:r>
        <w:rPr>
          <w:rFonts w:hint="eastAsia" w:hAnsi="宋体"/>
          <w:color w:val="auto"/>
          <w:kern w:val="0"/>
          <w:highlight w:val="none"/>
        </w:rPr>
        <w:t>级”。</w:t>
      </w:r>
    </w:p>
    <w:p w14:paraId="79389769">
      <w:pPr>
        <w:pStyle w:val="6"/>
        <w:rPr>
          <w:color w:val="auto"/>
          <w:highlight w:val="none"/>
        </w:rPr>
      </w:pPr>
      <w:r>
        <w:rPr>
          <w:rFonts w:hint="eastAsia"/>
          <w:color w:val="auto"/>
          <w:highlight w:val="none"/>
          <w:lang w:val="en-US" w:eastAsia="zh-CN"/>
        </w:rPr>
        <w:t xml:space="preserve"> </w:t>
      </w:r>
      <w:r>
        <w:rPr>
          <w:rFonts w:hint="eastAsia"/>
          <w:color w:val="auto"/>
          <w:highlight w:val="none"/>
        </w:rPr>
        <w:t>地下水评价范围</w:t>
      </w:r>
    </w:p>
    <w:p w14:paraId="7AAF00B2">
      <w:pPr>
        <w:ind w:firstLine="480"/>
        <w:rPr>
          <w:rFonts w:hint="eastAsia" w:ascii="宋体" w:hAnsi="宋体" w:cs="宋体"/>
          <w:color w:val="auto"/>
          <w:spacing w:val="-2"/>
          <w:sz w:val="24"/>
          <w:szCs w:val="24"/>
          <w:highlight w:val="none"/>
          <w:lang w:eastAsia="zh-CN"/>
        </w:rPr>
      </w:pPr>
      <w:r>
        <w:rPr>
          <w:rFonts w:hint="eastAsia" w:ascii="宋体" w:hAnsi="宋体" w:cs="宋体"/>
          <w:color w:val="auto"/>
          <w:spacing w:val="-4"/>
          <w:sz w:val="24"/>
          <w:szCs w:val="24"/>
          <w:highlight w:val="none"/>
          <w:lang w:val="en-US" w:eastAsia="zh-CN"/>
        </w:rPr>
        <w:t>根</w:t>
      </w:r>
      <w:r>
        <w:rPr>
          <w:rFonts w:ascii="宋体" w:hAnsi="宋体" w:eastAsia="宋体" w:cs="宋体"/>
          <w:color w:val="auto"/>
          <w:spacing w:val="-4"/>
          <w:sz w:val="24"/>
          <w:szCs w:val="24"/>
          <w:highlight w:val="none"/>
        </w:rPr>
        <w:t>据《环境影响评价技术导则地下水环境》（</w:t>
      </w:r>
      <w:r>
        <w:rPr>
          <w:rFonts w:ascii="Times New Roman" w:hAnsi="Times New Roman" w:eastAsia="Times New Roman" w:cs="Times New Roman"/>
          <w:color w:val="auto"/>
          <w:spacing w:val="-4"/>
          <w:sz w:val="24"/>
          <w:szCs w:val="24"/>
          <w:highlight w:val="none"/>
        </w:rPr>
        <w:t>HJ610-2016</w:t>
      </w:r>
      <w:r>
        <w:rPr>
          <w:rFonts w:ascii="宋体" w:hAnsi="宋体" w:eastAsia="宋体" w:cs="宋体"/>
          <w:color w:val="auto"/>
          <w:spacing w:val="-4"/>
          <w:sz w:val="24"/>
          <w:szCs w:val="24"/>
          <w:highlight w:val="none"/>
        </w:rPr>
        <w:t>）中</w:t>
      </w:r>
      <w:r>
        <w:rPr>
          <w:rFonts w:ascii="Times New Roman" w:hAnsi="Times New Roman" w:eastAsia="Times New Roman" w:cs="Times New Roman"/>
          <w:color w:val="auto"/>
          <w:spacing w:val="-5"/>
          <w:sz w:val="24"/>
          <w:szCs w:val="24"/>
          <w:highlight w:val="none"/>
        </w:rPr>
        <w:t>8.2</w:t>
      </w:r>
      <w:r>
        <w:rPr>
          <w:rFonts w:ascii="宋体" w:hAnsi="宋体" w:eastAsia="宋体" w:cs="宋体"/>
          <w:color w:val="auto"/>
          <w:spacing w:val="-5"/>
          <w:sz w:val="24"/>
          <w:szCs w:val="24"/>
          <w:highlight w:val="none"/>
        </w:rPr>
        <w:t>调查</w:t>
      </w:r>
      <w:r>
        <w:rPr>
          <w:rFonts w:ascii="宋体" w:hAnsi="宋体" w:eastAsia="宋体" w:cs="宋体"/>
          <w:color w:val="auto"/>
          <w:spacing w:val="-2"/>
          <w:sz w:val="24"/>
          <w:szCs w:val="24"/>
          <w:highlight w:val="none"/>
        </w:rPr>
        <w:t>与评价范围之规定，本次</w:t>
      </w:r>
      <w:r>
        <w:rPr>
          <w:rFonts w:hint="eastAsia" w:ascii="宋体" w:hAnsi="宋体" w:cs="宋体"/>
          <w:color w:val="auto"/>
          <w:spacing w:val="-2"/>
          <w:sz w:val="24"/>
          <w:szCs w:val="24"/>
          <w:highlight w:val="none"/>
          <w:lang w:val="en-US" w:eastAsia="zh-CN"/>
        </w:rPr>
        <w:t>评价所掌握的基础资料无法满足公式计算法要求，故</w:t>
      </w:r>
      <w:r>
        <w:rPr>
          <w:rFonts w:ascii="宋体" w:hAnsi="宋体" w:eastAsia="宋体" w:cs="宋体"/>
          <w:color w:val="auto"/>
          <w:spacing w:val="-2"/>
          <w:sz w:val="24"/>
          <w:szCs w:val="24"/>
          <w:highlight w:val="none"/>
        </w:rPr>
        <w:t>采用</w:t>
      </w:r>
      <w:r>
        <w:rPr>
          <w:rFonts w:hint="eastAsia" w:ascii="宋体" w:hAnsi="宋体" w:cs="宋体"/>
          <w:color w:val="auto"/>
          <w:spacing w:val="-2"/>
          <w:sz w:val="24"/>
          <w:szCs w:val="24"/>
          <w:highlight w:val="none"/>
          <w:lang w:val="en-US" w:eastAsia="zh-CN"/>
        </w:rPr>
        <w:t>查表</w:t>
      </w:r>
      <w:r>
        <w:rPr>
          <w:rFonts w:ascii="宋体" w:hAnsi="宋体" w:eastAsia="宋体" w:cs="宋体"/>
          <w:color w:val="auto"/>
          <w:spacing w:val="-2"/>
          <w:sz w:val="24"/>
          <w:szCs w:val="24"/>
          <w:highlight w:val="none"/>
        </w:rPr>
        <w:t>法来确定地下水调查与评价范围</w:t>
      </w:r>
      <w:r>
        <w:rPr>
          <w:rFonts w:hint="eastAsia" w:ascii="宋体" w:hAnsi="宋体" w:cs="宋体"/>
          <w:color w:val="auto"/>
          <w:spacing w:val="-2"/>
          <w:sz w:val="24"/>
          <w:szCs w:val="24"/>
          <w:highlight w:val="none"/>
          <w:lang w:eastAsia="zh-CN"/>
        </w:rPr>
        <w:t>。</w:t>
      </w:r>
    </w:p>
    <w:p w14:paraId="266FE917">
      <w:pPr>
        <w:ind w:firstLine="480"/>
        <w:rPr>
          <w:color w:val="auto"/>
          <w:highlight w:val="none"/>
        </w:rPr>
      </w:pPr>
      <w:r>
        <w:rPr>
          <w:rFonts w:hint="eastAsia"/>
          <w:color w:val="auto"/>
          <w:highlight w:val="none"/>
        </w:rPr>
        <w:t>本项目位于</w:t>
      </w:r>
      <w:r>
        <w:rPr>
          <w:rFonts w:hint="eastAsia"/>
          <w:color w:val="auto"/>
          <w:highlight w:val="none"/>
          <w:lang w:val="en-US" w:eastAsia="zh-CN"/>
        </w:rPr>
        <w:t>内蒙古锡林郭勒多伦经济开发区内</w:t>
      </w:r>
      <w:r>
        <w:rPr>
          <w:color w:val="auto"/>
          <w:highlight w:val="none"/>
        </w:rPr>
        <w:t>，项目区域</w:t>
      </w:r>
      <w:r>
        <w:rPr>
          <w:rFonts w:ascii="宋体" w:hAnsi="宋体" w:eastAsia="宋体" w:cs="宋体"/>
          <w:color w:val="auto"/>
          <w:spacing w:val="5"/>
          <w:sz w:val="24"/>
          <w:szCs w:val="24"/>
          <w:highlight w:val="none"/>
        </w:rPr>
        <w:t>项目所在</w:t>
      </w:r>
      <w:r>
        <w:rPr>
          <w:rFonts w:hint="eastAsia" w:ascii="宋体" w:hAnsi="宋体" w:cs="宋体"/>
          <w:color w:val="auto"/>
          <w:spacing w:val="5"/>
          <w:sz w:val="24"/>
          <w:szCs w:val="24"/>
          <w:highlight w:val="none"/>
          <w:lang w:val="en-US" w:eastAsia="zh-CN"/>
        </w:rPr>
        <w:t>区</w:t>
      </w:r>
      <w:r>
        <w:rPr>
          <w:rFonts w:ascii="宋体" w:hAnsi="宋体" w:eastAsia="宋体" w:cs="宋体"/>
          <w:color w:val="auto"/>
          <w:spacing w:val="5"/>
          <w:sz w:val="24"/>
          <w:szCs w:val="24"/>
          <w:highlight w:val="none"/>
        </w:rPr>
        <w:t>地下水类型为第四系松散岩类孔隙水</w:t>
      </w:r>
      <w:r>
        <w:rPr>
          <w:rFonts w:hint="eastAsia" w:ascii="宋体" w:hAnsi="宋体" w:eastAsia="宋体" w:cs="宋体"/>
          <w:color w:val="auto"/>
          <w:spacing w:val="5"/>
          <w:sz w:val="24"/>
          <w:szCs w:val="24"/>
          <w:highlight w:val="none"/>
          <w:lang w:eastAsia="zh-CN"/>
        </w:rPr>
        <w:t>，</w:t>
      </w:r>
      <w:r>
        <w:rPr>
          <w:color w:val="auto"/>
          <w:highlight w:val="none"/>
        </w:rPr>
        <w:t>地下水径流方向为自</w:t>
      </w:r>
      <w:r>
        <w:rPr>
          <w:rFonts w:hint="eastAsia"/>
          <w:color w:val="auto"/>
          <w:highlight w:val="none"/>
        </w:rPr>
        <w:t>西北</w:t>
      </w:r>
      <w:r>
        <w:rPr>
          <w:color w:val="auto"/>
          <w:highlight w:val="none"/>
        </w:rPr>
        <w:t>向</w:t>
      </w:r>
      <w:r>
        <w:rPr>
          <w:rFonts w:hint="eastAsia"/>
          <w:color w:val="auto"/>
          <w:highlight w:val="none"/>
        </w:rPr>
        <w:t>东南</w:t>
      </w:r>
      <w:r>
        <w:rPr>
          <w:color w:val="auto"/>
          <w:highlight w:val="none"/>
        </w:rPr>
        <w:t>径流</w:t>
      </w:r>
      <w:r>
        <w:rPr>
          <w:rFonts w:hint="eastAsia"/>
          <w:color w:val="auto"/>
          <w:highlight w:val="none"/>
        </w:rPr>
        <w:t>，</w:t>
      </w:r>
      <w:r>
        <w:rPr>
          <w:rFonts w:ascii="宋体" w:hAnsi="宋体" w:eastAsia="宋体" w:cs="宋体"/>
          <w:color w:val="auto"/>
          <w:spacing w:val="-4"/>
          <w:sz w:val="24"/>
          <w:szCs w:val="24"/>
          <w:highlight w:val="none"/>
        </w:rPr>
        <w:t>依</w:t>
      </w:r>
      <w:r>
        <w:rPr>
          <w:color w:val="auto"/>
          <w:highlight w:val="none"/>
        </w:rPr>
        <w:t>本次地下水调查评价区范围</w:t>
      </w:r>
      <w:r>
        <w:rPr>
          <w:rFonts w:hint="eastAsia"/>
          <w:color w:val="auto"/>
          <w:highlight w:val="none"/>
          <w:lang w:eastAsia="zh-CN"/>
        </w:rPr>
        <w:t>：</w:t>
      </w:r>
      <w:r>
        <w:rPr>
          <w:rFonts w:hint="eastAsia"/>
          <w:color w:val="auto"/>
          <w:highlight w:val="none"/>
          <w:lang w:val="en-US" w:eastAsia="zh-CN"/>
        </w:rPr>
        <w:t>厂区地下水流向上游1km、两侧各1km、厂区下游2km，</w:t>
      </w:r>
      <w:r>
        <w:rPr>
          <w:color w:val="auto"/>
          <w:highlight w:val="none"/>
        </w:rPr>
        <w:t>面积</w:t>
      </w:r>
      <w:r>
        <w:rPr>
          <w:rFonts w:hint="eastAsia"/>
          <w:color w:val="auto"/>
          <w:highlight w:val="none"/>
          <w:lang w:val="en-US" w:eastAsia="zh-CN"/>
        </w:rPr>
        <w:t>为6</w:t>
      </w:r>
      <w:r>
        <w:rPr>
          <w:color w:val="auto"/>
          <w:highlight w:val="none"/>
        </w:rPr>
        <w:t>km</w:t>
      </w:r>
      <w:r>
        <w:rPr>
          <w:color w:val="auto"/>
          <w:highlight w:val="none"/>
          <w:vertAlign w:val="superscript"/>
        </w:rPr>
        <w:t>2</w:t>
      </w:r>
      <w:r>
        <w:rPr>
          <w:rFonts w:ascii="宋体" w:hAnsi="宋体" w:eastAsia="宋体" w:cs="宋体"/>
          <w:color w:val="auto"/>
          <w:spacing w:val="-2"/>
          <w:sz w:val="24"/>
          <w:szCs w:val="24"/>
          <w:highlight w:val="none"/>
        </w:rPr>
        <w:t>地下水调查与评价范围</w:t>
      </w:r>
      <w:r>
        <w:rPr>
          <w:color w:val="auto"/>
          <w:highlight w:val="none"/>
        </w:rPr>
        <w:t>。</w:t>
      </w:r>
    </w:p>
    <w:p w14:paraId="308A7747">
      <w:pPr>
        <w:ind w:firstLine="480"/>
        <w:rPr>
          <w:rFonts w:hint="eastAsia"/>
          <w:color w:val="auto"/>
          <w:highlight w:val="none"/>
        </w:rPr>
      </w:pPr>
      <w:r>
        <w:rPr>
          <w:rFonts w:hint="eastAsia"/>
          <w:color w:val="auto"/>
          <w:highlight w:val="none"/>
          <w:lang w:val="en-US" w:eastAsia="zh-CN"/>
        </w:rPr>
        <w:t>本项目</w:t>
      </w:r>
      <w:r>
        <w:rPr>
          <w:rFonts w:hint="eastAsia"/>
          <w:color w:val="auto"/>
          <w:highlight w:val="none"/>
        </w:rPr>
        <w:t>地下水评价范围</w:t>
      </w:r>
      <w:r>
        <w:rPr>
          <w:rFonts w:hint="eastAsia"/>
          <w:color w:val="auto"/>
          <w:highlight w:val="none"/>
          <w:lang w:val="en-US" w:eastAsia="zh-CN"/>
        </w:rPr>
        <w:t>详</w:t>
      </w:r>
      <w:r>
        <w:rPr>
          <w:rFonts w:hint="eastAsia"/>
          <w:color w:val="auto"/>
          <w:highlight w:val="none"/>
        </w:rPr>
        <w:t>见图</w:t>
      </w:r>
      <w:r>
        <w:rPr>
          <w:color w:val="auto"/>
          <w:highlight w:val="none"/>
        </w:rPr>
        <w:t>2.</w:t>
      </w:r>
      <w:r>
        <w:rPr>
          <w:rFonts w:hint="eastAsia"/>
          <w:color w:val="auto"/>
          <w:highlight w:val="none"/>
          <w:lang w:val="en-US" w:eastAsia="zh-CN"/>
        </w:rPr>
        <w:t>5</w:t>
      </w:r>
      <w:r>
        <w:rPr>
          <w:color w:val="auto"/>
          <w:highlight w:val="none"/>
        </w:rPr>
        <w:t>-1</w:t>
      </w:r>
      <w:r>
        <w:rPr>
          <w:rFonts w:hint="eastAsia"/>
          <w:color w:val="auto"/>
          <w:highlight w:val="none"/>
        </w:rPr>
        <w:t>。</w:t>
      </w:r>
      <w:bookmarkStart w:id="57" w:name="_Toc24447068"/>
    </w:p>
    <w:p w14:paraId="2E2243F0">
      <w:pPr>
        <w:pStyle w:val="5"/>
        <w:rPr>
          <w:rFonts w:hint="eastAsia"/>
          <w:color w:val="auto"/>
          <w:highlight w:val="none"/>
        </w:rPr>
      </w:pPr>
      <w:r>
        <w:rPr>
          <w:rFonts w:hint="eastAsia"/>
          <w:color w:val="auto"/>
          <w:highlight w:val="none"/>
        </w:rPr>
        <w:t>地表水环境评价</w:t>
      </w:r>
      <w:bookmarkEnd w:id="57"/>
    </w:p>
    <w:p w14:paraId="0F794432">
      <w:pPr>
        <w:pStyle w:val="6"/>
        <w:rPr>
          <w:color w:val="auto"/>
          <w:highlight w:val="none"/>
        </w:rPr>
      </w:pPr>
      <w:r>
        <w:rPr>
          <w:rFonts w:hint="eastAsia"/>
          <w:color w:val="auto"/>
          <w:highlight w:val="none"/>
          <w:lang w:val="en-US" w:eastAsia="zh-CN"/>
        </w:rPr>
        <w:t xml:space="preserve"> </w:t>
      </w:r>
      <w:r>
        <w:rPr>
          <w:rFonts w:hint="eastAsia"/>
          <w:color w:val="auto"/>
          <w:highlight w:val="none"/>
        </w:rPr>
        <w:t>地表水环境评价工作等级</w:t>
      </w:r>
    </w:p>
    <w:p w14:paraId="3C02CA4F">
      <w:pPr>
        <w:ind w:firstLine="480"/>
        <w:rPr>
          <w:color w:val="auto"/>
          <w:highlight w:val="none"/>
        </w:rPr>
      </w:pPr>
      <w:r>
        <w:rPr>
          <w:rFonts w:hint="eastAsia"/>
          <w:color w:val="auto"/>
          <w:highlight w:val="none"/>
        </w:rPr>
        <w:t>根据《环境影响评价技术导则</w:t>
      </w:r>
      <w:r>
        <w:rPr>
          <w:color w:val="auto"/>
          <w:highlight w:val="none"/>
        </w:rPr>
        <w:t xml:space="preserve"> </w:t>
      </w:r>
      <w:r>
        <w:rPr>
          <w:rFonts w:hint="eastAsia"/>
          <w:color w:val="auto"/>
          <w:highlight w:val="none"/>
        </w:rPr>
        <w:t>地表水环境》（</w:t>
      </w:r>
      <w:r>
        <w:rPr>
          <w:color w:val="auto"/>
          <w:highlight w:val="none"/>
        </w:rPr>
        <w:t>HJ2.3-2018</w:t>
      </w:r>
      <w:r>
        <w:rPr>
          <w:rFonts w:hint="eastAsia"/>
          <w:color w:val="auto"/>
          <w:highlight w:val="none"/>
        </w:rPr>
        <w:t>），水污染影响型建设项目主要根据废水排放方式和排放量划分评价等级，具体见表</w:t>
      </w:r>
      <w:r>
        <w:rPr>
          <w:color w:val="auto"/>
          <w:highlight w:val="none"/>
        </w:rPr>
        <w:t>2.4-</w:t>
      </w:r>
      <w:r>
        <w:rPr>
          <w:rFonts w:hint="eastAsia"/>
          <w:color w:val="auto"/>
          <w:highlight w:val="none"/>
        </w:rPr>
        <w:t>8。</w:t>
      </w:r>
    </w:p>
    <w:p w14:paraId="5DFCE030">
      <w:pPr>
        <w:pStyle w:val="199"/>
        <w:spacing w:before="120"/>
        <w:rPr>
          <w:color w:val="auto"/>
          <w:sz w:val="24"/>
          <w:highlight w:val="none"/>
        </w:rPr>
      </w:pPr>
      <w:r>
        <w:rPr>
          <w:rFonts w:hint="eastAsia"/>
          <w:color w:val="auto"/>
          <w:sz w:val="24"/>
          <w:highlight w:val="none"/>
        </w:rPr>
        <w:t>表</w:t>
      </w:r>
      <w:r>
        <w:rPr>
          <w:color w:val="auto"/>
          <w:sz w:val="24"/>
          <w:highlight w:val="none"/>
        </w:rPr>
        <w:t>2.4-</w:t>
      </w:r>
      <w:r>
        <w:rPr>
          <w:rFonts w:hint="eastAsia"/>
          <w:color w:val="auto"/>
          <w:sz w:val="24"/>
          <w:highlight w:val="none"/>
        </w:rPr>
        <w:t>8</w:t>
      </w:r>
      <w:r>
        <w:rPr>
          <w:color w:val="auto"/>
          <w:sz w:val="24"/>
          <w:highlight w:val="none"/>
        </w:rPr>
        <w:t xml:space="preserve">   </w:t>
      </w:r>
      <w:r>
        <w:rPr>
          <w:rFonts w:hint="eastAsia"/>
          <w:color w:val="auto"/>
          <w:sz w:val="24"/>
          <w:highlight w:val="none"/>
        </w:rPr>
        <w:t>水污染影响型建设项目评价等级判定表</w:t>
      </w:r>
    </w:p>
    <w:tbl>
      <w:tblPr>
        <w:tblStyle w:val="42"/>
        <w:tblW w:w="852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51"/>
        <w:gridCol w:w="3119"/>
        <w:gridCol w:w="3452"/>
      </w:tblGrid>
      <w:tr w14:paraId="4FE45D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noWrap w:val="0"/>
            <w:vAlign w:val="center"/>
          </w:tcPr>
          <w:p w14:paraId="065A3BE3">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评价等级</w:t>
            </w:r>
          </w:p>
        </w:tc>
        <w:tc>
          <w:tcPr>
            <w:tcW w:w="6571" w:type="dxa"/>
            <w:gridSpan w:val="2"/>
            <w:noWrap w:val="0"/>
            <w:vAlign w:val="center"/>
          </w:tcPr>
          <w:p w14:paraId="33E89F20">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判定依据</w:t>
            </w:r>
          </w:p>
        </w:tc>
      </w:tr>
      <w:tr w14:paraId="529B70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noWrap w:val="0"/>
            <w:vAlign w:val="center"/>
          </w:tcPr>
          <w:p w14:paraId="17BE0DD0">
            <w:pPr>
              <w:spacing w:line="240" w:lineRule="auto"/>
              <w:ind w:firstLine="0" w:firstLineChars="0"/>
              <w:jc w:val="center"/>
              <w:rPr>
                <w:rFonts w:eastAsia="宋体"/>
                <w:color w:val="auto"/>
                <w:kern w:val="0"/>
                <w:sz w:val="21"/>
                <w:szCs w:val="21"/>
                <w:highlight w:val="none"/>
              </w:rPr>
            </w:pPr>
          </w:p>
        </w:tc>
        <w:tc>
          <w:tcPr>
            <w:tcW w:w="3119" w:type="dxa"/>
            <w:noWrap w:val="0"/>
            <w:vAlign w:val="center"/>
          </w:tcPr>
          <w:p w14:paraId="5848EB21">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排放方式</w:t>
            </w:r>
          </w:p>
        </w:tc>
        <w:tc>
          <w:tcPr>
            <w:tcW w:w="3452" w:type="dxa"/>
            <w:noWrap w:val="0"/>
            <w:vAlign w:val="center"/>
          </w:tcPr>
          <w:p w14:paraId="27A701BA">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废水排放量Q/（m</w:t>
            </w:r>
            <w:r>
              <w:rPr>
                <w:rFonts w:eastAsia="宋体"/>
                <w:color w:val="auto"/>
                <w:kern w:val="0"/>
                <w:sz w:val="21"/>
                <w:szCs w:val="21"/>
                <w:highlight w:val="none"/>
                <w:vertAlign w:val="superscript"/>
              </w:rPr>
              <w:t>3</w:t>
            </w:r>
            <w:r>
              <w:rPr>
                <w:rFonts w:eastAsia="宋体"/>
                <w:color w:val="auto"/>
                <w:kern w:val="0"/>
                <w:sz w:val="21"/>
                <w:szCs w:val="21"/>
                <w:highlight w:val="none"/>
              </w:rPr>
              <w:t>/d）</w:t>
            </w:r>
          </w:p>
          <w:p w14:paraId="039D7B70">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水污染物当量数W/（量纲一）</w:t>
            </w:r>
          </w:p>
        </w:tc>
      </w:tr>
      <w:tr w14:paraId="169974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noWrap w:val="0"/>
            <w:vAlign w:val="center"/>
          </w:tcPr>
          <w:p w14:paraId="779F4703">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一级</w:t>
            </w:r>
          </w:p>
        </w:tc>
        <w:tc>
          <w:tcPr>
            <w:tcW w:w="3119" w:type="dxa"/>
            <w:noWrap w:val="0"/>
            <w:vAlign w:val="center"/>
          </w:tcPr>
          <w:p w14:paraId="1B6A42DE">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直接排放</w:t>
            </w:r>
          </w:p>
        </w:tc>
        <w:tc>
          <w:tcPr>
            <w:tcW w:w="3452" w:type="dxa"/>
            <w:noWrap w:val="0"/>
            <w:vAlign w:val="center"/>
          </w:tcPr>
          <w:p w14:paraId="0E0C5B3E">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Q</w:t>
            </w:r>
            <w:r>
              <w:rPr>
                <w:color w:val="auto"/>
                <w:kern w:val="0"/>
                <w:sz w:val="21"/>
                <w:szCs w:val="21"/>
                <w:highlight w:val="none"/>
              </w:rPr>
              <w:t>≥</w:t>
            </w:r>
            <w:r>
              <w:rPr>
                <w:rFonts w:eastAsia="宋体"/>
                <w:color w:val="auto"/>
                <w:kern w:val="0"/>
                <w:sz w:val="21"/>
                <w:szCs w:val="21"/>
                <w:highlight w:val="none"/>
              </w:rPr>
              <w:t>20000或W</w:t>
            </w:r>
            <w:r>
              <w:rPr>
                <w:color w:val="auto"/>
                <w:kern w:val="0"/>
                <w:sz w:val="21"/>
                <w:szCs w:val="21"/>
                <w:highlight w:val="none"/>
              </w:rPr>
              <w:t>≥</w:t>
            </w:r>
            <w:r>
              <w:rPr>
                <w:rFonts w:eastAsia="宋体"/>
                <w:color w:val="auto"/>
                <w:kern w:val="0"/>
                <w:sz w:val="21"/>
                <w:szCs w:val="21"/>
                <w:highlight w:val="none"/>
              </w:rPr>
              <w:t>600000</w:t>
            </w:r>
          </w:p>
        </w:tc>
      </w:tr>
      <w:tr w14:paraId="6D3E8C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noWrap w:val="0"/>
            <w:vAlign w:val="center"/>
          </w:tcPr>
          <w:p w14:paraId="1D22680D">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二级</w:t>
            </w:r>
          </w:p>
        </w:tc>
        <w:tc>
          <w:tcPr>
            <w:tcW w:w="3119" w:type="dxa"/>
            <w:noWrap w:val="0"/>
            <w:vAlign w:val="center"/>
          </w:tcPr>
          <w:p w14:paraId="351EFB7F">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直接排放</w:t>
            </w:r>
          </w:p>
        </w:tc>
        <w:tc>
          <w:tcPr>
            <w:tcW w:w="3452" w:type="dxa"/>
            <w:noWrap w:val="0"/>
            <w:vAlign w:val="center"/>
          </w:tcPr>
          <w:p w14:paraId="6940017A">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其他</w:t>
            </w:r>
          </w:p>
        </w:tc>
      </w:tr>
      <w:tr w14:paraId="0A5545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noWrap w:val="0"/>
            <w:vAlign w:val="center"/>
          </w:tcPr>
          <w:p w14:paraId="060F206B">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三级A</w:t>
            </w:r>
          </w:p>
        </w:tc>
        <w:tc>
          <w:tcPr>
            <w:tcW w:w="3119" w:type="dxa"/>
            <w:noWrap w:val="0"/>
            <w:vAlign w:val="center"/>
          </w:tcPr>
          <w:p w14:paraId="05D94425">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直接排放</w:t>
            </w:r>
          </w:p>
        </w:tc>
        <w:tc>
          <w:tcPr>
            <w:tcW w:w="3452" w:type="dxa"/>
            <w:noWrap w:val="0"/>
            <w:vAlign w:val="center"/>
          </w:tcPr>
          <w:p w14:paraId="6F212B64">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Q&lt;200且W&lt;6000</w:t>
            </w:r>
          </w:p>
        </w:tc>
      </w:tr>
      <w:tr w14:paraId="6A5F8F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noWrap w:val="0"/>
            <w:vAlign w:val="center"/>
          </w:tcPr>
          <w:p w14:paraId="3BE66B62">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三级B</w:t>
            </w:r>
          </w:p>
        </w:tc>
        <w:tc>
          <w:tcPr>
            <w:tcW w:w="3119" w:type="dxa"/>
            <w:noWrap w:val="0"/>
            <w:vAlign w:val="center"/>
          </w:tcPr>
          <w:p w14:paraId="6DE00501">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间接排放</w:t>
            </w:r>
          </w:p>
        </w:tc>
        <w:tc>
          <w:tcPr>
            <w:tcW w:w="3452" w:type="dxa"/>
            <w:noWrap w:val="0"/>
            <w:vAlign w:val="center"/>
          </w:tcPr>
          <w:p w14:paraId="6D61288F">
            <w:pPr>
              <w:spacing w:line="240" w:lineRule="auto"/>
              <w:ind w:firstLine="0" w:firstLineChars="0"/>
              <w:jc w:val="center"/>
              <w:rPr>
                <w:rFonts w:eastAsia="宋体"/>
                <w:color w:val="auto"/>
                <w:kern w:val="0"/>
                <w:sz w:val="21"/>
                <w:szCs w:val="21"/>
                <w:highlight w:val="none"/>
              </w:rPr>
            </w:pPr>
            <w:r>
              <w:rPr>
                <w:rFonts w:eastAsia="宋体"/>
                <w:color w:val="auto"/>
                <w:kern w:val="0"/>
                <w:sz w:val="21"/>
                <w:szCs w:val="21"/>
                <w:highlight w:val="none"/>
              </w:rPr>
              <w:t>—</w:t>
            </w:r>
          </w:p>
        </w:tc>
      </w:tr>
      <w:tr w14:paraId="707624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2" w:type="dxa"/>
            <w:gridSpan w:val="3"/>
            <w:noWrap w:val="0"/>
            <w:vAlign w:val="center"/>
          </w:tcPr>
          <w:p w14:paraId="381F46FC">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1B5403CB">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2：废水排放量按行业排放标准中规定的废水种类统计，没有相关行业排放标准要求的通过工程分析合理确定，应统统计含热量大的冷却水的排放量，可不统计间接冷却水、循环水及其他含污染物极少的淸净下水的排放量。</w:t>
            </w:r>
          </w:p>
          <w:p w14:paraId="06BF1A8E">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注3：厂区存在堆积物（露天堆放的原料、燃料、废渣等以及垃圾堆放场）、降尘污染的，应将初期雨污水纳入废水排放量，相应的主要污染物纳入水污染当量计算。</w:t>
            </w:r>
          </w:p>
          <w:p w14:paraId="66AB17F8">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注4：建设项目直接排放第一类污染物的，其评价等级为一级：建设项目直接排放的污染物为受纳水体超标因子的，评 价等级不低于二级。</w:t>
            </w:r>
          </w:p>
          <w:p w14:paraId="6379FF58">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注5：直接排放受纳水体影响范围涉及饮用水水源保护区、饮用水取水口、重点保护与珍稀水生生物的栖息地、重要水生生物的自然产卵场等保护目标时，评价等级不低于二级。</w:t>
            </w:r>
          </w:p>
          <w:p w14:paraId="61D10B4D">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注6：建设项目向河流、湖库排放温排水引起受纳水体水温变化超过水环境质量标准要求，且评价范围有水温敏感目标时，评价等级为一级。</w:t>
            </w:r>
          </w:p>
          <w:p w14:paraId="477FEC98">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注7：建设项目利用海水作为调节温度介质，排水量≥500万m</w:t>
            </w:r>
            <w:r>
              <w:rPr>
                <w:rFonts w:eastAsia="宋体"/>
                <w:color w:val="auto"/>
                <w:kern w:val="0"/>
                <w:sz w:val="21"/>
                <w:szCs w:val="21"/>
                <w:highlight w:val="none"/>
                <w:vertAlign w:val="superscript"/>
              </w:rPr>
              <w:t>3</w:t>
            </w:r>
            <w:r>
              <w:rPr>
                <w:rFonts w:eastAsia="宋体"/>
                <w:color w:val="auto"/>
                <w:kern w:val="0"/>
                <w:sz w:val="21"/>
                <w:szCs w:val="21"/>
                <w:highlight w:val="none"/>
              </w:rPr>
              <w:t>/d，评价等级为一级；排水量&lt;500万m</w:t>
            </w:r>
            <w:r>
              <w:rPr>
                <w:rFonts w:eastAsia="宋体"/>
                <w:color w:val="auto"/>
                <w:kern w:val="0"/>
                <w:sz w:val="21"/>
                <w:szCs w:val="21"/>
                <w:highlight w:val="none"/>
                <w:vertAlign w:val="superscript"/>
              </w:rPr>
              <w:t>3</w:t>
            </w:r>
            <w:r>
              <w:rPr>
                <w:rFonts w:eastAsia="宋体"/>
                <w:color w:val="auto"/>
                <w:kern w:val="0"/>
                <w:sz w:val="21"/>
                <w:szCs w:val="21"/>
                <w:highlight w:val="none"/>
              </w:rPr>
              <w:t>/d，评价等级为二级。</w:t>
            </w:r>
          </w:p>
          <w:p w14:paraId="3F286048">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注8：仅涉及淸净下水排放的，如其排放水质满足受纳水体水环境质量标准要求的，评价等级为三级A。</w:t>
            </w:r>
          </w:p>
          <w:p w14:paraId="34D91423">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注9：依托现有排放口，且对外环境未新增排放污染物的直接排放建设项目，评价等级参照间接排放，定为三级B。</w:t>
            </w:r>
          </w:p>
          <w:p w14:paraId="314FB693">
            <w:pPr>
              <w:spacing w:line="240" w:lineRule="auto"/>
              <w:ind w:firstLine="0" w:firstLineChars="0"/>
              <w:rPr>
                <w:rFonts w:eastAsia="宋体"/>
                <w:color w:val="auto"/>
                <w:kern w:val="0"/>
                <w:sz w:val="21"/>
                <w:szCs w:val="21"/>
                <w:highlight w:val="none"/>
              </w:rPr>
            </w:pPr>
            <w:r>
              <w:rPr>
                <w:rFonts w:eastAsia="宋体"/>
                <w:color w:val="auto"/>
                <w:kern w:val="0"/>
                <w:sz w:val="21"/>
                <w:szCs w:val="21"/>
                <w:highlight w:val="none"/>
              </w:rPr>
              <w:t>注10：建设项目生产工艺中有废水产生，但作为回水利用，不排放到外环境的，按三级B评价。</w:t>
            </w:r>
          </w:p>
        </w:tc>
      </w:tr>
    </w:tbl>
    <w:p w14:paraId="5894FE1F">
      <w:pPr>
        <w:spacing w:line="460" w:lineRule="exact"/>
        <w:ind w:firstLine="480"/>
        <w:rPr>
          <w:color w:val="auto"/>
          <w:highlight w:val="none"/>
        </w:rPr>
      </w:pPr>
      <w:r>
        <w:rPr>
          <w:rFonts w:hint="eastAsia"/>
          <w:color w:val="auto"/>
          <w:szCs w:val="21"/>
          <w:highlight w:val="none"/>
        </w:rPr>
        <w:t>本项目产生</w:t>
      </w:r>
      <w:r>
        <w:rPr>
          <w:color w:val="auto"/>
          <w:szCs w:val="21"/>
          <w:highlight w:val="none"/>
        </w:rPr>
        <w:t>废水收集</w:t>
      </w:r>
      <w:r>
        <w:rPr>
          <w:rFonts w:hint="eastAsia"/>
          <w:color w:val="auto"/>
          <w:szCs w:val="21"/>
          <w:highlight w:val="none"/>
          <w:lang w:val="en-US" w:eastAsia="zh-CN"/>
        </w:rPr>
        <w:t>处理后循环利用，不外排</w:t>
      </w:r>
      <w:r>
        <w:rPr>
          <w:color w:val="auto"/>
          <w:szCs w:val="21"/>
          <w:highlight w:val="none"/>
        </w:rPr>
        <w:t>；生活污水经化粪池处理后</w:t>
      </w:r>
      <w:r>
        <w:rPr>
          <w:rFonts w:hint="eastAsia"/>
          <w:color w:val="auto"/>
          <w:szCs w:val="21"/>
          <w:highlight w:val="none"/>
          <w:lang w:val="en-US" w:eastAsia="zh-CN"/>
        </w:rPr>
        <w:t>定期拉运至诺尔镇污水处理厂</w:t>
      </w:r>
      <w:r>
        <w:rPr>
          <w:color w:val="auto"/>
          <w:szCs w:val="21"/>
          <w:highlight w:val="none"/>
        </w:rPr>
        <w:t>，</w:t>
      </w:r>
      <w:r>
        <w:rPr>
          <w:rFonts w:hint="eastAsia"/>
          <w:color w:val="auto"/>
          <w:highlight w:val="none"/>
        </w:rPr>
        <w:t>属于间接排放。本项目废水评价等级参照间接排放，定为</w:t>
      </w:r>
      <w:r>
        <w:rPr>
          <w:rFonts w:hint="eastAsia"/>
          <w:b w:val="0"/>
          <w:bCs w:val="0"/>
          <w:color w:val="auto"/>
          <w:highlight w:val="none"/>
        </w:rPr>
        <w:t>三级</w:t>
      </w:r>
      <w:r>
        <w:rPr>
          <w:b w:val="0"/>
          <w:bCs w:val="0"/>
          <w:color w:val="auto"/>
          <w:highlight w:val="none"/>
        </w:rPr>
        <w:t>B</w:t>
      </w:r>
      <w:r>
        <w:rPr>
          <w:rFonts w:hint="eastAsia"/>
          <w:color w:val="auto"/>
          <w:highlight w:val="none"/>
        </w:rPr>
        <w:t>。</w:t>
      </w:r>
    </w:p>
    <w:p w14:paraId="3BC5AB04">
      <w:pPr>
        <w:pStyle w:val="6"/>
        <w:rPr>
          <w:color w:val="auto"/>
          <w:highlight w:val="none"/>
        </w:rPr>
      </w:pPr>
      <w:r>
        <w:rPr>
          <w:rFonts w:hint="eastAsia"/>
          <w:color w:val="auto"/>
          <w:highlight w:val="none"/>
          <w:lang w:val="en-US" w:eastAsia="zh-CN"/>
        </w:rPr>
        <w:t xml:space="preserve"> </w:t>
      </w:r>
      <w:r>
        <w:rPr>
          <w:rFonts w:hint="eastAsia"/>
          <w:color w:val="auto"/>
          <w:highlight w:val="none"/>
        </w:rPr>
        <w:t>地表水评价范围</w:t>
      </w:r>
    </w:p>
    <w:p w14:paraId="264B973E">
      <w:pPr>
        <w:ind w:firstLine="480"/>
        <w:rPr>
          <w:color w:val="auto"/>
          <w:highlight w:val="none"/>
        </w:rPr>
      </w:pPr>
      <w:r>
        <w:rPr>
          <w:rFonts w:hint="eastAsia"/>
          <w:color w:val="auto"/>
          <w:highlight w:val="none"/>
        </w:rPr>
        <w:t>本项目地表水评价等级为三级</w:t>
      </w:r>
      <w:r>
        <w:rPr>
          <w:color w:val="auto"/>
          <w:highlight w:val="none"/>
        </w:rPr>
        <w:t>B</w:t>
      </w:r>
      <w:r>
        <w:rPr>
          <w:rFonts w:hint="eastAsia"/>
          <w:color w:val="auto"/>
          <w:highlight w:val="none"/>
        </w:rPr>
        <w:t>，其评价范围应符合以下要求。</w:t>
      </w:r>
    </w:p>
    <w:p w14:paraId="5A32835B">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）应满足其依托污水处理设施环境可行性分析的要求；</w:t>
      </w:r>
    </w:p>
    <w:p w14:paraId="08C2CC91">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）涉及地表水环境风险的，应覆盖环境风险影响范围所及的水环境保护目标水域。</w:t>
      </w:r>
    </w:p>
    <w:p w14:paraId="26BEFAA0">
      <w:pPr>
        <w:pStyle w:val="5"/>
        <w:rPr>
          <w:color w:val="auto"/>
          <w:highlight w:val="none"/>
        </w:rPr>
      </w:pPr>
      <w:bookmarkStart w:id="58" w:name="_Toc24447070"/>
      <w:r>
        <w:rPr>
          <w:rFonts w:hint="eastAsia"/>
          <w:color w:val="auto"/>
          <w:highlight w:val="none"/>
        </w:rPr>
        <w:t>声环境评价</w:t>
      </w:r>
      <w:bookmarkEnd w:id="58"/>
    </w:p>
    <w:p w14:paraId="7336127E">
      <w:pPr>
        <w:pStyle w:val="6"/>
        <w:rPr>
          <w:color w:val="auto"/>
          <w:highlight w:val="none"/>
        </w:rPr>
      </w:pPr>
      <w:r>
        <w:rPr>
          <w:rFonts w:hint="eastAsia"/>
          <w:color w:val="auto"/>
          <w:highlight w:val="none"/>
          <w:lang w:val="en-US" w:eastAsia="zh-CN"/>
        </w:rPr>
        <w:t xml:space="preserve"> </w:t>
      </w:r>
      <w:r>
        <w:rPr>
          <w:rFonts w:hint="eastAsia"/>
          <w:color w:val="auto"/>
          <w:highlight w:val="none"/>
        </w:rPr>
        <w:t>声环境评价等级</w:t>
      </w:r>
    </w:p>
    <w:p w14:paraId="2D281A64">
      <w:pPr>
        <w:ind w:firstLine="480"/>
        <w:rPr>
          <w:rFonts w:hint="eastAsia"/>
          <w:color w:val="auto"/>
          <w:highlight w:val="none"/>
        </w:rPr>
      </w:pPr>
      <w:r>
        <w:rPr>
          <w:rFonts w:hint="eastAsia"/>
          <w:color w:val="auto"/>
          <w:highlight w:val="none"/>
        </w:rPr>
        <w:t>本项目声环境功能区为《声环境质量标准》（GB3096-2008）中的3类区。项目</w:t>
      </w:r>
      <w:r>
        <w:rPr>
          <w:rFonts w:hint="eastAsia"/>
          <w:color w:val="auto"/>
          <w:highlight w:val="none"/>
          <w:lang w:val="en-US" w:eastAsia="zh-CN"/>
        </w:rPr>
        <w:t>周边无声环境敏感目标，</w:t>
      </w:r>
      <w:r>
        <w:rPr>
          <w:rFonts w:hint="eastAsia"/>
          <w:color w:val="auto"/>
          <w:highlight w:val="none"/>
        </w:rPr>
        <w:t>根据《环境影 响评价技术导则声环境》（HJ2.4-2021）规定，判定本项目声环境影响评价工作等级为三级。</w:t>
      </w:r>
    </w:p>
    <w:p w14:paraId="4A6613DE">
      <w:pPr>
        <w:pStyle w:val="6"/>
        <w:rPr>
          <w:color w:val="auto"/>
          <w:highlight w:val="none"/>
        </w:rPr>
      </w:pPr>
      <w:r>
        <w:rPr>
          <w:rFonts w:hint="eastAsia"/>
          <w:color w:val="auto"/>
          <w:highlight w:val="none"/>
          <w:lang w:val="en-US" w:eastAsia="zh-CN"/>
        </w:rPr>
        <w:t xml:space="preserve"> 声环境</w:t>
      </w:r>
      <w:r>
        <w:rPr>
          <w:rFonts w:hint="eastAsia"/>
          <w:color w:val="auto"/>
          <w:highlight w:val="none"/>
        </w:rPr>
        <w:t>评价范围</w:t>
      </w:r>
    </w:p>
    <w:p w14:paraId="5D324C41">
      <w:pPr>
        <w:ind w:firstLine="480"/>
        <w:rPr>
          <w:color w:val="auto"/>
          <w:highlight w:val="none"/>
        </w:rPr>
      </w:pPr>
      <w:r>
        <w:rPr>
          <w:rFonts w:hint="eastAsia"/>
          <w:color w:val="auto"/>
          <w:highlight w:val="none"/>
          <w:lang w:val="en-US" w:eastAsia="zh-CN"/>
        </w:rPr>
        <w:t>声环境评价范围：</w:t>
      </w:r>
      <w:r>
        <w:rPr>
          <w:rFonts w:hint="eastAsia"/>
          <w:color w:val="auto"/>
          <w:highlight w:val="none"/>
        </w:rPr>
        <w:t>厂界外</w:t>
      </w:r>
      <w:r>
        <w:rPr>
          <w:color w:val="auto"/>
          <w:highlight w:val="none"/>
        </w:rPr>
        <w:t>200m范围</w:t>
      </w:r>
      <w:r>
        <w:rPr>
          <w:rFonts w:hint="eastAsia"/>
          <w:color w:val="auto"/>
          <w:highlight w:val="none"/>
        </w:rPr>
        <w:t>。</w:t>
      </w:r>
    </w:p>
    <w:p w14:paraId="61D75790">
      <w:pPr>
        <w:pStyle w:val="5"/>
        <w:rPr>
          <w:color w:val="auto"/>
          <w:highlight w:val="none"/>
        </w:rPr>
      </w:pPr>
      <w:bookmarkStart w:id="59" w:name="_Toc24447072"/>
      <w:r>
        <w:rPr>
          <w:rFonts w:hint="eastAsia"/>
          <w:color w:val="auto"/>
          <w:highlight w:val="none"/>
        </w:rPr>
        <w:t>土壤环境评价工作等级及评价范围</w:t>
      </w:r>
      <w:bookmarkEnd w:id="59"/>
    </w:p>
    <w:p w14:paraId="7088207A">
      <w:pPr>
        <w:pStyle w:val="6"/>
        <w:rPr>
          <w:color w:val="auto"/>
          <w:highlight w:val="none"/>
        </w:rPr>
      </w:pPr>
      <w:r>
        <w:rPr>
          <w:rFonts w:hint="eastAsia"/>
          <w:color w:val="auto"/>
          <w:highlight w:val="none"/>
          <w:lang w:val="en-US" w:eastAsia="zh-CN"/>
        </w:rPr>
        <w:t xml:space="preserve"> </w:t>
      </w:r>
      <w:r>
        <w:rPr>
          <w:rFonts w:hint="eastAsia"/>
          <w:color w:val="auto"/>
          <w:highlight w:val="none"/>
        </w:rPr>
        <w:t>土壤环境评价工作等级</w:t>
      </w:r>
    </w:p>
    <w:p w14:paraId="3E232582">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）项目类别</w:t>
      </w:r>
    </w:p>
    <w:p w14:paraId="668D275A">
      <w:pPr>
        <w:ind w:firstLine="480"/>
        <w:rPr>
          <w:color w:val="auto"/>
          <w:highlight w:val="none"/>
        </w:rPr>
      </w:pPr>
      <w:r>
        <w:rPr>
          <w:rFonts w:hint="eastAsia"/>
          <w:color w:val="auto"/>
          <w:highlight w:val="none"/>
        </w:rPr>
        <w:t>根据《环境影响评价技术导则-土壤环境（试行）》（HJ964-2018）附录A中表A.1可知，本项目属于“采矿业-其他”，属于</w:t>
      </w:r>
      <w:r>
        <w:rPr>
          <w:rFonts w:hint="eastAsia"/>
          <w:color w:val="auto"/>
          <w:highlight w:val="none"/>
          <w:lang w:eastAsia="zh-CN"/>
        </w:rPr>
        <w:t>“</w:t>
      </w:r>
      <w:r>
        <w:rPr>
          <w:rFonts w:hint="eastAsia"/>
          <w:b w:val="0"/>
          <w:bCs w:val="0"/>
          <w:color w:val="auto"/>
          <w:highlight w:val="none"/>
        </w:rPr>
        <w:t>III</w:t>
      </w:r>
      <w:r>
        <w:rPr>
          <w:rFonts w:hint="eastAsia"/>
          <w:b/>
          <w:bCs/>
          <w:color w:val="auto"/>
          <w:highlight w:val="none"/>
        </w:rPr>
        <w:t>类</w:t>
      </w:r>
      <w:r>
        <w:rPr>
          <w:rFonts w:hint="eastAsia"/>
          <w:color w:val="auto"/>
          <w:highlight w:val="none"/>
          <w:lang w:eastAsia="zh-CN"/>
        </w:rPr>
        <w:t>”。</w:t>
      </w:r>
    </w:p>
    <w:p w14:paraId="23EE2A1B">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）污染影响型敏感程度</w:t>
      </w:r>
    </w:p>
    <w:p w14:paraId="4686CBA2">
      <w:pPr>
        <w:ind w:firstLine="480"/>
        <w:rPr>
          <w:color w:val="auto"/>
          <w:highlight w:val="none"/>
        </w:rPr>
      </w:pPr>
      <w:r>
        <w:rPr>
          <w:rFonts w:hint="eastAsia"/>
          <w:color w:val="auto"/>
          <w:highlight w:val="none"/>
        </w:rPr>
        <w:t>建设项目所在地周边的土壤环境敏感程度可分为敏感、较敏感、不敏感三级，根据《环境影响评价技术导则</w:t>
      </w:r>
      <w:r>
        <w:rPr>
          <w:color w:val="auto"/>
          <w:highlight w:val="none"/>
        </w:rPr>
        <w:t xml:space="preserve"> </w:t>
      </w:r>
      <w:r>
        <w:rPr>
          <w:rFonts w:hint="eastAsia"/>
          <w:color w:val="auto"/>
          <w:highlight w:val="none"/>
        </w:rPr>
        <w:t>土壤环境》（试行）（</w:t>
      </w:r>
      <w:r>
        <w:rPr>
          <w:color w:val="auto"/>
          <w:highlight w:val="none"/>
        </w:rPr>
        <w:t>HJ964-2018</w:t>
      </w:r>
      <w:r>
        <w:rPr>
          <w:rFonts w:hint="eastAsia"/>
          <w:color w:val="auto"/>
          <w:highlight w:val="none"/>
        </w:rPr>
        <w:t>）表</w:t>
      </w:r>
      <w:r>
        <w:rPr>
          <w:color w:val="auto"/>
          <w:highlight w:val="none"/>
        </w:rPr>
        <w:t>3</w:t>
      </w:r>
      <w:r>
        <w:rPr>
          <w:rFonts w:hint="eastAsia"/>
          <w:color w:val="auto"/>
          <w:highlight w:val="none"/>
        </w:rPr>
        <w:t>分级原则见表</w:t>
      </w:r>
      <w:r>
        <w:rPr>
          <w:color w:val="auto"/>
          <w:highlight w:val="none"/>
        </w:rPr>
        <w:t>2.4-</w:t>
      </w:r>
      <w:r>
        <w:rPr>
          <w:rFonts w:hint="eastAsia"/>
          <w:color w:val="auto"/>
          <w:highlight w:val="none"/>
        </w:rPr>
        <w:t>9。</w:t>
      </w:r>
    </w:p>
    <w:p w14:paraId="16D626D0">
      <w:pPr>
        <w:pStyle w:val="199"/>
        <w:spacing w:before="120"/>
        <w:rPr>
          <w:color w:val="auto"/>
          <w:sz w:val="24"/>
          <w:highlight w:val="none"/>
        </w:rPr>
      </w:pPr>
      <w:r>
        <w:rPr>
          <w:rFonts w:hint="eastAsia"/>
          <w:color w:val="auto"/>
          <w:sz w:val="24"/>
          <w:highlight w:val="none"/>
        </w:rPr>
        <w:t>表</w:t>
      </w:r>
      <w:r>
        <w:rPr>
          <w:color w:val="auto"/>
          <w:sz w:val="24"/>
          <w:highlight w:val="none"/>
        </w:rPr>
        <w:t>2.4-</w:t>
      </w:r>
      <w:r>
        <w:rPr>
          <w:rFonts w:hint="eastAsia"/>
          <w:color w:val="auto"/>
          <w:sz w:val="24"/>
          <w:highlight w:val="none"/>
        </w:rPr>
        <w:t>9</w:t>
      </w:r>
      <w:r>
        <w:rPr>
          <w:color w:val="auto"/>
          <w:sz w:val="24"/>
          <w:highlight w:val="none"/>
        </w:rPr>
        <w:t xml:space="preserve">  </w:t>
      </w:r>
      <w:r>
        <w:rPr>
          <w:rFonts w:hint="eastAsia"/>
          <w:color w:val="auto"/>
          <w:sz w:val="24"/>
          <w:highlight w:val="none"/>
        </w:rPr>
        <w:t>污染影响型敏感程度分级表</w:t>
      </w:r>
    </w:p>
    <w:tbl>
      <w:tblPr>
        <w:tblStyle w:val="4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07"/>
        <w:gridCol w:w="6709"/>
      </w:tblGrid>
      <w:tr w14:paraId="1A1B6F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61" w:type="pct"/>
            <w:noWrap w:val="0"/>
            <w:vAlign w:val="center"/>
          </w:tcPr>
          <w:p w14:paraId="34CB5F36">
            <w:pPr>
              <w:pStyle w:val="199"/>
              <w:spacing w:beforeLines="0" w:line="240" w:lineRule="auto"/>
              <w:rPr>
                <w:b w:val="0"/>
                <w:color w:val="auto"/>
                <w:kern w:val="0"/>
                <w:highlight w:val="none"/>
              </w:rPr>
            </w:pPr>
            <w:r>
              <w:rPr>
                <w:rFonts w:hint="eastAsia"/>
                <w:b w:val="0"/>
                <w:color w:val="auto"/>
                <w:kern w:val="0"/>
                <w:highlight w:val="none"/>
              </w:rPr>
              <w:t>敏感程度</w:t>
            </w:r>
          </w:p>
        </w:tc>
        <w:tc>
          <w:tcPr>
            <w:tcW w:w="3939" w:type="pct"/>
            <w:noWrap w:val="0"/>
            <w:vAlign w:val="center"/>
          </w:tcPr>
          <w:p w14:paraId="1D0F87DE">
            <w:pPr>
              <w:pStyle w:val="199"/>
              <w:spacing w:beforeLines="0" w:line="240" w:lineRule="auto"/>
              <w:rPr>
                <w:b w:val="0"/>
                <w:color w:val="auto"/>
                <w:kern w:val="0"/>
                <w:highlight w:val="none"/>
              </w:rPr>
            </w:pPr>
            <w:r>
              <w:rPr>
                <w:rFonts w:hint="eastAsia"/>
                <w:b w:val="0"/>
                <w:color w:val="auto"/>
                <w:kern w:val="0"/>
                <w:highlight w:val="none"/>
              </w:rPr>
              <w:t>判别依据</w:t>
            </w:r>
          </w:p>
        </w:tc>
      </w:tr>
      <w:tr w14:paraId="2F8A3E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61" w:type="pct"/>
            <w:noWrap w:val="0"/>
            <w:vAlign w:val="center"/>
          </w:tcPr>
          <w:p w14:paraId="0EE1EE20">
            <w:pPr>
              <w:pStyle w:val="199"/>
              <w:spacing w:beforeLines="0" w:line="240" w:lineRule="auto"/>
              <w:rPr>
                <w:b w:val="0"/>
                <w:color w:val="auto"/>
                <w:kern w:val="0"/>
                <w:highlight w:val="none"/>
              </w:rPr>
            </w:pPr>
            <w:r>
              <w:rPr>
                <w:rFonts w:hint="eastAsia"/>
                <w:b w:val="0"/>
                <w:color w:val="auto"/>
                <w:kern w:val="0"/>
                <w:highlight w:val="none"/>
              </w:rPr>
              <w:t>敏感</w:t>
            </w:r>
          </w:p>
        </w:tc>
        <w:tc>
          <w:tcPr>
            <w:tcW w:w="3939" w:type="pct"/>
            <w:noWrap w:val="0"/>
            <w:vAlign w:val="center"/>
          </w:tcPr>
          <w:p w14:paraId="56220CF3">
            <w:pPr>
              <w:pStyle w:val="199"/>
              <w:spacing w:beforeLines="0" w:line="240" w:lineRule="auto"/>
              <w:rPr>
                <w:b w:val="0"/>
                <w:color w:val="auto"/>
                <w:kern w:val="0"/>
                <w:highlight w:val="none"/>
              </w:rPr>
            </w:pPr>
            <w:r>
              <w:rPr>
                <w:rFonts w:hint="eastAsia"/>
                <w:b w:val="0"/>
                <w:color w:val="auto"/>
                <w:kern w:val="0"/>
                <w:highlight w:val="none"/>
              </w:rPr>
              <w:t>建设项目周边存在耕地、园地、牧草地、饮用水水源地或居民区、学校、医院、疗养院、养老院等土壤环境敏感目标的</w:t>
            </w:r>
          </w:p>
        </w:tc>
      </w:tr>
      <w:tr w14:paraId="6BFCEB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61" w:type="pct"/>
            <w:noWrap w:val="0"/>
            <w:vAlign w:val="center"/>
          </w:tcPr>
          <w:p w14:paraId="424CADC0">
            <w:pPr>
              <w:pStyle w:val="199"/>
              <w:spacing w:beforeLines="0" w:line="240" w:lineRule="auto"/>
              <w:rPr>
                <w:b w:val="0"/>
                <w:color w:val="auto"/>
                <w:kern w:val="0"/>
                <w:highlight w:val="none"/>
              </w:rPr>
            </w:pPr>
            <w:r>
              <w:rPr>
                <w:rFonts w:hint="eastAsia"/>
                <w:b w:val="0"/>
                <w:color w:val="auto"/>
                <w:kern w:val="0"/>
                <w:highlight w:val="none"/>
              </w:rPr>
              <w:t>较敏感</w:t>
            </w:r>
          </w:p>
        </w:tc>
        <w:tc>
          <w:tcPr>
            <w:tcW w:w="3939" w:type="pct"/>
            <w:noWrap w:val="0"/>
            <w:vAlign w:val="center"/>
          </w:tcPr>
          <w:p w14:paraId="2595696D">
            <w:pPr>
              <w:pStyle w:val="199"/>
              <w:spacing w:beforeLines="0" w:line="240" w:lineRule="auto"/>
              <w:rPr>
                <w:b w:val="0"/>
                <w:color w:val="auto"/>
                <w:kern w:val="0"/>
                <w:highlight w:val="none"/>
              </w:rPr>
            </w:pPr>
            <w:r>
              <w:rPr>
                <w:rFonts w:hint="eastAsia"/>
                <w:b w:val="0"/>
                <w:color w:val="auto"/>
                <w:kern w:val="0"/>
                <w:highlight w:val="none"/>
              </w:rPr>
              <w:t>建设项目周边存在其他土壤环境敏感目标的</w:t>
            </w:r>
          </w:p>
        </w:tc>
      </w:tr>
      <w:tr w14:paraId="796531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61" w:type="pct"/>
            <w:noWrap w:val="0"/>
            <w:vAlign w:val="center"/>
          </w:tcPr>
          <w:p w14:paraId="15BED876">
            <w:pPr>
              <w:pStyle w:val="199"/>
              <w:spacing w:beforeLines="0" w:line="240" w:lineRule="auto"/>
              <w:rPr>
                <w:b w:val="0"/>
                <w:color w:val="auto"/>
                <w:kern w:val="0"/>
                <w:highlight w:val="none"/>
              </w:rPr>
            </w:pPr>
            <w:r>
              <w:rPr>
                <w:rFonts w:hint="eastAsia"/>
                <w:b w:val="0"/>
                <w:color w:val="auto"/>
                <w:kern w:val="0"/>
                <w:highlight w:val="none"/>
              </w:rPr>
              <w:t>不敏感</w:t>
            </w:r>
          </w:p>
        </w:tc>
        <w:tc>
          <w:tcPr>
            <w:tcW w:w="3939" w:type="pct"/>
            <w:noWrap w:val="0"/>
            <w:vAlign w:val="center"/>
          </w:tcPr>
          <w:p w14:paraId="454B4367">
            <w:pPr>
              <w:pStyle w:val="199"/>
              <w:spacing w:beforeLines="0" w:line="240" w:lineRule="auto"/>
              <w:rPr>
                <w:b w:val="0"/>
                <w:color w:val="auto"/>
                <w:kern w:val="0"/>
                <w:highlight w:val="none"/>
              </w:rPr>
            </w:pPr>
            <w:r>
              <w:rPr>
                <w:rFonts w:hint="eastAsia"/>
                <w:b w:val="0"/>
                <w:color w:val="auto"/>
                <w:kern w:val="0"/>
                <w:highlight w:val="none"/>
              </w:rPr>
              <w:t>其他情况</w:t>
            </w:r>
          </w:p>
        </w:tc>
      </w:tr>
    </w:tbl>
    <w:p w14:paraId="5A8E24C7">
      <w:pPr>
        <w:ind w:firstLine="480"/>
        <w:rPr>
          <w:color w:val="auto"/>
          <w:highlight w:val="none"/>
        </w:rPr>
      </w:pPr>
      <w:r>
        <w:rPr>
          <w:rFonts w:hint="eastAsia"/>
          <w:color w:val="auto"/>
          <w:highlight w:val="none"/>
        </w:rPr>
        <w:t>本项目位于</w:t>
      </w:r>
      <w:r>
        <w:rPr>
          <w:rFonts w:hint="eastAsia"/>
          <w:color w:val="auto"/>
          <w:highlight w:val="none"/>
          <w:lang w:val="en-US" w:eastAsia="zh-CN"/>
        </w:rPr>
        <w:t>内蒙古锡林郭勒多伦经济开发区内</w:t>
      </w:r>
      <w:r>
        <w:rPr>
          <w:rStyle w:val="269"/>
          <w:rFonts w:hint="eastAsia"/>
          <w:color w:val="auto"/>
          <w:highlight w:val="none"/>
        </w:rPr>
        <w:t>，</w:t>
      </w:r>
      <w:r>
        <w:rPr>
          <w:rFonts w:hint="eastAsia"/>
          <w:color w:val="auto"/>
          <w:highlight w:val="none"/>
        </w:rPr>
        <w:t>项目占地类型为建设用地，项目周边</w:t>
      </w:r>
      <w:r>
        <w:rPr>
          <w:rFonts w:hint="eastAsia"/>
          <w:color w:val="auto"/>
          <w:highlight w:val="none"/>
          <w:lang w:val="en-US" w:eastAsia="zh-CN"/>
        </w:rPr>
        <w:t>一定范围内</w:t>
      </w:r>
      <w:r>
        <w:rPr>
          <w:rFonts w:hint="eastAsia"/>
          <w:color w:val="auto"/>
          <w:highlight w:val="none"/>
        </w:rPr>
        <w:t>存在</w:t>
      </w:r>
      <w:r>
        <w:rPr>
          <w:rFonts w:hint="eastAsia"/>
          <w:color w:val="auto"/>
          <w:highlight w:val="none"/>
          <w:lang w:eastAsia="zh-CN"/>
        </w:rPr>
        <w:t>“</w:t>
      </w:r>
      <w:r>
        <w:rPr>
          <w:rFonts w:hint="eastAsia"/>
          <w:color w:val="auto"/>
          <w:highlight w:val="none"/>
        </w:rPr>
        <w:t>草地</w:t>
      </w:r>
      <w:r>
        <w:rPr>
          <w:rFonts w:hint="eastAsia"/>
          <w:color w:val="auto"/>
          <w:highlight w:val="none"/>
          <w:lang w:eastAsia="zh-CN"/>
        </w:rPr>
        <w:t>”</w:t>
      </w:r>
      <w:r>
        <w:rPr>
          <w:rFonts w:hint="eastAsia"/>
          <w:color w:val="auto"/>
          <w:highlight w:val="none"/>
        </w:rPr>
        <w:t>土壤环境敏感目标，本项目土壤环境敏感程度为</w:t>
      </w:r>
      <w:r>
        <w:rPr>
          <w:b w:val="0"/>
          <w:bCs w:val="0"/>
          <w:color w:val="auto"/>
          <w:highlight w:val="none"/>
        </w:rPr>
        <w:t>“</w:t>
      </w:r>
      <w:r>
        <w:rPr>
          <w:rFonts w:hint="eastAsia"/>
          <w:b w:val="0"/>
          <w:bCs w:val="0"/>
          <w:color w:val="auto"/>
          <w:highlight w:val="none"/>
        </w:rPr>
        <w:t>敏感</w:t>
      </w:r>
      <w:r>
        <w:rPr>
          <w:b w:val="0"/>
          <w:bCs w:val="0"/>
          <w:color w:val="auto"/>
          <w:highlight w:val="none"/>
        </w:rPr>
        <w:t>”</w:t>
      </w:r>
      <w:r>
        <w:rPr>
          <w:rFonts w:hint="eastAsia"/>
          <w:color w:val="auto"/>
          <w:highlight w:val="none"/>
        </w:rPr>
        <w:t>。</w:t>
      </w:r>
    </w:p>
    <w:p w14:paraId="1E5A5FD5">
      <w:pP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）影响类型及途径</w:t>
      </w:r>
    </w:p>
    <w:p w14:paraId="74DC1B68">
      <w:pPr>
        <w:ind w:firstLine="480"/>
        <w:rPr>
          <w:color w:val="auto"/>
          <w:highlight w:val="none"/>
        </w:rPr>
      </w:pPr>
      <w:r>
        <w:rPr>
          <w:rFonts w:hint="eastAsia"/>
          <w:color w:val="auto"/>
          <w:highlight w:val="none"/>
        </w:rPr>
        <w:t>拟建项目影响类型为污染影响型。</w:t>
      </w:r>
    </w:p>
    <w:p w14:paraId="0EA00E35">
      <w:pPr>
        <w:ind w:firstLine="480"/>
        <w:rPr>
          <w:color w:val="auto"/>
          <w:highlight w:val="none"/>
        </w:rPr>
      </w:pPr>
      <w:r>
        <w:rPr>
          <w:rFonts w:hint="eastAsia"/>
          <w:color w:val="auto"/>
          <w:highlight w:val="none"/>
        </w:rPr>
        <w:t>影响途径见表</w:t>
      </w:r>
      <w:r>
        <w:rPr>
          <w:color w:val="auto"/>
          <w:highlight w:val="none"/>
        </w:rPr>
        <w:t>2.4-</w:t>
      </w:r>
      <w:r>
        <w:rPr>
          <w:rFonts w:hint="eastAsia"/>
          <w:color w:val="auto"/>
          <w:highlight w:val="none"/>
        </w:rPr>
        <w:t>10。</w:t>
      </w:r>
    </w:p>
    <w:p w14:paraId="16111BC3">
      <w:pPr>
        <w:pStyle w:val="199"/>
        <w:spacing w:before="120"/>
        <w:rPr>
          <w:color w:val="auto"/>
          <w:sz w:val="24"/>
          <w:highlight w:val="none"/>
        </w:rPr>
      </w:pPr>
      <w:r>
        <w:rPr>
          <w:rFonts w:hint="eastAsia"/>
          <w:color w:val="auto"/>
          <w:sz w:val="24"/>
          <w:highlight w:val="none"/>
        </w:rPr>
        <w:t>表</w:t>
      </w:r>
      <w:r>
        <w:rPr>
          <w:color w:val="auto"/>
          <w:sz w:val="24"/>
          <w:highlight w:val="none"/>
        </w:rPr>
        <w:t>2.</w:t>
      </w:r>
      <w:r>
        <w:rPr>
          <w:rFonts w:hint="eastAsia"/>
          <w:color w:val="auto"/>
          <w:sz w:val="24"/>
          <w:highlight w:val="none"/>
        </w:rPr>
        <w:t>4</w:t>
      </w:r>
      <w:r>
        <w:rPr>
          <w:color w:val="auto"/>
          <w:sz w:val="24"/>
          <w:highlight w:val="none"/>
        </w:rPr>
        <w:t>-</w:t>
      </w:r>
      <w:r>
        <w:rPr>
          <w:rFonts w:hint="eastAsia"/>
          <w:color w:val="auto"/>
          <w:sz w:val="24"/>
          <w:highlight w:val="none"/>
        </w:rPr>
        <w:t>10</w:t>
      </w:r>
      <w:r>
        <w:rPr>
          <w:color w:val="auto"/>
          <w:sz w:val="24"/>
          <w:highlight w:val="none"/>
        </w:rPr>
        <w:t xml:space="preserve">  </w:t>
      </w:r>
      <w:r>
        <w:rPr>
          <w:rFonts w:hint="eastAsia"/>
          <w:color w:val="auto"/>
          <w:sz w:val="24"/>
          <w:highlight w:val="none"/>
        </w:rPr>
        <w:t>建设项目影响类型表</w:t>
      </w:r>
    </w:p>
    <w:tbl>
      <w:tblPr>
        <w:tblStyle w:val="4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67"/>
        <w:gridCol w:w="1615"/>
        <w:gridCol w:w="1672"/>
        <w:gridCol w:w="1718"/>
        <w:gridCol w:w="1228"/>
      </w:tblGrid>
      <w:tr w14:paraId="58B504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245" w:type="pct"/>
            <w:vMerge w:val="restart"/>
            <w:noWrap w:val="0"/>
            <w:vAlign w:val="center"/>
          </w:tcPr>
          <w:p w14:paraId="397BB335">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不同时段</w:t>
            </w:r>
          </w:p>
        </w:tc>
        <w:tc>
          <w:tcPr>
            <w:tcW w:w="3755" w:type="pct"/>
            <w:gridSpan w:val="4"/>
            <w:noWrap w:val="0"/>
            <w:vAlign w:val="center"/>
          </w:tcPr>
          <w:p w14:paraId="2F79B645">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污染影响型</w:t>
            </w:r>
          </w:p>
        </w:tc>
      </w:tr>
      <w:tr w14:paraId="13BDAB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245" w:type="pct"/>
            <w:vMerge w:val="continue"/>
            <w:noWrap w:val="0"/>
            <w:vAlign w:val="center"/>
          </w:tcPr>
          <w:p w14:paraId="1D8781F1">
            <w:pPr>
              <w:kinsoku w:val="0"/>
              <w:overflowPunct w:val="0"/>
              <w:autoSpaceDE w:val="0"/>
              <w:autoSpaceDN w:val="0"/>
              <w:adjustRightInd w:val="0"/>
              <w:spacing w:line="240" w:lineRule="auto"/>
              <w:ind w:firstLine="0" w:firstLineChars="0"/>
              <w:jc w:val="center"/>
              <w:rPr>
                <w:color w:val="auto"/>
                <w:sz w:val="21"/>
                <w:szCs w:val="21"/>
                <w:highlight w:val="none"/>
              </w:rPr>
            </w:pPr>
          </w:p>
        </w:tc>
        <w:tc>
          <w:tcPr>
            <w:tcW w:w="973" w:type="pct"/>
            <w:noWrap w:val="0"/>
            <w:vAlign w:val="center"/>
          </w:tcPr>
          <w:p w14:paraId="6703D383">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大气沉降</w:t>
            </w:r>
          </w:p>
        </w:tc>
        <w:tc>
          <w:tcPr>
            <w:tcW w:w="1007" w:type="pct"/>
            <w:noWrap w:val="0"/>
            <w:vAlign w:val="center"/>
          </w:tcPr>
          <w:p w14:paraId="39D3AAA6">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地面漫流</w:t>
            </w:r>
          </w:p>
        </w:tc>
        <w:tc>
          <w:tcPr>
            <w:tcW w:w="1035" w:type="pct"/>
            <w:noWrap w:val="0"/>
            <w:vAlign w:val="center"/>
          </w:tcPr>
          <w:p w14:paraId="3787A548">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垂直入渗</w:t>
            </w:r>
          </w:p>
        </w:tc>
        <w:tc>
          <w:tcPr>
            <w:tcW w:w="740" w:type="pct"/>
            <w:noWrap w:val="0"/>
            <w:vAlign w:val="center"/>
          </w:tcPr>
          <w:p w14:paraId="450BF7E9">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其它</w:t>
            </w:r>
          </w:p>
        </w:tc>
      </w:tr>
      <w:tr w14:paraId="039391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245" w:type="pct"/>
            <w:noWrap w:val="0"/>
            <w:vAlign w:val="center"/>
          </w:tcPr>
          <w:p w14:paraId="6E62D296">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建设期</w:t>
            </w:r>
          </w:p>
        </w:tc>
        <w:tc>
          <w:tcPr>
            <w:tcW w:w="973" w:type="pct"/>
            <w:noWrap w:val="0"/>
            <w:vAlign w:val="center"/>
          </w:tcPr>
          <w:p w14:paraId="7ABC3E01">
            <w:pPr>
              <w:spacing w:line="240" w:lineRule="auto"/>
              <w:ind w:firstLine="0" w:firstLineChars="0"/>
              <w:jc w:val="center"/>
              <w:rPr>
                <w:color w:val="auto"/>
                <w:sz w:val="21"/>
                <w:szCs w:val="21"/>
                <w:highlight w:val="none"/>
              </w:rPr>
            </w:pPr>
            <w:r>
              <w:rPr>
                <w:rFonts w:hint="eastAsia"/>
                <w:b w:val="0"/>
                <w:bCs w:val="0"/>
                <w:color w:val="auto"/>
                <w:sz w:val="21"/>
                <w:szCs w:val="21"/>
                <w:highlight w:val="none"/>
              </w:rPr>
              <w:t>√</w:t>
            </w:r>
          </w:p>
        </w:tc>
        <w:tc>
          <w:tcPr>
            <w:tcW w:w="1007" w:type="pct"/>
            <w:noWrap w:val="0"/>
            <w:vAlign w:val="center"/>
          </w:tcPr>
          <w:p w14:paraId="6F9EB2AB">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35" w:type="pct"/>
            <w:noWrap w:val="0"/>
            <w:vAlign w:val="center"/>
          </w:tcPr>
          <w:p w14:paraId="3FA4F043">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740" w:type="pct"/>
            <w:noWrap w:val="0"/>
            <w:vAlign w:val="center"/>
          </w:tcPr>
          <w:p w14:paraId="164A7E19">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2EE20D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245" w:type="pct"/>
            <w:noWrap w:val="0"/>
            <w:vAlign w:val="center"/>
          </w:tcPr>
          <w:p w14:paraId="2058B753">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运营期</w:t>
            </w:r>
          </w:p>
        </w:tc>
        <w:tc>
          <w:tcPr>
            <w:tcW w:w="973" w:type="pct"/>
            <w:noWrap w:val="0"/>
            <w:vAlign w:val="center"/>
          </w:tcPr>
          <w:p w14:paraId="4363009A">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07" w:type="pct"/>
            <w:noWrap w:val="0"/>
            <w:vAlign w:val="center"/>
          </w:tcPr>
          <w:p w14:paraId="27EC0051">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35" w:type="pct"/>
            <w:noWrap w:val="0"/>
            <w:vAlign w:val="center"/>
          </w:tcPr>
          <w:p w14:paraId="09800158">
            <w:pPr>
              <w:spacing w:line="240" w:lineRule="auto"/>
              <w:ind w:firstLine="0" w:firstLineChars="0"/>
              <w:jc w:val="center"/>
              <w:rPr>
                <w:color w:val="auto"/>
                <w:sz w:val="21"/>
                <w:szCs w:val="21"/>
                <w:highlight w:val="none"/>
              </w:rPr>
            </w:pPr>
            <w:r>
              <w:rPr>
                <w:rFonts w:hint="eastAsia"/>
                <w:b w:val="0"/>
                <w:bCs w:val="0"/>
                <w:color w:val="auto"/>
                <w:sz w:val="21"/>
                <w:szCs w:val="21"/>
                <w:highlight w:val="none"/>
              </w:rPr>
              <w:t>√</w:t>
            </w:r>
          </w:p>
        </w:tc>
        <w:tc>
          <w:tcPr>
            <w:tcW w:w="740" w:type="pct"/>
            <w:noWrap w:val="0"/>
            <w:vAlign w:val="center"/>
          </w:tcPr>
          <w:p w14:paraId="3F2EE0C2">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3F9CCF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245" w:type="pct"/>
            <w:noWrap w:val="0"/>
            <w:vAlign w:val="center"/>
          </w:tcPr>
          <w:p w14:paraId="0E48C0A8">
            <w:pPr>
              <w:kinsoku w:val="0"/>
              <w:overflowPunct w:val="0"/>
              <w:autoSpaceDE w:val="0"/>
              <w:autoSpaceDN w:val="0"/>
              <w:adjustRightInd w:val="0"/>
              <w:spacing w:line="240" w:lineRule="auto"/>
              <w:ind w:firstLine="0" w:firstLineChars="0"/>
              <w:jc w:val="center"/>
              <w:rPr>
                <w:color w:val="auto"/>
                <w:sz w:val="21"/>
                <w:szCs w:val="21"/>
                <w:highlight w:val="none"/>
              </w:rPr>
            </w:pPr>
            <w:r>
              <w:rPr>
                <w:rFonts w:hint="eastAsia"/>
                <w:color w:val="auto"/>
                <w:sz w:val="21"/>
                <w:szCs w:val="21"/>
                <w:highlight w:val="none"/>
              </w:rPr>
              <w:t>服务期满后</w:t>
            </w:r>
          </w:p>
        </w:tc>
        <w:tc>
          <w:tcPr>
            <w:tcW w:w="973" w:type="pct"/>
            <w:noWrap w:val="0"/>
            <w:vAlign w:val="center"/>
          </w:tcPr>
          <w:p w14:paraId="486C75EB">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07" w:type="pct"/>
            <w:noWrap w:val="0"/>
            <w:vAlign w:val="center"/>
          </w:tcPr>
          <w:p w14:paraId="2E37D975">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035" w:type="pct"/>
            <w:noWrap w:val="0"/>
            <w:vAlign w:val="center"/>
          </w:tcPr>
          <w:p w14:paraId="50D27690">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740" w:type="pct"/>
            <w:noWrap w:val="0"/>
            <w:vAlign w:val="center"/>
          </w:tcPr>
          <w:p w14:paraId="4506EFA3">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bl>
    <w:p w14:paraId="63635206">
      <w:pPr>
        <w:ind w:firstLine="480"/>
        <w:rPr>
          <w:color w:val="auto"/>
          <w:highlight w:val="none"/>
        </w:rPr>
      </w:pPr>
      <w:r>
        <w:rPr>
          <w:rFonts w:hint="eastAsia"/>
          <w:color w:val="auto"/>
          <w:highlight w:val="none"/>
        </w:rPr>
        <w:t>本项目影响途径主要为运营期项目场地的垂直入渗污染。</w:t>
      </w:r>
    </w:p>
    <w:p w14:paraId="6BCFEA51">
      <w:pPr>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）建设项目占地规模</w:t>
      </w:r>
    </w:p>
    <w:p w14:paraId="171CB6A9">
      <w:pPr>
        <w:ind w:firstLine="480"/>
        <w:rPr>
          <w:color w:val="auto"/>
          <w:highlight w:val="none"/>
        </w:rPr>
      </w:pPr>
      <w:r>
        <w:rPr>
          <w:rFonts w:hint="eastAsia"/>
          <w:color w:val="auto"/>
          <w:highlight w:val="none"/>
        </w:rPr>
        <w:t>根据《环境影响评价技术导则</w:t>
      </w:r>
      <w:r>
        <w:rPr>
          <w:color w:val="auto"/>
          <w:highlight w:val="none"/>
        </w:rPr>
        <w:t xml:space="preserve"> </w:t>
      </w:r>
      <w:r>
        <w:rPr>
          <w:rFonts w:hint="eastAsia"/>
          <w:color w:val="auto"/>
          <w:highlight w:val="none"/>
        </w:rPr>
        <w:t>土壤环境》（试行）（</w:t>
      </w:r>
      <w:r>
        <w:rPr>
          <w:color w:val="auto"/>
          <w:highlight w:val="none"/>
        </w:rPr>
        <w:t>HJ964-2018</w:t>
      </w:r>
      <w:r>
        <w:rPr>
          <w:rFonts w:hint="eastAsia"/>
          <w:color w:val="auto"/>
          <w:highlight w:val="none"/>
        </w:rPr>
        <w:t>），将建设项目占地规模分为大型（≥</w:t>
      </w:r>
      <w:r>
        <w:rPr>
          <w:color w:val="auto"/>
          <w:highlight w:val="none"/>
        </w:rPr>
        <w:t>50hm</w:t>
      </w:r>
      <w:r>
        <w:rPr>
          <w:color w:val="auto"/>
          <w:highlight w:val="none"/>
          <w:vertAlign w:val="superscript"/>
        </w:rPr>
        <w:t>2</w:t>
      </w:r>
      <w:r>
        <w:rPr>
          <w:rFonts w:hint="eastAsia"/>
          <w:color w:val="auto"/>
          <w:highlight w:val="none"/>
        </w:rPr>
        <w:t>）、中型（</w:t>
      </w:r>
      <w:r>
        <w:rPr>
          <w:color w:val="auto"/>
          <w:highlight w:val="none"/>
        </w:rPr>
        <w:t>5~50hm</w:t>
      </w:r>
      <w:r>
        <w:rPr>
          <w:color w:val="auto"/>
          <w:highlight w:val="none"/>
          <w:vertAlign w:val="superscript"/>
        </w:rPr>
        <w:t>2</w:t>
      </w:r>
      <w:r>
        <w:rPr>
          <w:rFonts w:hint="eastAsia"/>
          <w:color w:val="auto"/>
          <w:highlight w:val="none"/>
        </w:rPr>
        <w:t>）、小型（≤</w:t>
      </w:r>
      <w:r>
        <w:rPr>
          <w:color w:val="auto"/>
          <w:highlight w:val="none"/>
        </w:rPr>
        <w:t>5hm</w:t>
      </w:r>
      <w:r>
        <w:rPr>
          <w:color w:val="auto"/>
          <w:highlight w:val="none"/>
          <w:vertAlign w:val="superscript"/>
        </w:rPr>
        <w:t>2</w:t>
      </w:r>
      <w:r>
        <w:rPr>
          <w:rFonts w:hint="eastAsia"/>
          <w:color w:val="auto"/>
          <w:highlight w:val="none"/>
        </w:rPr>
        <w:t>），建设项目占地主要为永久性占地。</w:t>
      </w:r>
    </w:p>
    <w:p w14:paraId="375F5511">
      <w:pPr>
        <w:ind w:firstLine="480"/>
        <w:rPr>
          <w:color w:val="auto"/>
          <w:highlight w:val="none"/>
        </w:rPr>
      </w:pPr>
      <w:r>
        <w:rPr>
          <w:rFonts w:hint="eastAsia"/>
          <w:color w:val="auto"/>
          <w:highlight w:val="none"/>
        </w:rPr>
        <w:t>本项目占地面积为</w:t>
      </w:r>
      <w:r>
        <w:rPr>
          <w:rFonts w:hint="eastAsia" w:ascii="Times New Roman" w:hAnsi="Times New Roman" w:eastAsia="宋体" w:cs="Arial"/>
          <w:color w:val="auto"/>
          <w:kern w:val="0"/>
          <w:sz w:val="24"/>
          <w:szCs w:val="24"/>
          <w:highlight w:val="none"/>
          <w:lang w:val="en-US" w:eastAsia="zh-CN" w:bidi="ar"/>
        </w:rPr>
        <w:t>16650</w:t>
      </w:r>
      <w:r>
        <w:rPr>
          <w:rFonts w:hint="eastAsia"/>
          <w:color w:val="auto"/>
          <w:szCs w:val="21"/>
          <w:highlight w:val="none"/>
          <w:lang w:val="en-US" w:eastAsia="zh-CN"/>
        </w:rPr>
        <w:t>m</w:t>
      </w:r>
      <w:r>
        <w:rPr>
          <w:rFonts w:hint="eastAsia"/>
          <w:color w:val="auto"/>
          <w:szCs w:val="21"/>
          <w:highlight w:val="none"/>
          <w:vertAlign w:val="superscript"/>
          <w:lang w:val="en-US" w:eastAsia="zh-CN"/>
        </w:rPr>
        <w:t>2</w:t>
      </w:r>
      <w:r>
        <w:rPr>
          <w:rFonts w:hint="eastAsia"/>
          <w:color w:val="auto"/>
          <w:szCs w:val="21"/>
          <w:highlight w:val="none"/>
        </w:rPr>
        <w:t>（约</w:t>
      </w:r>
      <w:r>
        <w:rPr>
          <w:rFonts w:hint="eastAsia"/>
          <w:color w:val="auto"/>
          <w:szCs w:val="21"/>
          <w:highlight w:val="none"/>
          <w:lang w:val="en-US" w:eastAsia="zh-CN"/>
        </w:rPr>
        <w:t>1.67h</w:t>
      </w:r>
      <w:r>
        <w:rPr>
          <w:color w:val="auto"/>
          <w:highlight w:val="none"/>
        </w:rPr>
        <w:t>m</w:t>
      </w:r>
      <w:r>
        <w:rPr>
          <w:color w:val="auto"/>
          <w:highlight w:val="none"/>
          <w:vertAlign w:val="superscript"/>
        </w:rPr>
        <w:t>2</w:t>
      </w:r>
      <w:r>
        <w:rPr>
          <w:rFonts w:hint="eastAsia"/>
          <w:color w:val="auto"/>
          <w:szCs w:val="21"/>
          <w:highlight w:val="none"/>
        </w:rPr>
        <w:t>）</w:t>
      </w:r>
      <w:r>
        <w:rPr>
          <w:rFonts w:hint="eastAsia"/>
          <w:color w:val="auto"/>
          <w:highlight w:val="none"/>
        </w:rPr>
        <w:t>，占地规模属于</w:t>
      </w:r>
      <w:r>
        <w:rPr>
          <w:rFonts w:hint="eastAsia"/>
          <w:b/>
          <w:bCs/>
          <w:color w:val="auto"/>
          <w:highlight w:val="none"/>
          <w:lang w:val="en-US" w:eastAsia="zh-CN"/>
        </w:rPr>
        <w:t>小</w:t>
      </w:r>
      <w:r>
        <w:rPr>
          <w:rFonts w:hint="eastAsia"/>
          <w:b/>
          <w:bCs/>
          <w:color w:val="auto"/>
          <w:highlight w:val="none"/>
        </w:rPr>
        <w:t>型</w:t>
      </w:r>
      <w:r>
        <w:rPr>
          <w:rFonts w:hint="eastAsia"/>
          <w:color w:val="auto"/>
          <w:highlight w:val="none"/>
        </w:rPr>
        <w:t>。</w:t>
      </w:r>
    </w:p>
    <w:p w14:paraId="361B7E23">
      <w:pPr>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）土壤环境影响评价工作等级</w:t>
      </w:r>
    </w:p>
    <w:p w14:paraId="08AC686B">
      <w:pPr>
        <w:ind w:firstLine="480"/>
        <w:rPr>
          <w:color w:val="auto"/>
          <w:highlight w:val="none"/>
        </w:rPr>
      </w:pPr>
      <w:r>
        <w:rPr>
          <w:rFonts w:hint="eastAsia"/>
          <w:color w:val="auto"/>
          <w:highlight w:val="none"/>
        </w:rPr>
        <w:t>根据土壤环境影响评价项目类别、占地规模与敏感程度划分评价工作等级见表</w:t>
      </w:r>
      <w:r>
        <w:rPr>
          <w:color w:val="auto"/>
          <w:highlight w:val="none"/>
        </w:rPr>
        <w:t>2.4-</w:t>
      </w:r>
      <w:r>
        <w:rPr>
          <w:rFonts w:hint="eastAsia"/>
          <w:color w:val="auto"/>
          <w:highlight w:val="none"/>
        </w:rPr>
        <w:t>11。</w:t>
      </w:r>
    </w:p>
    <w:p w14:paraId="48923663">
      <w:pPr>
        <w:pStyle w:val="199"/>
        <w:spacing w:before="120"/>
        <w:rPr>
          <w:color w:val="auto"/>
          <w:sz w:val="24"/>
          <w:highlight w:val="none"/>
        </w:rPr>
      </w:pPr>
      <w:r>
        <w:rPr>
          <w:rFonts w:hint="eastAsia"/>
          <w:color w:val="auto"/>
          <w:sz w:val="24"/>
          <w:highlight w:val="none"/>
        </w:rPr>
        <w:t>表</w:t>
      </w:r>
      <w:r>
        <w:rPr>
          <w:color w:val="auto"/>
          <w:sz w:val="24"/>
          <w:highlight w:val="none"/>
        </w:rPr>
        <w:t>2.4-</w:t>
      </w:r>
      <w:r>
        <w:rPr>
          <w:rFonts w:hint="eastAsia"/>
          <w:color w:val="auto"/>
          <w:sz w:val="24"/>
          <w:highlight w:val="none"/>
        </w:rPr>
        <w:t>11</w:t>
      </w:r>
      <w:r>
        <w:rPr>
          <w:color w:val="auto"/>
          <w:sz w:val="24"/>
          <w:highlight w:val="none"/>
        </w:rPr>
        <w:t xml:space="preserve">  </w:t>
      </w:r>
      <w:r>
        <w:rPr>
          <w:rFonts w:hint="eastAsia"/>
          <w:color w:val="auto"/>
          <w:sz w:val="24"/>
          <w:highlight w:val="none"/>
        </w:rPr>
        <w:t>污染影响型评价工作等级划分表</w:t>
      </w:r>
    </w:p>
    <w:tbl>
      <w:tblPr>
        <w:tblStyle w:val="4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44"/>
        <w:gridCol w:w="707"/>
        <w:gridCol w:w="709"/>
        <w:gridCol w:w="710"/>
        <w:gridCol w:w="712"/>
        <w:gridCol w:w="709"/>
        <w:gridCol w:w="710"/>
        <w:gridCol w:w="846"/>
        <w:gridCol w:w="709"/>
        <w:gridCol w:w="760"/>
      </w:tblGrid>
      <w:tr w14:paraId="460E4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42" w:type="pct"/>
            <w:vMerge w:val="restart"/>
            <w:noWrap w:val="0"/>
            <w:vAlign w:val="top"/>
          </w:tcPr>
          <w:p w14:paraId="521C04A4">
            <w:pPr>
              <w:pStyle w:val="199"/>
              <w:spacing w:before="120" w:line="240" w:lineRule="auto"/>
              <w:rPr>
                <w:b w:val="0"/>
                <w:color w:val="auto"/>
                <w:kern w:val="0"/>
                <w:szCs w:val="21"/>
                <w:highlight w:val="none"/>
              </w:rPr>
            </w:pPr>
            <w:r>
              <w:rPr>
                <w:b w:val="0"/>
                <w:color w:val="auto"/>
                <w:kern w:val="0"/>
                <w:szCs w:val="21"/>
                <w:highlight w:val="none"/>
              </w:rPr>
              <mc:AlternateContent>
                <mc:Choice Requires="wps">
                  <w:drawing>
                    <wp:anchor distT="0" distB="0" distL="114300" distR="114300" simplePos="0" relativeHeight="251663360" behindDoc="0" locked="0" layoutInCell="1" allowOverlap="1">
                      <wp:simplePos x="0" y="0"/>
                      <wp:positionH relativeFrom="column">
                        <wp:posOffset>300355</wp:posOffset>
                      </wp:positionH>
                      <wp:positionV relativeFrom="paragraph">
                        <wp:posOffset>-12700</wp:posOffset>
                      </wp:positionV>
                      <wp:extent cx="869950" cy="752475"/>
                      <wp:effectExtent l="3175" t="3810" r="3175" b="5715"/>
                      <wp:wrapNone/>
                      <wp:docPr id="227" name="直接连接符 227"/>
                      <wp:cNvGraphicFramePr/>
                      <a:graphic xmlns:a="http://schemas.openxmlformats.org/drawingml/2006/main">
                        <a:graphicData uri="http://schemas.microsoft.com/office/word/2010/wordprocessingShape">
                          <wps:wsp>
                            <wps:cNvCnPr/>
                            <wps:spPr>
                              <a:xfrm flipH="1" flipV="1">
                                <a:off x="0" y="0"/>
                                <a:ext cx="869949" cy="752474"/>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flip:x y;margin-left:23.65pt;margin-top:-1pt;height:59.25pt;width:68.5pt;z-index:251663360;mso-width-relative:page;mso-height-relative:page;" filled="f" stroked="t" coordsize="21600,21600" o:gfxdata="UEsDBAoAAAAAAIdO4kAAAAAAAAAAAAAAAAAEAAAAZHJzL1BLAwQUAAAACACHTuJA2RstTtMAAAAJ&#10;AQAADwAAAGRycy9kb3ducmV2LnhtbE1Py27CMBC8V+o/WFupN3BCKYlCHA5IfAC0QhxNvMRR7XUa&#10;G0L/vsupve3sjOZRb+7eiRuOsQ+kIJ9nIJDaYHrqFHx+7GYliJg0Ge0CoYIfjLBpnp9qXZkw0R5v&#10;h9QJNqFYaQU2paGSMrYWvY7zMCAxdwmj14nh2Ekz6onNvZOLLFtJr3viBKsH3Fpsvw5Xr8CVWfl9&#10;3BbTaW84ZXd0lopcqdeXPFuDSHhPf2J41Ofq0HCnc7iSicIpWBZvrFQwW/CkB18u+XHmI1+9g2xq&#10;+X9B8wtQSwMEFAAAAAgAh07iQIwE3C3wAQAAxAMAAA4AAABkcnMvZTJvRG9jLnhtbK1TvW7bMBDe&#10;C/QdCO61HMGOY8Fyhhhph6I10DY7TZESAf6Bx1j2S/QFCnRrp47d8zZNHyNHSjXSdMlQDcT98bv7&#10;Ph1XlwejyV4EUM7W9GwypURY7hpl25p++nj96oISiMw2TDsranoUQC/XL1+sel+J0nVONyIQBLFQ&#10;9b6mXYy+KgrgnTAMJs4Li0npgmER3dAWTWA9ohtdlNPpedG70PjguADA6GZI0hExPAfQSam42Dh+&#10;a4SNA2oQmkWkBJ3yQNd5WikFj++lBBGJrikyjfnEJmjv0lmsV6xqA/Od4uMI7DkjPOFkmLLY9AS1&#10;YZGR26D+gTKKBwdOxgl3phiIZEWQxdn0iTYfOuZF5oJSgz+JDv8Plr/bbwNRTU3LckGJZQZ/+f2X&#10;n78+f/t99xXP+x/fSUqhUL2HCuuv7DaMHvhtSKwPMhgitfJvcKNotm6SlXLIkRyy4MeT4OIQCcfg&#10;xflyOVtSwjG1mJezxSz1KQbAdNkHiK+FMyQZNdXKJj1YxfZvIQ6lf0pS2LprpTXGWaUt6Wu6nJdz&#10;hGe4pxL3A03jkSvYlhKmW3wAPIaMCE6rJt1OlyG0uysdyJ6ltcnfONhfZan1hkE31OXUWKZtghF5&#10;AcdJk3qDXsnaueaYZSyShz830x4XMW3PYx/tx49v/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Gy1O0wAAAAkBAAAPAAAAAAAAAAEAIAAAACIAAABkcnMvZG93bnJldi54bWxQSwECFAAUAAAACACH&#10;TuJAjATcLfABAADEAwAADgAAAAAAAAABACAAAAAiAQAAZHJzL2Uyb0RvYy54bWxQSwUGAAAAAAYA&#10;BgBZAQAAhAUAAAAA&#10;">
                      <v:fill on="f" focussize="0,0"/>
                      <v:stroke color="#000000" joinstyle="round"/>
                      <v:imagedata o:title=""/>
                      <o:lock v:ext="edit" aspectratio="f"/>
                    </v:line>
                  </w:pict>
                </mc:Fallback>
              </mc:AlternateContent>
            </w:r>
            <w:r>
              <w:rPr>
                <w:b w:val="0"/>
                <w:color w:val="auto"/>
                <w:kern w:val="0"/>
                <w:szCs w:val="21"/>
                <w:highlight w:val="none"/>
              </w:rPr>
              <w:t xml:space="preserve">        </w:t>
            </w:r>
            <w:r>
              <w:rPr>
                <w:rFonts w:hint="eastAsia"/>
                <w:b w:val="0"/>
                <w:color w:val="auto"/>
                <w:kern w:val="0"/>
                <w:szCs w:val="21"/>
                <w:highlight w:val="none"/>
              </w:rPr>
              <w:t>占地规模</w:t>
            </w:r>
          </w:p>
          <w:p w14:paraId="3F8D5582">
            <w:pPr>
              <w:pStyle w:val="199"/>
              <w:spacing w:before="120" w:line="240" w:lineRule="auto"/>
              <w:jc w:val="both"/>
              <w:rPr>
                <w:b w:val="0"/>
                <w:color w:val="auto"/>
                <w:kern w:val="0"/>
                <w:szCs w:val="21"/>
                <w:highlight w:val="none"/>
              </w:rPr>
            </w:pPr>
            <w:r>
              <w:rPr>
                <w:b w:val="0"/>
                <w:color w:val="auto"/>
                <w:kern w:val="0"/>
                <w:szCs w:val="21"/>
                <w:highlight w:val="none"/>
              </w:rPr>
              <mc:AlternateContent>
                <mc:Choice Requires="wps">
                  <w:drawing>
                    <wp:anchor distT="0" distB="0" distL="114300" distR="114300" simplePos="0" relativeHeight="251662336" behindDoc="0" locked="0" layoutInCell="1" allowOverlap="1">
                      <wp:simplePos x="0" y="0"/>
                      <wp:positionH relativeFrom="column">
                        <wp:posOffset>-55245</wp:posOffset>
                      </wp:positionH>
                      <wp:positionV relativeFrom="paragraph">
                        <wp:posOffset>169545</wp:posOffset>
                      </wp:positionV>
                      <wp:extent cx="1225550" cy="323215"/>
                      <wp:effectExtent l="1270" t="4445" r="11430" b="15240"/>
                      <wp:wrapNone/>
                      <wp:docPr id="30" name="直接连接符 30"/>
                      <wp:cNvGraphicFramePr/>
                      <a:graphic xmlns:a="http://schemas.openxmlformats.org/drawingml/2006/main">
                        <a:graphicData uri="http://schemas.microsoft.com/office/word/2010/wordprocessingShape">
                          <wps:wsp>
                            <wps:cNvCnPr/>
                            <wps:spPr>
                              <a:xfrm flipH="1" flipV="1">
                                <a:off x="0" y="0"/>
                                <a:ext cx="1225550" cy="323214"/>
                              </a:xfrm>
                              <a:prstGeom prst="line">
                                <a:avLst/>
                              </a:prstGeom>
                              <a:noFill/>
                              <a:ln w="9525" cap="flat" cmpd="sng" algn="ctr">
                                <a:solidFill>
                                  <a:srgbClr val="000000"/>
                                </a:solidFill>
                                <a:prstDash val="solid"/>
                              </a:ln>
                              <a:effectLst/>
                            </wps:spPr>
                            <wps:bodyPr/>
                          </wps:wsp>
                        </a:graphicData>
                      </a:graphic>
                    </wp:anchor>
                  </w:drawing>
                </mc:Choice>
                <mc:Fallback>
                  <w:pict>
                    <v:line id="_x0000_s1026" o:spid="_x0000_s1026" o:spt="20" style="position:absolute;left:0pt;flip:x y;margin-left:-4.35pt;margin-top:13.35pt;height:25.45pt;width:96.5pt;z-index:251662336;mso-width-relative:page;mso-height-relative:page;" filled="f" stroked="t" coordsize="21600,21600" o:gfxdata="UEsDBAoAAAAAAIdO4kAAAAAAAAAAAAAAAAAEAAAAZHJzL1BLAwQUAAAACACHTuJANI7dv9QAAAAI&#10;AQAADwAAAGRycy9kb3ducmV2LnhtbE2PwW7CMBBE75X6D9Yi9QZOaBVbaTYckPgAaIV6NLGJo9rr&#10;EBtC/77m1J5WqxnNvGk2d+/YzUxxCIRQrgpghrqgB+oRPj92SwksJkVauUAG4cdE2LTPT42qdZhp&#10;b26H1LMcQrFWCDalseY8dtZ4FVdhNJS1c5i8Svmdeq4nNedw7/i6KCru1UC5warRbK3pvg9Xj+Bk&#10;IS/HrZi/9jq37I7OkigRXxZl8Q4smXv6M8MDP6NDm5lO4Uo6MoewlCI7EdZVvg9dvr0COyEIUQFv&#10;G/5/QPsLUEsDBBQAAAAIAIdO4kDvwzTj7QEAAMMDAAAOAAAAZHJzL2Uyb0RvYy54bWytU82O0zAQ&#10;viPxDpbvNG1KEURN97DVwgFBJX7uU8dJLPlPHm/TvgQvgMQNThy579uwPAZjJ1TLctkDOVjz52/m&#10;+zxZXxyNZgcZUDlb88Vszpm0wjXKdjX/8P7qyXPOMIJtQDsra36SyC82jx+tB1/J0vVONzIwArFY&#10;Db7mfYy+KgoUvTSAM+elpWTrgoFIbuiKJsBA6EYX5Xz+rBhcaHxwQiJSdDsm+YQYHgLo2lYJuXXi&#10;2kgbR9QgNUSihL3yyDd52raVIr5tW5SR6ZoT05hPakL2Pp3FZg1VF8D3SkwjwENGuMfJgLLU9Ay1&#10;hQjsOqh/oIwSwaFr40w4U4xEsiLEYjG/p827HrzMXEhq9GfR8f/BijeHXWCqqfmSJLFg6MVvP//4&#10;+enrr5svdN5+/8YoQzINHiuqvrS7MHnodyFxPrbBsFYr/4r2iWfrY7JSjhiyY5b7dJZbHiMTFFyU&#10;5Wq1oraCcstyWS6epkbFiJhu+4DxpXSGJaPmWtkkB1RweI1xLP1TksLWXSmtKQ6Vtmyo+YtVuSJ4&#10;oDVtaT3INJ6oou04A93R/osYMiI6rZp0O13G0O0vdWAHSFuTv2mwv8pS6y1gP9bl1FSmbYKRef+m&#10;SZN8o2DJ2rvmlHUskkdvm2lPe5iW565P9t1/b/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I7d&#10;v9QAAAAIAQAADwAAAAAAAAABACAAAAAiAAAAZHJzL2Rvd25yZXYueG1sUEsBAhQAFAAAAAgAh07i&#10;QO/DNOPtAQAAwwMAAA4AAAAAAAAAAQAgAAAAIwEAAGRycy9lMm9Eb2MueG1sUEsFBgAAAAAGAAYA&#10;WQEAAIIFAAAAAA==&#10;">
                      <v:fill on="f" focussize="0,0"/>
                      <v:stroke color="#000000" joinstyle="round"/>
                      <v:imagedata o:title=""/>
                      <o:lock v:ext="edit" aspectratio="f"/>
                    </v:line>
                  </w:pict>
                </mc:Fallback>
              </mc:AlternateContent>
            </w:r>
            <w:r>
              <w:rPr>
                <w:rFonts w:hint="eastAsia"/>
                <w:b w:val="0"/>
                <w:color w:val="auto"/>
                <w:kern w:val="0"/>
                <w:szCs w:val="21"/>
                <w:highlight w:val="none"/>
              </w:rPr>
              <w:t>评价工作等级</w:t>
            </w:r>
          </w:p>
          <w:p w14:paraId="5766D271">
            <w:pPr>
              <w:pStyle w:val="199"/>
              <w:spacing w:before="120" w:line="240" w:lineRule="auto"/>
              <w:jc w:val="both"/>
              <w:rPr>
                <w:b w:val="0"/>
                <w:color w:val="auto"/>
                <w:kern w:val="0"/>
                <w:szCs w:val="21"/>
                <w:highlight w:val="none"/>
              </w:rPr>
            </w:pPr>
            <w:r>
              <w:rPr>
                <w:rFonts w:hint="eastAsia"/>
                <w:b w:val="0"/>
                <w:color w:val="auto"/>
                <w:kern w:val="0"/>
                <w:szCs w:val="21"/>
                <w:highlight w:val="none"/>
              </w:rPr>
              <w:t>敏感程度</w:t>
            </w:r>
          </w:p>
        </w:tc>
        <w:tc>
          <w:tcPr>
            <w:tcW w:w="1248" w:type="pct"/>
            <w:gridSpan w:val="3"/>
            <w:noWrap w:val="0"/>
            <w:vAlign w:val="center"/>
          </w:tcPr>
          <w:p w14:paraId="0CC88EAD">
            <w:pPr>
              <w:pStyle w:val="199"/>
              <w:spacing w:before="120" w:line="240" w:lineRule="auto"/>
              <w:rPr>
                <w:b w:val="0"/>
                <w:color w:val="auto"/>
                <w:kern w:val="0"/>
                <w:szCs w:val="21"/>
                <w:highlight w:val="none"/>
              </w:rPr>
            </w:pPr>
            <w:r>
              <w:rPr>
                <w:b w:val="0"/>
                <w:color w:val="auto"/>
                <w:kern w:val="0"/>
                <w:szCs w:val="21"/>
                <w:highlight w:val="none"/>
              </w:rPr>
              <w:t>I</w:t>
            </w:r>
            <w:r>
              <w:rPr>
                <w:rFonts w:hint="eastAsia"/>
                <w:b w:val="0"/>
                <w:color w:val="auto"/>
                <w:kern w:val="0"/>
                <w:szCs w:val="21"/>
                <w:highlight w:val="none"/>
              </w:rPr>
              <w:t>类</w:t>
            </w:r>
          </w:p>
        </w:tc>
        <w:tc>
          <w:tcPr>
            <w:tcW w:w="1251" w:type="pct"/>
            <w:gridSpan w:val="3"/>
            <w:noWrap w:val="0"/>
            <w:vAlign w:val="center"/>
          </w:tcPr>
          <w:p w14:paraId="3F63B3F1">
            <w:pPr>
              <w:pStyle w:val="199"/>
              <w:spacing w:before="120" w:line="240" w:lineRule="auto"/>
              <w:rPr>
                <w:b w:val="0"/>
                <w:color w:val="auto"/>
                <w:kern w:val="0"/>
                <w:szCs w:val="21"/>
                <w:highlight w:val="none"/>
              </w:rPr>
            </w:pPr>
            <w:r>
              <w:rPr>
                <w:b w:val="0"/>
                <w:color w:val="auto"/>
                <w:kern w:val="0"/>
                <w:szCs w:val="21"/>
                <w:highlight w:val="none"/>
              </w:rPr>
              <w:t>II</w:t>
            </w:r>
            <w:r>
              <w:rPr>
                <w:rFonts w:hint="eastAsia"/>
                <w:b w:val="0"/>
                <w:color w:val="auto"/>
                <w:kern w:val="0"/>
                <w:szCs w:val="21"/>
                <w:highlight w:val="none"/>
              </w:rPr>
              <w:t>类</w:t>
            </w:r>
          </w:p>
        </w:tc>
        <w:tc>
          <w:tcPr>
            <w:tcW w:w="1357" w:type="pct"/>
            <w:gridSpan w:val="3"/>
            <w:noWrap w:val="0"/>
            <w:vAlign w:val="center"/>
          </w:tcPr>
          <w:p w14:paraId="494D2EDA">
            <w:pPr>
              <w:pStyle w:val="199"/>
              <w:spacing w:before="120" w:line="240" w:lineRule="auto"/>
              <w:rPr>
                <w:b w:val="0"/>
                <w:color w:val="auto"/>
                <w:kern w:val="0"/>
                <w:szCs w:val="21"/>
                <w:highlight w:val="none"/>
              </w:rPr>
            </w:pPr>
            <w:r>
              <w:rPr>
                <w:b w:val="0"/>
                <w:bCs w:val="0"/>
                <w:color w:val="auto"/>
                <w:kern w:val="0"/>
                <w:szCs w:val="21"/>
                <w:highlight w:val="none"/>
              </w:rPr>
              <w:t>III</w:t>
            </w:r>
            <w:r>
              <w:rPr>
                <w:rFonts w:hint="eastAsia"/>
                <w:b w:val="0"/>
                <w:bCs w:val="0"/>
                <w:color w:val="auto"/>
                <w:kern w:val="0"/>
                <w:szCs w:val="21"/>
                <w:highlight w:val="none"/>
              </w:rPr>
              <w:t>类</w:t>
            </w:r>
          </w:p>
        </w:tc>
      </w:tr>
      <w:tr w14:paraId="4F7509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42" w:type="pct"/>
            <w:vMerge w:val="continue"/>
            <w:noWrap w:val="0"/>
            <w:vAlign w:val="top"/>
          </w:tcPr>
          <w:p w14:paraId="5D4243FF">
            <w:pPr>
              <w:pStyle w:val="199"/>
              <w:spacing w:before="120" w:line="240" w:lineRule="auto"/>
              <w:rPr>
                <w:b w:val="0"/>
                <w:color w:val="auto"/>
                <w:kern w:val="0"/>
                <w:szCs w:val="21"/>
                <w:highlight w:val="none"/>
              </w:rPr>
            </w:pPr>
          </w:p>
        </w:tc>
        <w:tc>
          <w:tcPr>
            <w:tcW w:w="415" w:type="pct"/>
            <w:noWrap w:val="0"/>
            <w:vAlign w:val="center"/>
          </w:tcPr>
          <w:p w14:paraId="26509D61">
            <w:pPr>
              <w:pStyle w:val="199"/>
              <w:spacing w:before="120" w:line="240" w:lineRule="auto"/>
              <w:rPr>
                <w:b w:val="0"/>
                <w:color w:val="auto"/>
                <w:kern w:val="0"/>
                <w:szCs w:val="21"/>
                <w:highlight w:val="none"/>
              </w:rPr>
            </w:pPr>
            <w:r>
              <w:rPr>
                <w:rFonts w:hint="eastAsia"/>
                <w:b w:val="0"/>
                <w:color w:val="auto"/>
                <w:kern w:val="0"/>
                <w:szCs w:val="21"/>
                <w:highlight w:val="none"/>
              </w:rPr>
              <w:t>大</w:t>
            </w:r>
          </w:p>
        </w:tc>
        <w:tc>
          <w:tcPr>
            <w:tcW w:w="416" w:type="pct"/>
            <w:noWrap w:val="0"/>
            <w:vAlign w:val="center"/>
          </w:tcPr>
          <w:p w14:paraId="32356E4B">
            <w:pPr>
              <w:pStyle w:val="199"/>
              <w:spacing w:before="120" w:line="240" w:lineRule="auto"/>
              <w:rPr>
                <w:b w:val="0"/>
                <w:color w:val="auto"/>
                <w:kern w:val="0"/>
                <w:szCs w:val="21"/>
                <w:highlight w:val="none"/>
              </w:rPr>
            </w:pPr>
            <w:r>
              <w:rPr>
                <w:rFonts w:hint="eastAsia"/>
                <w:b w:val="0"/>
                <w:color w:val="auto"/>
                <w:kern w:val="0"/>
                <w:szCs w:val="21"/>
                <w:highlight w:val="none"/>
              </w:rPr>
              <w:t>中</w:t>
            </w:r>
          </w:p>
        </w:tc>
        <w:tc>
          <w:tcPr>
            <w:tcW w:w="416" w:type="pct"/>
            <w:noWrap w:val="0"/>
            <w:vAlign w:val="center"/>
          </w:tcPr>
          <w:p w14:paraId="7E6B0EFA">
            <w:pPr>
              <w:pStyle w:val="199"/>
              <w:spacing w:before="120" w:line="240" w:lineRule="auto"/>
              <w:rPr>
                <w:b w:val="0"/>
                <w:color w:val="auto"/>
                <w:kern w:val="0"/>
                <w:szCs w:val="21"/>
                <w:highlight w:val="none"/>
              </w:rPr>
            </w:pPr>
            <w:r>
              <w:rPr>
                <w:rFonts w:hint="eastAsia"/>
                <w:b w:val="0"/>
                <w:color w:val="auto"/>
                <w:kern w:val="0"/>
                <w:szCs w:val="21"/>
                <w:highlight w:val="none"/>
              </w:rPr>
              <w:t>小</w:t>
            </w:r>
          </w:p>
        </w:tc>
        <w:tc>
          <w:tcPr>
            <w:tcW w:w="418" w:type="pct"/>
            <w:noWrap w:val="0"/>
            <w:vAlign w:val="center"/>
          </w:tcPr>
          <w:p w14:paraId="00D9DD49">
            <w:pPr>
              <w:pStyle w:val="199"/>
              <w:spacing w:before="120" w:line="240" w:lineRule="auto"/>
              <w:rPr>
                <w:b w:val="0"/>
                <w:color w:val="auto"/>
                <w:kern w:val="0"/>
                <w:szCs w:val="21"/>
                <w:highlight w:val="none"/>
              </w:rPr>
            </w:pPr>
            <w:r>
              <w:rPr>
                <w:rFonts w:hint="eastAsia"/>
                <w:b w:val="0"/>
                <w:color w:val="auto"/>
                <w:kern w:val="0"/>
                <w:szCs w:val="21"/>
                <w:highlight w:val="none"/>
              </w:rPr>
              <w:t>大</w:t>
            </w:r>
          </w:p>
        </w:tc>
        <w:tc>
          <w:tcPr>
            <w:tcW w:w="416" w:type="pct"/>
            <w:noWrap w:val="0"/>
            <w:vAlign w:val="center"/>
          </w:tcPr>
          <w:p w14:paraId="456E92DA">
            <w:pPr>
              <w:pStyle w:val="199"/>
              <w:spacing w:before="120" w:line="240" w:lineRule="auto"/>
              <w:rPr>
                <w:b w:val="0"/>
                <w:color w:val="auto"/>
                <w:kern w:val="0"/>
                <w:szCs w:val="21"/>
                <w:highlight w:val="none"/>
              </w:rPr>
            </w:pPr>
            <w:r>
              <w:rPr>
                <w:rFonts w:hint="eastAsia"/>
                <w:b w:val="0"/>
                <w:color w:val="auto"/>
                <w:kern w:val="0"/>
                <w:szCs w:val="21"/>
                <w:highlight w:val="none"/>
              </w:rPr>
              <w:t>中</w:t>
            </w:r>
          </w:p>
        </w:tc>
        <w:tc>
          <w:tcPr>
            <w:tcW w:w="416" w:type="pct"/>
            <w:noWrap w:val="0"/>
            <w:vAlign w:val="center"/>
          </w:tcPr>
          <w:p w14:paraId="6E0A73BC">
            <w:pPr>
              <w:pStyle w:val="199"/>
              <w:spacing w:before="120" w:line="240" w:lineRule="auto"/>
              <w:rPr>
                <w:b w:val="0"/>
                <w:color w:val="auto"/>
                <w:kern w:val="0"/>
                <w:szCs w:val="21"/>
                <w:highlight w:val="none"/>
              </w:rPr>
            </w:pPr>
            <w:r>
              <w:rPr>
                <w:rFonts w:hint="eastAsia"/>
                <w:b w:val="0"/>
                <w:color w:val="auto"/>
                <w:kern w:val="0"/>
                <w:szCs w:val="21"/>
                <w:highlight w:val="none"/>
              </w:rPr>
              <w:t>小</w:t>
            </w:r>
          </w:p>
        </w:tc>
        <w:tc>
          <w:tcPr>
            <w:tcW w:w="497" w:type="pct"/>
            <w:noWrap w:val="0"/>
            <w:vAlign w:val="center"/>
          </w:tcPr>
          <w:p w14:paraId="43CBDE7F">
            <w:pPr>
              <w:pStyle w:val="199"/>
              <w:spacing w:before="120" w:line="240" w:lineRule="auto"/>
              <w:rPr>
                <w:b w:val="0"/>
                <w:color w:val="auto"/>
                <w:kern w:val="0"/>
                <w:szCs w:val="21"/>
                <w:highlight w:val="none"/>
              </w:rPr>
            </w:pPr>
            <w:r>
              <w:rPr>
                <w:rFonts w:hint="eastAsia"/>
                <w:b w:val="0"/>
                <w:color w:val="auto"/>
                <w:kern w:val="0"/>
                <w:szCs w:val="21"/>
                <w:highlight w:val="none"/>
              </w:rPr>
              <w:t>大</w:t>
            </w:r>
          </w:p>
        </w:tc>
        <w:tc>
          <w:tcPr>
            <w:tcW w:w="416" w:type="pct"/>
            <w:noWrap w:val="0"/>
            <w:vAlign w:val="center"/>
          </w:tcPr>
          <w:p w14:paraId="37893A0B">
            <w:pPr>
              <w:pStyle w:val="199"/>
              <w:spacing w:before="120" w:line="240" w:lineRule="auto"/>
              <w:rPr>
                <w:b w:val="0"/>
                <w:color w:val="auto"/>
                <w:kern w:val="0"/>
                <w:szCs w:val="21"/>
                <w:highlight w:val="none"/>
              </w:rPr>
            </w:pPr>
            <w:r>
              <w:rPr>
                <w:rFonts w:hint="eastAsia"/>
                <w:b w:val="0"/>
                <w:color w:val="auto"/>
                <w:kern w:val="0"/>
                <w:szCs w:val="21"/>
                <w:highlight w:val="none"/>
              </w:rPr>
              <w:t>中</w:t>
            </w:r>
          </w:p>
        </w:tc>
        <w:tc>
          <w:tcPr>
            <w:tcW w:w="443" w:type="pct"/>
            <w:noWrap w:val="0"/>
            <w:vAlign w:val="center"/>
          </w:tcPr>
          <w:p w14:paraId="25361189">
            <w:pPr>
              <w:pStyle w:val="199"/>
              <w:spacing w:before="120" w:line="240" w:lineRule="auto"/>
              <w:rPr>
                <w:b w:val="0"/>
                <w:color w:val="auto"/>
                <w:kern w:val="0"/>
                <w:szCs w:val="21"/>
                <w:highlight w:val="none"/>
              </w:rPr>
            </w:pPr>
            <w:r>
              <w:rPr>
                <w:rFonts w:hint="eastAsia"/>
                <w:b w:val="0"/>
                <w:bCs w:val="0"/>
                <w:color w:val="auto"/>
                <w:kern w:val="0"/>
                <w:szCs w:val="21"/>
                <w:highlight w:val="none"/>
              </w:rPr>
              <w:t>小</w:t>
            </w:r>
          </w:p>
        </w:tc>
      </w:tr>
      <w:tr w14:paraId="06285F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42" w:type="pct"/>
            <w:noWrap w:val="0"/>
            <w:vAlign w:val="top"/>
          </w:tcPr>
          <w:p w14:paraId="149CFC77">
            <w:pPr>
              <w:pStyle w:val="199"/>
              <w:spacing w:before="120" w:line="240" w:lineRule="auto"/>
              <w:rPr>
                <w:b w:val="0"/>
                <w:color w:val="auto"/>
                <w:kern w:val="0"/>
                <w:szCs w:val="21"/>
                <w:highlight w:val="none"/>
              </w:rPr>
            </w:pPr>
            <w:r>
              <w:rPr>
                <w:rFonts w:hint="eastAsia"/>
                <w:b w:val="0"/>
                <w:bCs w:val="0"/>
                <w:color w:val="auto"/>
                <w:kern w:val="0"/>
                <w:szCs w:val="21"/>
                <w:highlight w:val="none"/>
              </w:rPr>
              <w:t>敏感</w:t>
            </w:r>
          </w:p>
        </w:tc>
        <w:tc>
          <w:tcPr>
            <w:tcW w:w="415" w:type="pct"/>
            <w:noWrap w:val="0"/>
            <w:vAlign w:val="top"/>
          </w:tcPr>
          <w:p w14:paraId="5B7DDCDB">
            <w:pPr>
              <w:pStyle w:val="199"/>
              <w:spacing w:before="120" w:line="240" w:lineRule="auto"/>
              <w:rPr>
                <w:b w:val="0"/>
                <w:color w:val="auto"/>
                <w:kern w:val="0"/>
                <w:szCs w:val="21"/>
                <w:highlight w:val="none"/>
              </w:rPr>
            </w:pPr>
            <w:r>
              <w:rPr>
                <w:rFonts w:hint="eastAsia"/>
                <w:b w:val="0"/>
                <w:color w:val="auto"/>
                <w:kern w:val="0"/>
                <w:szCs w:val="21"/>
                <w:highlight w:val="none"/>
              </w:rPr>
              <w:t>一级</w:t>
            </w:r>
          </w:p>
        </w:tc>
        <w:tc>
          <w:tcPr>
            <w:tcW w:w="416" w:type="pct"/>
            <w:noWrap w:val="0"/>
            <w:vAlign w:val="center"/>
          </w:tcPr>
          <w:p w14:paraId="55F948A9">
            <w:pPr>
              <w:pStyle w:val="199"/>
              <w:spacing w:before="120" w:line="240" w:lineRule="auto"/>
              <w:rPr>
                <w:b w:val="0"/>
                <w:color w:val="auto"/>
                <w:kern w:val="0"/>
                <w:szCs w:val="21"/>
                <w:highlight w:val="none"/>
              </w:rPr>
            </w:pPr>
            <w:r>
              <w:rPr>
                <w:rFonts w:hint="eastAsia"/>
                <w:b w:val="0"/>
                <w:color w:val="auto"/>
                <w:kern w:val="0"/>
                <w:szCs w:val="21"/>
                <w:highlight w:val="none"/>
              </w:rPr>
              <w:t>一级</w:t>
            </w:r>
          </w:p>
        </w:tc>
        <w:tc>
          <w:tcPr>
            <w:tcW w:w="416" w:type="pct"/>
            <w:noWrap w:val="0"/>
            <w:vAlign w:val="center"/>
          </w:tcPr>
          <w:p w14:paraId="3B4F134C">
            <w:pPr>
              <w:pStyle w:val="199"/>
              <w:spacing w:before="120" w:line="240" w:lineRule="auto"/>
              <w:rPr>
                <w:b w:val="0"/>
                <w:color w:val="auto"/>
                <w:kern w:val="0"/>
                <w:szCs w:val="21"/>
                <w:highlight w:val="none"/>
              </w:rPr>
            </w:pPr>
            <w:r>
              <w:rPr>
                <w:rFonts w:hint="eastAsia"/>
                <w:b w:val="0"/>
                <w:color w:val="auto"/>
                <w:kern w:val="0"/>
                <w:szCs w:val="21"/>
                <w:highlight w:val="none"/>
              </w:rPr>
              <w:t>一级</w:t>
            </w:r>
          </w:p>
        </w:tc>
        <w:tc>
          <w:tcPr>
            <w:tcW w:w="418" w:type="pct"/>
            <w:noWrap w:val="0"/>
            <w:vAlign w:val="center"/>
          </w:tcPr>
          <w:p w14:paraId="0422836B">
            <w:pPr>
              <w:pStyle w:val="199"/>
              <w:spacing w:before="120" w:line="240" w:lineRule="auto"/>
              <w:rPr>
                <w:b w:val="0"/>
                <w:color w:val="auto"/>
                <w:kern w:val="0"/>
                <w:szCs w:val="21"/>
                <w:highlight w:val="none"/>
              </w:rPr>
            </w:pPr>
            <w:r>
              <w:rPr>
                <w:rFonts w:hint="eastAsia"/>
                <w:b w:val="0"/>
                <w:color w:val="auto"/>
                <w:kern w:val="0"/>
                <w:szCs w:val="21"/>
                <w:highlight w:val="none"/>
              </w:rPr>
              <w:t>二级</w:t>
            </w:r>
          </w:p>
        </w:tc>
        <w:tc>
          <w:tcPr>
            <w:tcW w:w="416" w:type="pct"/>
            <w:noWrap w:val="0"/>
            <w:vAlign w:val="center"/>
          </w:tcPr>
          <w:p w14:paraId="11416CA7">
            <w:pPr>
              <w:pStyle w:val="199"/>
              <w:spacing w:before="120" w:line="240" w:lineRule="auto"/>
              <w:rPr>
                <w:b w:val="0"/>
                <w:color w:val="auto"/>
                <w:kern w:val="0"/>
                <w:szCs w:val="21"/>
                <w:highlight w:val="none"/>
              </w:rPr>
            </w:pPr>
            <w:r>
              <w:rPr>
                <w:rFonts w:hint="eastAsia"/>
                <w:b w:val="0"/>
                <w:color w:val="auto"/>
                <w:kern w:val="0"/>
                <w:szCs w:val="21"/>
                <w:highlight w:val="none"/>
              </w:rPr>
              <w:t>二级</w:t>
            </w:r>
          </w:p>
        </w:tc>
        <w:tc>
          <w:tcPr>
            <w:tcW w:w="416" w:type="pct"/>
            <w:noWrap w:val="0"/>
            <w:vAlign w:val="center"/>
          </w:tcPr>
          <w:p w14:paraId="3F2D94BD">
            <w:pPr>
              <w:pStyle w:val="199"/>
              <w:spacing w:before="120" w:line="240" w:lineRule="auto"/>
              <w:rPr>
                <w:b w:val="0"/>
                <w:color w:val="auto"/>
                <w:kern w:val="0"/>
                <w:szCs w:val="21"/>
                <w:highlight w:val="none"/>
              </w:rPr>
            </w:pPr>
            <w:r>
              <w:rPr>
                <w:rFonts w:hint="eastAsia"/>
                <w:b w:val="0"/>
                <w:color w:val="auto"/>
                <w:kern w:val="0"/>
                <w:szCs w:val="21"/>
                <w:highlight w:val="none"/>
              </w:rPr>
              <w:t>二级</w:t>
            </w:r>
          </w:p>
        </w:tc>
        <w:tc>
          <w:tcPr>
            <w:tcW w:w="497" w:type="pct"/>
            <w:noWrap w:val="0"/>
            <w:vAlign w:val="center"/>
          </w:tcPr>
          <w:p w14:paraId="65BFE389">
            <w:pPr>
              <w:pStyle w:val="199"/>
              <w:spacing w:before="120" w:line="240" w:lineRule="auto"/>
              <w:rPr>
                <w:b w:val="0"/>
                <w:color w:val="auto"/>
                <w:kern w:val="0"/>
                <w:szCs w:val="21"/>
                <w:highlight w:val="none"/>
              </w:rPr>
            </w:pPr>
            <w:r>
              <w:rPr>
                <w:rFonts w:hint="eastAsia"/>
                <w:b w:val="0"/>
                <w:color w:val="auto"/>
                <w:kern w:val="0"/>
                <w:szCs w:val="21"/>
                <w:highlight w:val="none"/>
              </w:rPr>
              <w:t>三级</w:t>
            </w:r>
          </w:p>
        </w:tc>
        <w:tc>
          <w:tcPr>
            <w:tcW w:w="416" w:type="pct"/>
            <w:noWrap w:val="0"/>
            <w:vAlign w:val="center"/>
          </w:tcPr>
          <w:p w14:paraId="1CBD64CC">
            <w:pPr>
              <w:pStyle w:val="199"/>
              <w:spacing w:before="120" w:line="240" w:lineRule="auto"/>
              <w:rPr>
                <w:b w:val="0"/>
                <w:color w:val="auto"/>
                <w:kern w:val="0"/>
                <w:szCs w:val="21"/>
                <w:highlight w:val="none"/>
              </w:rPr>
            </w:pPr>
            <w:r>
              <w:rPr>
                <w:rFonts w:hint="eastAsia"/>
                <w:b w:val="0"/>
                <w:color w:val="auto"/>
                <w:kern w:val="0"/>
                <w:szCs w:val="21"/>
                <w:highlight w:val="none"/>
              </w:rPr>
              <w:t>三级</w:t>
            </w:r>
          </w:p>
        </w:tc>
        <w:tc>
          <w:tcPr>
            <w:tcW w:w="443" w:type="pct"/>
            <w:noWrap w:val="0"/>
            <w:vAlign w:val="center"/>
          </w:tcPr>
          <w:p w14:paraId="4E5E6189">
            <w:pPr>
              <w:pStyle w:val="199"/>
              <w:spacing w:before="120" w:line="240" w:lineRule="auto"/>
              <w:rPr>
                <w:b w:val="0"/>
                <w:color w:val="auto"/>
                <w:kern w:val="0"/>
                <w:szCs w:val="21"/>
                <w:highlight w:val="none"/>
              </w:rPr>
            </w:pPr>
            <w:r>
              <w:rPr>
                <w:rFonts w:hint="eastAsia"/>
                <w:b w:val="0"/>
                <w:bCs w:val="0"/>
                <w:color w:val="auto"/>
                <w:kern w:val="0"/>
                <w:szCs w:val="21"/>
                <w:highlight w:val="none"/>
              </w:rPr>
              <w:t>三级</w:t>
            </w:r>
          </w:p>
        </w:tc>
      </w:tr>
      <w:tr w14:paraId="40A20A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42" w:type="pct"/>
            <w:noWrap w:val="0"/>
            <w:vAlign w:val="top"/>
          </w:tcPr>
          <w:p w14:paraId="04D5A43A">
            <w:pPr>
              <w:pStyle w:val="199"/>
              <w:spacing w:before="120" w:line="240" w:lineRule="auto"/>
              <w:rPr>
                <w:b w:val="0"/>
                <w:color w:val="auto"/>
                <w:kern w:val="0"/>
                <w:szCs w:val="21"/>
                <w:highlight w:val="none"/>
              </w:rPr>
            </w:pPr>
            <w:r>
              <w:rPr>
                <w:rFonts w:hint="eastAsia"/>
                <w:b w:val="0"/>
                <w:color w:val="auto"/>
                <w:kern w:val="0"/>
                <w:szCs w:val="21"/>
                <w:highlight w:val="none"/>
              </w:rPr>
              <w:t>较敏感</w:t>
            </w:r>
          </w:p>
        </w:tc>
        <w:tc>
          <w:tcPr>
            <w:tcW w:w="415" w:type="pct"/>
            <w:noWrap w:val="0"/>
            <w:vAlign w:val="top"/>
          </w:tcPr>
          <w:p w14:paraId="75D11F4A">
            <w:pPr>
              <w:pStyle w:val="199"/>
              <w:spacing w:before="120" w:line="240" w:lineRule="auto"/>
              <w:rPr>
                <w:b w:val="0"/>
                <w:color w:val="auto"/>
                <w:kern w:val="0"/>
                <w:szCs w:val="21"/>
                <w:highlight w:val="none"/>
              </w:rPr>
            </w:pPr>
            <w:r>
              <w:rPr>
                <w:rFonts w:hint="eastAsia"/>
                <w:b w:val="0"/>
                <w:color w:val="auto"/>
                <w:kern w:val="0"/>
                <w:szCs w:val="21"/>
                <w:highlight w:val="none"/>
              </w:rPr>
              <w:t>一级</w:t>
            </w:r>
          </w:p>
        </w:tc>
        <w:tc>
          <w:tcPr>
            <w:tcW w:w="416" w:type="pct"/>
            <w:noWrap w:val="0"/>
            <w:vAlign w:val="center"/>
          </w:tcPr>
          <w:p w14:paraId="2BE9722F">
            <w:pPr>
              <w:pStyle w:val="199"/>
              <w:spacing w:before="120" w:line="240" w:lineRule="auto"/>
              <w:rPr>
                <w:b w:val="0"/>
                <w:color w:val="auto"/>
                <w:kern w:val="0"/>
                <w:szCs w:val="21"/>
                <w:highlight w:val="none"/>
              </w:rPr>
            </w:pPr>
            <w:r>
              <w:rPr>
                <w:rFonts w:hint="eastAsia"/>
                <w:b w:val="0"/>
                <w:color w:val="auto"/>
                <w:kern w:val="0"/>
                <w:szCs w:val="21"/>
                <w:highlight w:val="none"/>
              </w:rPr>
              <w:t>一级</w:t>
            </w:r>
          </w:p>
        </w:tc>
        <w:tc>
          <w:tcPr>
            <w:tcW w:w="416" w:type="pct"/>
            <w:noWrap w:val="0"/>
            <w:vAlign w:val="center"/>
          </w:tcPr>
          <w:p w14:paraId="31A24306">
            <w:pPr>
              <w:pStyle w:val="199"/>
              <w:spacing w:before="120" w:line="240" w:lineRule="auto"/>
              <w:rPr>
                <w:b w:val="0"/>
                <w:color w:val="auto"/>
                <w:kern w:val="0"/>
                <w:szCs w:val="21"/>
                <w:highlight w:val="none"/>
              </w:rPr>
            </w:pPr>
            <w:r>
              <w:rPr>
                <w:rFonts w:hint="eastAsia"/>
                <w:b w:val="0"/>
                <w:color w:val="auto"/>
                <w:kern w:val="0"/>
                <w:szCs w:val="21"/>
                <w:highlight w:val="none"/>
              </w:rPr>
              <w:t>二级</w:t>
            </w:r>
          </w:p>
        </w:tc>
        <w:tc>
          <w:tcPr>
            <w:tcW w:w="418" w:type="pct"/>
            <w:noWrap w:val="0"/>
            <w:vAlign w:val="center"/>
          </w:tcPr>
          <w:p w14:paraId="05B42FA1">
            <w:pPr>
              <w:pStyle w:val="199"/>
              <w:spacing w:before="120" w:line="240" w:lineRule="auto"/>
              <w:rPr>
                <w:b w:val="0"/>
                <w:color w:val="auto"/>
                <w:kern w:val="0"/>
                <w:szCs w:val="21"/>
                <w:highlight w:val="none"/>
              </w:rPr>
            </w:pPr>
            <w:r>
              <w:rPr>
                <w:rFonts w:hint="eastAsia"/>
                <w:b w:val="0"/>
                <w:color w:val="auto"/>
                <w:kern w:val="0"/>
                <w:szCs w:val="21"/>
                <w:highlight w:val="none"/>
              </w:rPr>
              <w:t>二级</w:t>
            </w:r>
          </w:p>
        </w:tc>
        <w:tc>
          <w:tcPr>
            <w:tcW w:w="416" w:type="pct"/>
            <w:noWrap w:val="0"/>
            <w:vAlign w:val="center"/>
          </w:tcPr>
          <w:p w14:paraId="4522CC39">
            <w:pPr>
              <w:pStyle w:val="199"/>
              <w:spacing w:before="120" w:line="240" w:lineRule="auto"/>
              <w:rPr>
                <w:b w:val="0"/>
                <w:color w:val="auto"/>
                <w:kern w:val="0"/>
                <w:szCs w:val="21"/>
                <w:highlight w:val="none"/>
              </w:rPr>
            </w:pPr>
            <w:r>
              <w:rPr>
                <w:rFonts w:hint="eastAsia"/>
                <w:b w:val="0"/>
                <w:color w:val="auto"/>
                <w:kern w:val="0"/>
                <w:szCs w:val="21"/>
                <w:highlight w:val="none"/>
              </w:rPr>
              <w:t>二级</w:t>
            </w:r>
          </w:p>
        </w:tc>
        <w:tc>
          <w:tcPr>
            <w:tcW w:w="416" w:type="pct"/>
            <w:noWrap w:val="0"/>
            <w:vAlign w:val="center"/>
          </w:tcPr>
          <w:p w14:paraId="183DF9C7">
            <w:pPr>
              <w:pStyle w:val="199"/>
              <w:spacing w:before="120" w:line="240" w:lineRule="auto"/>
              <w:rPr>
                <w:b w:val="0"/>
                <w:color w:val="auto"/>
                <w:kern w:val="0"/>
                <w:szCs w:val="21"/>
                <w:highlight w:val="none"/>
              </w:rPr>
            </w:pPr>
            <w:r>
              <w:rPr>
                <w:rFonts w:hint="eastAsia"/>
                <w:b w:val="0"/>
                <w:color w:val="auto"/>
                <w:kern w:val="0"/>
                <w:szCs w:val="21"/>
                <w:highlight w:val="none"/>
              </w:rPr>
              <w:t>三级</w:t>
            </w:r>
          </w:p>
        </w:tc>
        <w:tc>
          <w:tcPr>
            <w:tcW w:w="497" w:type="pct"/>
            <w:noWrap w:val="0"/>
            <w:vAlign w:val="center"/>
          </w:tcPr>
          <w:p w14:paraId="245448AC">
            <w:pPr>
              <w:pStyle w:val="199"/>
              <w:spacing w:before="120" w:line="240" w:lineRule="auto"/>
              <w:rPr>
                <w:b w:val="0"/>
                <w:color w:val="auto"/>
                <w:kern w:val="0"/>
                <w:szCs w:val="21"/>
                <w:highlight w:val="none"/>
              </w:rPr>
            </w:pPr>
            <w:r>
              <w:rPr>
                <w:rFonts w:hint="eastAsia"/>
                <w:b w:val="0"/>
                <w:color w:val="auto"/>
                <w:kern w:val="0"/>
                <w:szCs w:val="21"/>
                <w:highlight w:val="none"/>
              </w:rPr>
              <w:t>三级</w:t>
            </w:r>
          </w:p>
        </w:tc>
        <w:tc>
          <w:tcPr>
            <w:tcW w:w="416" w:type="pct"/>
            <w:noWrap w:val="0"/>
            <w:vAlign w:val="center"/>
          </w:tcPr>
          <w:p w14:paraId="62C54D34">
            <w:pPr>
              <w:pStyle w:val="199"/>
              <w:spacing w:before="120" w:line="240" w:lineRule="auto"/>
              <w:rPr>
                <w:b w:val="0"/>
                <w:color w:val="auto"/>
                <w:kern w:val="0"/>
                <w:szCs w:val="21"/>
                <w:highlight w:val="none"/>
              </w:rPr>
            </w:pPr>
            <w:r>
              <w:rPr>
                <w:rFonts w:hint="eastAsia"/>
                <w:b w:val="0"/>
                <w:color w:val="auto"/>
                <w:kern w:val="0"/>
                <w:szCs w:val="21"/>
                <w:highlight w:val="none"/>
              </w:rPr>
              <w:t>三级</w:t>
            </w:r>
          </w:p>
        </w:tc>
        <w:tc>
          <w:tcPr>
            <w:tcW w:w="443" w:type="pct"/>
            <w:noWrap w:val="0"/>
            <w:vAlign w:val="center"/>
          </w:tcPr>
          <w:p w14:paraId="7FD171A8">
            <w:pPr>
              <w:pStyle w:val="199"/>
              <w:spacing w:before="120" w:line="240" w:lineRule="auto"/>
              <w:rPr>
                <w:b w:val="0"/>
                <w:color w:val="auto"/>
                <w:kern w:val="0"/>
                <w:szCs w:val="21"/>
                <w:highlight w:val="none"/>
              </w:rPr>
            </w:pPr>
            <w:r>
              <w:rPr>
                <w:rFonts w:hint="eastAsia"/>
                <w:b w:val="0"/>
                <w:color w:val="auto"/>
                <w:kern w:val="0"/>
                <w:szCs w:val="21"/>
                <w:highlight w:val="none"/>
              </w:rPr>
              <w:t>—</w:t>
            </w:r>
          </w:p>
        </w:tc>
      </w:tr>
      <w:tr w14:paraId="799366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42" w:type="pct"/>
            <w:noWrap w:val="0"/>
            <w:vAlign w:val="top"/>
          </w:tcPr>
          <w:p w14:paraId="01C38627">
            <w:pPr>
              <w:pStyle w:val="199"/>
              <w:spacing w:before="120" w:line="240" w:lineRule="auto"/>
              <w:rPr>
                <w:b w:val="0"/>
                <w:color w:val="auto"/>
                <w:kern w:val="0"/>
                <w:szCs w:val="21"/>
                <w:highlight w:val="none"/>
              </w:rPr>
            </w:pPr>
            <w:r>
              <w:rPr>
                <w:rFonts w:hint="eastAsia"/>
                <w:b w:val="0"/>
                <w:color w:val="auto"/>
                <w:kern w:val="0"/>
                <w:szCs w:val="21"/>
                <w:highlight w:val="none"/>
              </w:rPr>
              <w:t>不敏感</w:t>
            </w:r>
          </w:p>
        </w:tc>
        <w:tc>
          <w:tcPr>
            <w:tcW w:w="415" w:type="pct"/>
            <w:noWrap w:val="0"/>
            <w:vAlign w:val="top"/>
          </w:tcPr>
          <w:p w14:paraId="65E44E79">
            <w:pPr>
              <w:pStyle w:val="199"/>
              <w:spacing w:before="120" w:line="240" w:lineRule="auto"/>
              <w:rPr>
                <w:b w:val="0"/>
                <w:color w:val="auto"/>
                <w:kern w:val="0"/>
                <w:szCs w:val="21"/>
                <w:highlight w:val="none"/>
              </w:rPr>
            </w:pPr>
            <w:r>
              <w:rPr>
                <w:rFonts w:hint="eastAsia"/>
                <w:b w:val="0"/>
                <w:color w:val="auto"/>
                <w:kern w:val="0"/>
                <w:szCs w:val="21"/>
                <w:highlight w:val="none"/>
              </w:rPr>
              <w:t>一级</w:t>
            </w:r>
          </w:p>
        </w:tc>
        <w:tc>
          <w:tcPr>
            <w:tcW w:w="416" w:type="pct"/>
            <w:noWrap w:val="0"/>
            <w:vAlign w:val="center"/>
          </w:tcPr>
          <w:p w14:paraId="7BFBC397">
            <w:pPr>
              <w:pStyle w:val="199"/>
              <w:spacing w:before="120" w:line="240" w:lineRule="auto"/>
              <w:rPr>
                <w:b w:val="0"/>
                <w:bCs/>
                <w:color w:val="auto"/>
                <w:kern w:val="0"/>
                <w:szCs w:val="21"/>
                <w:highlight w:val="none"/>
              </w:rPr>
            </w:pPr>
            <w:r>
              <w:rPr>
                <w:rFonts w:hint="eastAsia"/>
                <w:b w:val="0"/>
                <w:bCs/>
                <w:color w:val="auto"/>
                <w:kern w:val="0"/>
                <w:szCs w:val="21"/>
                <w:highlight w:val="none"/>
              </w:rPr>
              <w:t>二级</w:t>
            </w:r>
          </w:p>
        </w:tc>
        <w:tc>
          <w:tcPr>
            <w:tcW w:w="416" w:type="pct"/>
            <w:noWrap w:val="0"/>
            <w:vAlign w:val="center"/>
          </w:tcPr>
          <w:p w14:paraId="24AE71AC">
            <w:pPr>
              <w:pStyle w:val="199"/>
              <w:spacing w:before="120" w:line="240" w:lineRule="auto"/>
              <w:rPr>
                <w:color w:val="auto"/>
                <w:kern w:val="0"/>
                <w:szCs w:val="21"/>
                <w:highlight w:val="none"/>
              </w:rPr>
            </w:pPr>
            <w:r>
              <w:rPr>
                <w:rFonts w:hint="eastAsia"/>
                <w:b w:val="0"/>
                <w:bCs/>
                <w:color w:val="auto"/>
                <w:kern w:val="0"/>
                <w:szCs w:val="21"/>
                <w:highlight w:val="none"/>
              </w:rPr>
              <w:t>二级</w:t>
            </w:r>
          </w:p>
        </w:tc>
        <w:tc>
          <w:tcPr>
            <w:tcW w:w="418" w:type="pct"/>
            <w:noWrap w:val="0"/>
            <w:vAlign w:val="center"/>
          </w:tcPr>
          <w:p w14:paraId="17393BB3">
            <w:pPr>
              <w:pStyle w:val="199"/>
              <w:spacing w:before="120" w:line="240" w:lineRule="auto"/>
              <w:rPr>
                <w:b w:val="0"/>
                <w:color w:val="auto"/>
                <w:kern w:val="0"/>
                <w:szCs w:val="21"/>
                <w:highlight w:val="none"/>
              </w:rPr>
            </w:pPr>
            <w:r>
              <w:rPr>
                <w:rFonts w:hint="eastAsia"/>
                <w:b w:val="0"/>
                <w:color w:val="auto"/>
                <w:kern w:val="0"/>
                <w:szCs w:val="21"/>
                <w:highlight w:val="none"/>
              </w:rPr>
              <w:t>二级</w:t>
            </w:r>
          </w:p>
        </w:tc>
        <w:tc>
          <w:tcPr>
            <w:tcW w:w="416" w:type="pct"/>
            <w:noWrap w:val="0"/>
            <w:vAlign w:val="center"/>
          </w:tcPr>
          <w:p w14:paraId="559A1B52">
            <w:pPr>
              <w:pStyle w:val="199"/>
              <w:spacing w:before="120" w:line="240" w:lineRule="auto"/>
              <w:rPr>
                <w:b w:val="0"/>
                <w:color w:val="auto"/>
                <w:kern w:val="0"/>
                <w:szCs w:val="21"/>
                <w:highlight w:val="none"/>
              </w:rPr>
            </w:pPr>
            <w:r>
              <w:rPr>
                <w:rFonts w:hint="eastAsia"/>
                <w:b w:val="0"/>
                <w:color w:val="auto"/>
                <w:kern w:val="0"/>
                <w:szCs w:val="21"/>
                <w:highlight w:val="none"/>
              </w:rPr>
              <w:t>三级</w:t>
            </w:r>
          </w:p>
        </w:tc>
        <w:tc>
          <w:tcPr>
            <w:tcW w:w="416" w:type="pct"/>
            <w:noWrap w:val="0"/>
            <w:vAlign w:val="center"/>
          </w:tcPr>
          <w:p w14:paraId="4FE81539">
            <w:pPr>
              <w:pStyle w:val="199"/>
              <w:spacing w:before="120" w:line="240" w:lineRule="auto"/>
              <w:rPr>
                <w:b w:val="0"/>
                <w:color w:val="auto"/>
                <w:kern w:val="0"/>
                <w:szCs w:val="21"/>
                <w:highlight w:val="none"/>
              </w:rPr>
            </w:pPr>
            <w:r>
              <w:rPr>
                <w:rFonts w:hint="eastAsia"/>
                <w:b w:val="0"/>
                <w:color w:val="auto"/>
                <w:kern w:val="0"/>
                <w:szCs w:val="21"/>
                <w:highlight w:val="none"/>
              </w:rPr>
              <w:t>三级</w:t>
            </w:r>
          </w:p>
        </w:tc>
        <w:tc>
          <w:tcPr>
            <w:tcW w:w="497" w:type="pct"/>
            <w:noWrap w:val="0"/>
            <w:vAlign w:val="center"/>
          </w:tcPr>
          <w:p w14:paraId="7E9289F1">
            <w:pPr>
              <w:pStyle w:val="199"/>
              <w:spacing w:before="120" w:line="240" w:lineRule="auto"/>
              <w:rPr>
                <w:b w:val="0"/>
                <w:color w:val="auto"/>
                <w:kern w:val="0"/>
                <w:szCs w:val="21"/>
                <w:highlight w:val="none"/>
              </w:rPr>
            </w:pPr>
            <w:r>
              <w:rPr>
                <w:rFonts w:hint="eastAsia"/>
                <w:b w:val="0"/>
                <w:color w:val="auto"/>
                <w:kern w:val="0"/>
                <w:szCs w:val="21"/>
                <w:highlight w:val="none"/>
              </w:rPr>
              <w:t>三级</w:t>
            </w:r>
          </w:p>
        </w:tc>
        <w:tc>
          <w:tcPr>
            <w:tcW w:w="416" w:type="pct"/>
            <w:noWrap w:val="0"/>
            <w:vAlign w:val="center"/>
          </w:tcPr>
          <w:p w14:paraId="6C19E847">
            <w:pPr>
              <w:pStyle w:val="199"/>
              <w:spacing w:before="120" w:line="240" w:lineRule="auto"/>
              <w:rPr>
                <w:b w:val="0"/>
                <w:color w:val="auto"/>
                <w:kern w:val="0"/>
                <w:szCs w:val="21"/>
                <w:highlight w:val="none"/>
              </w:rPr>
            </w:pPr>
            <w:r>
              <w:rPr>
                <w:rFonts w:hint="eastAsia"/>
                <w:b w:val="0"/>
                <w:color w:val="auto"/>
                <w:kern w:val="0"/>
                <w:szCs w:val="21"/>
                <w:highlight w:val="none"/>
              </w:rPr>
              <w:t>—</w:t>
            </w:r>
          </w:p>
        </w:tc>
        <w:tc>
          <w:tcPr>
            <w:tcW w:w="443" w:type="pct"/>
            <w:noWrap w:val="0"/>
            <w:vAlign w:val="center"/>
          </w:tcPr>
          <w:p w14:paraId="5736C59A">
            <w:pPr>
              <w:pStyle w:val="199"/>
              <w:spacing w:before="120" w:line="240" w:lineRule="auto"/>
              <w:rPr>
                <w:b w:val="0"/>
                <w:color w:val="auto"/>
                <w:kern w:val="0"/>
                <w:szCs w:val="21"/>
                <w:highlight w:val="none"/>
              </w:rPr>
            </w:pPr>
            <w:r>
              <w:rPr>
                <w:rFonts w:hint="eastAsia"/>
                <w:b w:val="0"/>
                <w:color w:val="auto"/>
                <w:kern w:val="0"/>
                <w:szCs w:val="21"/>
                <w:highlight w:val="none"/>
              </w:rPr>
              <w:t>—</w:t>
            </w:r>
          </w:p>
        </w:tc>
      </w:tr>
      <w:tr w14:paraId="3B9DB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0"/>
            <w:noWrap w:val="0"/>
            <w:vAlign w:val="top"/>
          </w:tcPr>
          <w:p w14:paraId="5B864C4D">
            <w:pPr>
              <w:pStyle w:val="199"/>
              <w:spacing w:before="120" w:line="240" w:lineRule="auto"/>
              <w:jc w:val="left"/>
              <w:rPr>
                <w:b w:val="0"/>
                <w:color w:val="auto"/>
                <w:kern w:val="0"/>
                <w:szCs w:val="21"/>
                <w:highlight w:val="none"/>
              </w:rPr>
            </w:pPr>
            <w:r>
              <w:rPr>
                <w:rFonts w:hint="eastAsia"/>
                <w:b w:val="0"/>
                <w:color w:val="auto"/>
                <w:kern w:val="0"/>
                <w:szCs w:val="21"/>
                <w:highlight w:val="none"/>
              </w:rPr>
              <w:t>注：“—”表示可不开展土壤环境影响评价工作</w:t>
            </w:r>
          </w:p>
        </w:tc>
      </w:tr>
    </w:tbl>
    <w:p w14:paraId="0DD42697">
      <w:pPr>
        <w:ind w:firstLine="480"/>
        <w:rPr>
          <w:color w:val="auto"/>
          <w:highlight w:val="none"/>
        </w:rPr>
      </w:pPr>
      <w:r>
        <w:rPr>
          <w:rFonts w:hint="eastAsia"/>
          <w:color w:val="auto"/>
          <w:highlight w:val="none"/>
        </w:rPr>
        <w:t>本项目为</w:t>
      </w:r>
      <w:r>
        <w:rPr>
          <w:rFonts w:hint="eastAsia"/>
          <w:color w:val="auto"/>
          <w:highlight w:val="none"/>
          <w:lang w:eastAsia="zh-CN"/>
        </w:rPr>
        <w:t>“</w:t>
      </w:r>
      <w:r>
        <w:rPr>
          <w:b w:val="0"/>
          <w:bCs w:val="0"/>
          <w:color w:val="auto"/>
          <w:kern w:val="0"/>
          <w:szCs w:val="21"/>
          <w:highlight w:val="none"/>
        </w:rPr>
        <w:t>III</w:t>
      </w:r>
      <w:r>
        <w:rPr>
          <w:rFonts w:hint="eastAsia"/>
          <w:color w:val="auto"/>
          <w:highlight w:val="none"/>
        </w:rPr>
        <w:t>类</w:t>
      </w:r>
      <w:r>
        <w:rPr>
          <w:rFonts w:hint="eastAsia"/>
          <w:color w:val="auto"/>
          <w:highlight w:val="none"/>
          <w:lang w:eastAsia="zh-CN"/>
        </w:rPr>
        <w:t>”</w:t>
      </w:r>
      <w:r>
        <w:rPr>
          <w:rFonts w:hint="eastAsia"/>
          <w:color w:val="auto"/>
          <w:highlight w:val="none"/>
        </w:rPr>
        <w:t>项目，占地规模为</w:t>
      </w:r>
      <w:r>
        <w:rPr>
          <w:rFonts w:hint="eastAsia"/>
          <w:b w:val="0"/>
          <w:bCs w:val="0"/>
          <w:color w:val="auto"/>
          <w:highlight w:val="none"/>
          <w:lang w:eastAsia="zh-CN"/>
        </w:rPr>
        <w:t>“</w:t>
      </w:r>
      <w:r>
        <w:rPr>
          <w:rFonts w:hint="eastAsia"/>
          <w:b w:val="0"/>
          <w:bCs w:val="0"/>
          <w:color w:val="auto"/>
          <w:highlight w:val="none"/>
          <w:lang w:val="en-US" w:eastAsia="zh-CN"/>
        </w:rPr>
        <w:t>小</w:t>
      </w:r>
      <w:r>
        <w:rPr>
          <w:rFonts w:hint="eastAsia"/>
          <w:b w:val="0"/>
          <w:bCs w:val="0"/>
          <w:color w:val="auto"/>
          <w:highlight w:val="none"/>
        </w:rPr>
        <w:t>型</w:t>
      </w:r>
      <w:r>
        <w:rPr>
          <w:rFonts w:hint="eastAsia"/>
          <w:b w:val="0"/>
          <w:bCs w:val="0"/>
          <w:color w:val="auto"/>
          <w:highlight w:val="none"/>
          <w:lang w:eastAsia="zh-CN"/>
        </w:rPr>
        <w:t>”</w:t>
      </w:r>
      <w:r>
        <w:rPr>
          <w:rFonts w:hint="eastAsia"/>
          <w:color w:val="auto"/>
          <w:highlight w:val="none"/>
        </w:rPr>
        <w:t>，周边的土壤环境敏感程度为</w:t>
      </w:r>
      <w:r>
        <w:rPr>
          <w:rFonts w:hint="eastAsia"/>
          <w:color w:val="auto"/>
          <w:highlight w:val="none"/>
          <w:lang w:eastAsia="zh-CN"/>
        </w:rPr>
        <w:t>“</w:t>
      </w:r>
      <w:r>
        <w:rPr>
          <w:rFonts w:hint="eastAsia"/>
          <w:color w:val="auto"/>
          <w:highlight w:val="none"/>
        </w:rPr>
        <w:t>敏感</w:t>
      </w:r>
      <w:r>
        <w:rPr>
          <w:rFonts w:hint="eastAsia"/>
          <w:color w:val="auto"/>
          <w:highlight w:val="none"/>
          <w:lang w:eastAsia="zh-CN"/>
        </w:rPr>
        <w:t>”</w:t>
      </w:r>
      <w:r>
        <w:rPr>
          <w:rFonts w:hint="eastAsia"/>
          <w:color w:val="auto"/>
          <w:highlight w:val="none"/>
        </w:rPr>
        <w:t>，故本项目土壤评价工作等级为</w:t>
      </w:r>
      <w:r>
        <w:rPr>
          <w:rFonts w:hint="eastAsia"/>
          <w:color w:val="auto"/>
          <w:highlight w:val="none"/>
          <w:lang w:val="en-US" w:eastAsia="zh-CN"/>
        </w:rPr>
        <w:t>三</w:t>
      </w:r>
      <w:r>
        <w:rPr>
          <w:rFonts w:hint="eastAsia"/>
          <w:color w:val="auto"/>
          <w:highlight w:val="none"/>
        </w:rPr>
        <w:t>级。</w:t>
      </w:r>
    </w:p>
    <w:p w14:paraId="684F0358">
      <w:pPr>
        <w:pStyle w:val="6"/>
        <w:rPr>
          <w:color w:val="auto"/>
          <w:highlight w:val="none"/>
        </w:rPr>
      </w:pPr>
      <w:r>
        <w:rPr>
          <w:rFonts w:hint="eastAsia"/>
          <w:color w:val="auto"/>
          <w:highlight w:val="none"/>
          <w:lang w:val="en-US" w:eastAsia="zh-CN"/>
        </w:rPr>
        <w:t xml:space="preserve"> </w:t>
      </w:r>
      <w:r>
        <w:rPr>
          <w:rFonts w:hint="eastAsia"/>
          <w:color w:val="auto"/>
          <w:highlight w:val="none"/>
        </w:rPr>
        <w:t>土壤环境评价范围</w:t>
      </w:r>
    </w:p>
    <w:p w14:paraId="6D29FEB8">
      <w:pPr>
        <w:ind w:firstLine="480"/>
        <w:rPr>
          <w:color w:val="auto"/>
          <w:highlight w:val="none"/>
        </w:rPr>
      </w:pPr>
      <w:r>
        <w:rPr>
          <w:rFonts w:hint="eastAsia"/>
          <w:color w:val="auto"/>
          <w:highlight w:val="none"/>
        </w:rPr>
        <w:t>根据《环境影响评价技术导则</w:t>
      </w:r>
      <w:r>
        <w:rPr>
          <w:color w:val="auto"/>
          <w:highlight w:val="none"/>
        </w:rPr>
        <w:t xml:space="preserve"> </w:t>
      </w:r>
      <w:r>
        <w:rPr>
          <w:rFonts w:hint="eastAsia"/>
          <w:color w:val="auto"/>
          <w:highlight w:val="none"/>
        </w:rPr>
        <w:t>土壤环境》（试行）（</w:t>
      </w:r>
      <w:r>
        <w:rPr>
          <w:color w:val="auto"/>
          <w:highlight w:val="none"/>
        </w:rPr>
        <w:t>HJ964-2018</w:t>
      </w:r>
      <w:r>
        <w:rPr>
          <w:rFonts w:hint="eastAsia"/>
          <w:color w:val="auto"/>
          <w:highlight w:val="none"/>
        </w:rPr>
        <w:t>）评价范围相关规定，本项目土壤评价范围</w:t>
      </w:r>
      <w:r>
        <w:rPr>
          <w:rFonts w:hint="eastAsia"/>
          <w:color w:val="auto"/>
          <w:highlight w:val="none"/>
          <w:lang w:eastAsia="zh-CN"/>
        </w:rPr>
        <w:t>：</w:t>
      </w:r>
      <w:r>
        <w:rPr>
          <w:rFonts w:hint="eastAsia"/>
          <w:color w:val="auto"/>
          <w:highlight w:val="none"/>
        </w:rPr>
        <w:t>本项目占地范围，还需以项目场界外扩</w:t>
      </w:r>
      <w:r>
        <w:rPr>
          <w:rFonts w:hint="eastAsia"/>
          <w:color w:val="auto"/>
          <w:highlight w:val="none"/>
          <w:lang w:val="en-US" w:eastAsia="zh-CN"/>
        </w:rPr>
        <w:t>50</w:t>
      </w:r>
      <w:r>
        <w:rPr>
          <w:color w:val="auto"/>
          <w:highlight w:val="none"/>
        </w:rPr>
        <w:t>m</w:t>
      </w:r>
      <w:r>
        <w:rPr>
          <w:rFonts w:hint="eastAsia"/>
          <w:color w:val="auto"/>
          <w:highlight w:val="none"/>
          <w:lang w:val="en-US" w:eastAsia="zh-CN"/>
        </w:rPr>
        <w:t>范围</w:t>
      </w:r>
      <w:r>
        <w:rPr>
          <w:rFonts w:hint="eastAsia"/>
          <w:color w:val="auto"/>
          <w:highlight w:val="none"/>
        </w:rPr>
        <w:t>。</w:t>
      </w:r>
    </w:p>
    <w:p w14:paraId="233684FA">
      <w:pPr>
        <w:pStyle w:val="5"/>
        <w:rPr>
          <w:color w:val="auto"/>
          <w:highlight w:val="none"/>
        </w:rPr>
      </w:pPr>
      <w:bookmarkStart w:id="60" w:name="_Toc24447073"/>
      <w:r>
        <w:rPr>
          <w:rFonts w:hint="eastAsia"/>
          <w:color w:val="auto"/>
          <w:highlight w:val="none"/>
        </w:rPr>
        <w:t>环境风险评价</w:t>
      </w:r>
      <w:bookmarkEnd w:id="60"/>
    </w:p>
    <w:p w14:paraId="7867D374">
      <w:pPr>
        <w:pStyle w:val="6"/>
        <w:rPr>
          <w:color w:val="auto"/>
          <w:highlight w:val="none"/>
        </w:rPr>
      </w:pPr>
      <w:r>
        <w:rPr>
          <w:rFonts w:hint="eastAsia"/>
          <w:color w:val="auto"/>
          <w:highlight w:val="none"/>
          <w:lang w:val="en-US" w:eastAsia="zh-CN"/>
        </w:rPr>
        <w:t xml:space="preserve"> 环境</w:t>
      </w:r>
      <w:r>
        <w:rPr>
          <w:rFonts w:hint="eastAsia"/>
          <w:color w:val="auto"/>
          <w:highlight w:val="none"/>
        </w:rPr>
        <w:t>风险评价等级</w:t>
      </w:r>
    </w:p>
    <w:p w14:paraId="241D0974">
      <w:pPr>
        <w:ind w:firstLine="480"/>
        <w:rPr>
          <w:rFonts w:hint="eastAsia"/>
          <w:color w:val="auto"/>
          <w:kern w:val="0"/>
          <w:szCs w:val="20"/>
          <w:highlight w:val="none"/>
        </w:rPr>
      </w:pPr>
      <w:r>
        <w:rPr>
          <w:rFonts w:hint="eastAsia"/>
          <w:color w:val="auto"/>
          <w:kern w:val="0"/>
          <w:szCs w:val="20"/>
          <w:highlight w:val="none"/>
        </w:rPr>
        <w:t>依据《建设项目环境风险评价技术导则》（HJ169-2018），根据建设项目涉及的风险物质及工艺系统危险性和所在地的环境敏感性确定环境风险潜势。</w:t>
      </w:r>
    </w:p>
    <w:p w14:paraId="2DA7855E">
      <w:pPr>
        <w:ind w:firstLine="480"/>
        <w:rPr>
          <w:rFonts w:hint="eastAsia"/>
          <w:color w:val="auto"/>
          <w:kern w:val="0"/>
          <w:szCs w:val="20"/>
          <w:highlight w:val="none"/>
        </w:rPr>
      </w:pPr>
      <w:r>
        <w:rPr>
          <w:rFonts w:hint="eastAsia"/>
          <w:color w:val="auto"/>
          <w:kern w:val="0"/>
          <w:szCs w:val="20"/>
          <w:highlight w:val="none"/>
        </w:rPr>
        <w:t>按照表</w:t>
      </w:r>
      <w:r>
        <w:rPr>
          <w:rFonts w:hint="eastAsia"/>
          <w:color w:val="auto"/>
          <w:kern w:val="0"/>
          <w:szCs w:val="20"/>
          <w:highlight w:val="none"/>
          <w:lang w:val="en-US" w:eastAsia="zh-CN"/>
        </w:rPr>
        <w:t>2.4-12</w:t>
      </w:r>
      <w:r>
        <w:rPr>
          <w:rFonts w:hint="eastAsia"/>
          <w:color w:val="auto"/>
          <w:kern w:val="0"/>
          <w:szCs w:val="20"/>
          <w:highlight w:val="none"/>
        </w:rPr>
        <w:t>确定环境风险评价工作等级。</w:t>
      </w:r>
    </w:p>
    <w:p w14:paraId="4A534522">
      <w:pPr>
        <w:pStyle w:val="199"/>
        <w:spacing w:before="120"/>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2.4-12</w:t>
      </w:r>
      <w:r>
        <w:rPr>
          <w:rFonts w:hint="eastAsia"/>
          <w:color w:val="auto"/>
          <w:sz w:val="24"/>
          <w:highlight w:val="none"/>
        </w:rPr>
        <w:t xml:space="preserve">    环境风险评价工作等级划分</w:t>
      </w:r>
    </w:p>
    <w:tbl>
      <w:tblPr>
        <w:tblStyle w:val="4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gridCol w:w="1710"/>
      </w:tblGrid>
      <w:tr w14:paraId="14AC2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tl2br w:val="nil"/>
              <w:tr2bl w:val="nil"/>
            </w:tcBorders>
            <w:noWrap w:val="0"/>
            <w:vAlign w:val="center"/>
          </w:tcPr>
          <w:p w14:paraId="1CF8CC1F">
            <w:pPr>
              <w:pStyle w:val="199"/>
              <w:spacing w:beforeLines="0" w:line="240" w:lineRule="auto"/>
              <w:rPr>
                <w:rFonts w:hint="eastAsia"/>
                <w:b w:val="0"/>
                <w:color w:val="auto"/>
                <w:kern w:val="0"/>
                <w:highlight w:val="none"/>
              </w:rPr>
            </w:pPr>
            <w:r>
              <w:rPr>
                <w:rFonts w:hint="eastAsia"/>
                <w:b w:val="0"/>
                <w:color w:val="auto"/>
                <w:kern w:val="0"/>
                <w:highlight w:val="none"/>
              </w:rPr>
              <w:t>环境风险潜势</w:t>
            </w:r>
          </w:p>
        </w:tc>
        <w:tc>
          <w:tcPr>
            <w:tcW w:w="999" w:type="pct"/>
            <w:tcBorders>
              <w:tl2br w:val="nil"/>
              <w:tr2bl w:val="nil"/>
            </w:tcBorders>
            <w:noWrap w:val="0"/>
            <w:vAlign w:val="center"/>
          </w:tcPr>
          <w:p w14:paraId="794B6399">
            <w:pPr>
              <w:pStyle w:val="199"/>
              <w:spacing w:beforeLines="0" w:line="240" w:lineRule="auto"/>
              <w:rPr>
                <w:rFonts w:hint="eastAsia"/>
                <w:b w:val="0"/>
                <w:color w:val="auto"/>
                <w:kern w:val="0"/>
                <w:highlight w:val="none"/>
              </w:rPr>
            </w:pPr>
            <w:r>
              <w:rPr>
                <w:rFonts w:hint="eastAsia"/>
                <w:b w:val="0"/>
                <w:color w:val="auto"/>
                <w:kern w:val="0"/>
                <w:highlight w:val="none"/>
              </w:rPr>
              <w:t>IV、IV +</w:t>
            </w:r>
          </w:p>
        </w:tc>
        <w:tc>
          <w:tcPr>
            <w:tcW w:w="999" w:type="pct"/>
            <w:tcBorders>
              <w:tl2br w:val="nil"/>
              <w:tr2bl w:val="nil"/>
            </w:tcBorders>
            <w:noWrap w:val="0"/>
            <w:vAlign w:val="center"/>
          </w:tcPr>
          <w:p w14:paraId="6DB237DD">
            <w:pPr>
              <w:pStyle w:val="199"/>
              <w:spacing w:beforeLines="0" w:line="240" w:lineRule="auto"/>
              <w:rPr>
                <w:rFonts w:hint="eastAsia"/>
                <w:b w:val="0"/>
                <w:color w:val="auto"/>
                <w:kern w:val="0"/>
                <w:highlight w:val="none"/>
              </w:rPr>
            </w:pPr>
            <w:r>
              <w:rPr>
                <w:rFonts w:hint="eastAsia"/>
                <w:b w:val="0"/>
                <w:color w:val="auto"/>
                <w:kern w:val="0"/>
                <w:highlight w:val="none"/>
              </w:rPr>
              <w:t>III</w:t>
            </w:r>
          </w:p>
        </w:tc>
        <w:tc>
          <w:tcPr>
            <w:tcW w:w="999" w:type="pct"/>
            <w:tcBorders>
              <w:tl2br w:val="nil"/>
              <w:tr2bl w:val="nil"/>
            </w:tcBorders>
            <w:noWrap w:val="0"/>
            <w:vAlign w:val="center"/>
          </w:tcPr>
          <w:p w14:paraId="11AA5BB6">
            <w:pPr>
              <w:pStyle w:val="199"/>
              <w:spacing w:beforeLines="0" w:line="240" w:lineRule="auto"/>
              <w:rPr>
                <w:rFonts w:hint="eastAsia"/>
                <w:b w:val="0"/>
                <w:color w:val="auto"/>
                <w:kern w:val="0"/>
                <w:highlight w:val="none"/>
              </w:rPr>
            </w:pPr>
            <w:r>
              <w:rPr>
                <w:rFonts w:hint="eastAsia"/>
                <w:b w:val="0"/>
                <w:color w:val="auto"/>
                <w:kern w:val="0"/>
                <w:highlight w:val="none"/>
              </w:rPr>
              <w:t>II</w:t>
            </w:r>
          </w:p>
        </w:tc>
        <w:tc>
          <w:tcPr>
            <w:tcW w:w="1000" w:type="pct"/>
            <w:tcBorders>
              <w:tl2br w:val="nil"/>
              <w:tr2bl w:val="nil"/>
            </w:tcBorders>
            <w:noWrap w:val="0"/>
            <w:vAlign w:val="center"/>
          </w:tcPr>
          <w:p w14:paraId="7720179A">
            <w:pPr>
              <w:pStyle w:val="199"/>
              <w:spacing w:beforeLines="0" w:line="240" w:lineRule="auto"/>
              <w:rPr>
                <w:rFonts w:hint="eastAsia"/>
                <w:b w:val="0"/>
                <w:color w:val="auto"/>
                <w:kern w:val="0"/>
                <w:highlight w:val="none"/>
              </w:rPr>
            </w:pPr>
            <w:r>
              <w:rPr>
                <w:rFonts w:hint="eastAsia"/>
                <w:b w:val="0"/>
                <w:color w:val="auto"/>
                <w:kern w:val="0"/>
                <w:highlight w:val="none"/>
              </w:rPr>
              <w:t>I</w:t>
            </w:r>
          </w:p>
        </w:tc>
      </w:tr>
      <w:tr w14:paraId="3852C6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tcBorders>
              <w:tl2br w:val="nil"/>
              <w:tr2bl w:val="nil"/>
            </w:tcBorders>
            <w:noWrap w:val="0"/>
            <w:vAlign w:val="center"/>
          </w:tcPr>
          <w:p w14:paraId="2002A8C1">
            <w:pPr>
              <w:pStyle w:val="199"/>
              <w:spacing w:beforeLines="0" w:line="240" w:lineRule="auto"/>
              <w:rPr>
                <w:rFonts w:hint="eastAsia"/>
                <w:b w:val="0"/>
                <w:color w:val="auto"/>
                <w:kern w:val="0"/>
                <w:highlight w:val="none"/>
              </w:rPr>
            </w:pPr>
            <w:r>
              <w:rPr>
                <w:rFonts w:hint="eastAsia"/>
                <w:b w:val="0"/>
                <w:color w:val="auto"/>
                <w:kern w:val="0"/>
                <w:highlight w:val="none"/>
              </w:rPr>
              <w:t>评价工作等级</w:t>
            </w:r>
          </w:p>
        </w:tc>
        <w:tc>
          <w:tcPr>
            <w:tcW w:w="999" w:type="pct"/>
            <w:tcBorders>
              <w:tl2br w:val="nil"/>
              <w:tr2bl w:val="nil"/>
            </w:tcBorders>
            <w:noWrap w:val="0"/>
            <w:vAlign w:val="center"/>
          </w:tcPr>
          <w:p w14:paraId="449CE6DF">
            <w:pPr>
              <w:pStyle w:val="199"/>
              <w:spacing w:beforeLines="0" w:line="240" w:lineRule="auto"/>
              <w:rPr>
                <w:rFonts w:hint="eastAsia"/>
                <w:b w:val="0"/>
                <w:color w:val="auto"/>
                <w:kern w:val="0"/>
                <w:highlight w:val="none"/>
              </w:rPr>
            </w:pPr>
            <w:r>
              <w:rPr>
                <w:rFonts w:hint="eastAsia"/>
                <w:b w:val="0"/>
                <w:color w:val="auto"/>
                <w:kern w:val="0"/>
                <w:highlight w:val="none"/>
              </w:rPr>
              <w:t>一</w:t>
            </w:r>
          </w:p>
        </w:tc>
        <w:tc>
          <w:tcPr>
            <w:tcW w:w="999" w:type="pct"/>
            <w:tcBorders>
              <w:tl2br w:val="nil"/>
              <w:tr2bl w:val="nil"/>
            </w:tcBorders>
            <w:noWrap w:val="0"/>
            <w:vAlign w:val="center"/>
          </w:tcPr>
          <w:p w14:paraId="07E7827E">
            <w:pPr>
              <w:pStyle w:val="199"/>
              <w:spacing w:beforeLines="0" w:line="240" w:lineRule="auto"/>
              <w:rPr>
                <w:rFonts w:hint="eastAsia"/>
                <w:b w:val="0"/>
                <w:color w:val="auto"/>
                <w:kern w:val="0"/>
                <w:highlight w:val="none"/>
              </w:rPr>
            </w:pPr>
            <w:r>
              <w:rPr>
                <w:rFonts w:hint="eastAsia"/>
                <w:b w:val="0"/>
                <w:color w:val="auto"/>
                <w:kern w:val="0"/>
                <w:highlight w:val="none"/>
              </w:rPr>
              <w:t>二</w:t>
            </w:r>
          </w:p>
        </w:tc>
        <w:tc>
          <w:tcPr>
            <w:tcW w:w="999" w:type="pct"/>
            <w:tcBorders>
              <w:tl2br w:val="nil"/>
              <w:tr2bl w:val="nil"/>
            </w:tcBorders>
            <w:noWrap w:val="0"/>
            <w:vAlign w:val="center"/>
          </w:tcPr>
          <w:p w14:paraId="6079AC09">
            <w:pPr>
              <w:pStyle w:val="199"/>
              <w:spacing w:beforeLines="0" w:line="240" w:lineRule="auto"/>
              <w:rPr>
                <w:rFonts w:hint="eastAsia"/>
                <w:b w:val="0"/>
                <w:color w:val="auto"/>
                <w:kern w:val="0"/>
                <w:highlight w:val="none"/>
              </w:rPr>
            </w:pPr>
            <w:r>
              <w:rPr>
                <w:rFonts w:hint="eastAsia"/>
                <w:b w:val="0"/>
                <w:color w:val="auto"/>
                <w:kern w:val="0"/>
                <w:highlight w:val="none"/>
              </w:rPr>
              <w:t>三</w:t>
            </w:r>
          </w:p>
        </w:tc>
        <w:tc>
          <w:tcPr>
            <w:tcW w:w="1000" w:type="pct"/>
            <w:tcBorders>
              <w:tl2br w:val="nil"/>
              <w:tr2bl w:val="nil"/>
            </w:tcBorders>
            <w:noWrap w:val="0"/>
            <w:vAlign w:val="center"/>
          </w:tcPr>
          <w:p w14:paraId="3FF5EA0E">
            <w:pPr>
              <w:pStyle w:val="199"/>
              <w:spacing w:beforeLines="0" w:line="240" w:lineRule="auto"/>
              <w:rPr>
                <w:rFonts w:hint="eastAsia"/>
                <w:b w:val="0"/>
                <w:color w:val="auto"/>
                <w:kern w:val="0"/>
                <w:highlight w:val="none"/>
              </w:rPr>
            </w:pPr>
            <w:r>
              <w:rPr>
                <w:rFonts w:hint="eastAsia"/>
                <w:b w:val="0"/>
                <w:color w:val="auto"/>
                <w:kern w:val="0"/>
                <w:highlight w:val="none"/>
              </w:rPr>
              <w:t>简单分析a</w:t>
            </w:r>
          </w:p>
        </w:tc>
      </w:tr>
      <w:tr w14:paraId="06A16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noWrap w:val="0"/>
            <w:vAlign w:val="center"/>
          </w:tcPr>
          <w:p w14:paraId="54277A9C">
            <w:pPr>
              <w:pStyle w:val="199"/>
              <w:spacing w:beforeLines="0" w:line="240" w:lineRule="auto"/>
              <w:rPr>
                <w:rFonts w:hint="eastAsia"/>
                <w:b w:val="0"/>
                <w:color w:val="auto"/>
                <w:kern w:val="0"/>
                <w:highlight w:val="none"/>
              </w:rPr>
            </w:pPr>
            <w:r>
              <w:rPr>
                <w:rFonts w:hint="eastAsia"/>
                <w:b w:val="0"/>
                <w:color w:val="auto"/>
                <w:kern w:val="0"/>
                <w:highlight w:val="none"/>
              </w:rPr>
              <w:t>a是相对于详细评价工作内容而言，在描述危险物质、环境影响途径、环境危害后果、风险防范措施等方面给出定性的说明。见附录A。</w:t>
            </w:r>
          </w:p>
        </w:tc>
      </w:tr>
    </w:tbl>
    <w:p w14:paraId="5FEA1423">
      <w:pPr>
        <w:ind w:firstLine="480"/>
        <w:rPr>
          <w:rFonts w:hint="eastAsia"/>
          <w:color w:val="auto"/>
          <w:kern w:val="0"/>
          <w:szCs w:val="20"/>
          <w:highlight w:val="none"/>
        </w:rPr>
      </w:pPr>
      <w:r>
        <w:rPr>
          <w:rFonts w:hint="eastAsia"/>
          <w:color w:val="auto"/>
          <w:kern w:val="0"/>
          <w:szCs w:val="20"/>
          <w:highlight w:val="none"/>
        </w:rPr>
        <w:t>风险潜势的判定：分析建设项目生产、使用、储存过程中涉及的有毒有害、易燃易爆物质，参照《建设项目环境风险评价技术导则》（HJ169-2018）附录B中危险物质的临界量，定量分析危险物质数量与临界量的比值Q。</w:t>
      </w:r>
    </w:p>
    <w:p w14:paraId="45969767">
      <w:pPr>
        <w:ind w:firstLine="480"/>
        <w:rPr>
          <w:rFonts w:hint="eastAsia"/>
          <w:color w:val="auto"/>
          <w:kern w:val="0"/>
          <w:szCs w:val="20"/>
          <w:highlight w:val="none"/>
        </w:rPr>
      </w:pPr>
      <w:r>
        <w:rPr>
          <w:rFonts w:hint="eastAsia"/>
          <w:color w:val="auto"/>
          <w:kern w:val="0"/>
          <w:szCs w:val="20"/>
          <w:highlight w:val="none"/>
        </w:rPr>
        <w:t>本项目使用的药剂水玻璃、油酸和碳酸钠等均不属于危险物质，设备运行和检修过程产生的废机油属于危险物质中的油类物质，年产生量为</w:t>
      </w:r>
      <w:r>
        <w:rPr>
          <w:rFonts w:hint="eastAsia"/>
          <w:color w:val="auto"/>
          <w:kern w:val="0"/>
          <w:szCs w:val="20"/>
          <w:highlight w:val="none"/>
          <w:lang w:val="en-US" w:eastAsia="zh-CN"/>
        </w:rPr>
        <w:t>3.0</w:t>
      </w:r>
      <w:r>
        <w:rPr>
          <w:rFonts w:hint="eastAsia"/>
          <w:color w:val="auto"/>
          <w:kern w:val="0"/>
          <w:szCs w:val="20"/>
          <w:highlight w:val="none"/>
        </w:rPr>
        <w:t>t/a，采用铁皮桶贮存，存放于危废暂存间，委托有危废处置资质单位处理</w:t>
      </w:r>
      <w:r>
        <w:rPr>
          <w:rFonts w:hint="eastAsia"/>
          <w:color w:val="auto"/>
          <w:kern w:val="0"/>
          <w:szCs w:val="20"/>
          <w:highlight w:val="none"/>
          <w:lang w:val="en-US" w:eastAsia="zh-CN"/>
        </w:rPr>
        <w:t>处置</w:t>
      </w:r>
      <w:r>
        <w:rPr>
          <w:rFonts w:hint="eastAsia"/>
          <w:color w:val="auto"/>
          <w:kern w:val="0"/>
          <w:szCs w:val="20"/>
          <w:highlight w:val="none"/>
        </w:rPr>
        <w:t>。油类物质临界量为2500t。本项目危险物质数量与临界量的比值Q=</w:t>
      </w:r>
      <w:r>
        <w:rPr>
          <w:rFonts w:hint="eastAsia"/>
          <w:color w:val="auto"/>
          <w:kern w:val="0"/>
          <w:szCs w:val="20"/>
          <w:highlight w:val="none"/>
          <w:lang w:val="en-US" w:eastAsia="zh-CN"/>
        </w:rPr>
        <w:t>3.0</w:t>
      </w:r>
      <w:r>
        <w:rPr>
          <w:rFonts w:hint="eastAsia"/>
          <w:color w:val="auto"/>
          <w:kern w:val="0"/>
          <w:szCs w:val="20"/>
          <w:highlight w:val="none"/>
        </w:rPr>
        <w:t>/2500=0.00</w:t>
      </w:r>
      <w:r>
        <w:rPr>
          <w:rFonts w:hint="eastAsia"/>
          <w:color w:val="auto"/>
          <w:kern w:val="0"/>
          <w:szCs w:val="20"/>
          <w:highlight w:val="none"/>
          <w:lang w:val="en-US" w:eastAsia="zh-CN"/>
        </w:rPr>
        <w:t>12</w:t>
      </w:r>
      <w:r>
        <w:rPr>
          <w:rFonts w:hint="eastAsia"/>
          <w:color w:val="auto"/>
          <w:kern w:val="0"/>
          <w:szCs w:val="20"/>
          <w:highlight w:val="none"/>
        </w:rPr>
        <w:t>&lt;1，可判定项目环境风险潜势为I级。危险物质数量与临界量的比值Q见表2.</w:t>
      </w:r>
      <w:r>
        <w:rPr>
          <w:rFonts w:hint="eastAsia"/>
          <w:color w:val="auto"/>
          <w:kern w:val="0"/>
          <w:szCs w:val="20"/>
          <w:highlight w:val="none"/>
          <w:lang w:val="en-US" w:eastAsia="zh-CN"/>
        </w:rPr>
        <w:t>.4-13</w:t>
      </w:r>
      <w:r>
        <w:rPr>
          <w:rFonts w:hint="eastAsia"/>
          <w:color w:val="auto"/>
          <w:kern w:val="0"/>
          <w:szCs w:val="20"/>
          <w:highlight w:val="none"/>
        </w:rPr>
        <w:t>。</w:t>
      </w:r>
    </w:p>
    <w:p w14:paraId="16FC0FBE">
      <w:pPr>
        <w:pStyle w:val="199"/>
        <w:spacing w:before="120"/>
        <w:rPr>
          <w:rFonts w:hint="eastAsia"/>
          <w:color w:val="auto"/>
          <w:sz w:val="24"/>
          <w:highlight w:val="none"/>
        </w:rPr>
      </w:pPr>
      <w:r>
        <w:rPr>
          <w:rFonts w:hint="eastAsia"/>
          <w:color w:val="auto"/>
          <w:sz w:val="24"/>
          <w:highlight w:val="none"/>
        </w:rPr>
        <w:t>表2.</w:t>
      </w:r>
      <w:r>
        <w:rPr>
          <w:rFonts w:hint="eastAsia"/>
          <w:color w:val="auto"/>
          <w:sz w:val="24"/>
          <w:highlight w:val="none"/>
          <w:lang w:val="en-US" w:eastAsia="zh-CN"/>
        </w:rPr>
        <w:t>4-13</w:t>
      </w:r>
      <w:r>
        <w:rPr>
          <w:rFonts w:hint="eastAsia"/>
          <w:color w:val="auto"/>
          <w:sz w:val="24"/>
          <w:highlight w:val="none"/>
        </w:rPr>
        <w:t xml:space="preserve">    危险物质数量与临界量的比值Q</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419"/>
        <w:gridCol w:w="1443"/>
        <w:gridCol w:w="1635"/>
        <w:gridCol w:w="1429"/>
        <w:gridCol w:w="1449"/>
      </w:tblGrid>
      <w:tr w14:paraId="63770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tcBorders>
              <w:tl2br w:val="nil"/>
              <w:tr2bl w:val="nil"/>
            </w:tcBorders>
            <w:noWrap w:val="0"/>
            <w:vAlign w:val="center"/>
          </w:tcPr>
          <w:p w14:paraId="07DC39B6">
            <w:pPr>
              <w:pStyle w:val="199"/>
              <w:spacing w:beforeLines="0" w:line="240" w:lineRule="auto"/>
              <w:jc w:val="center"/>
              <w:rPr>
                <w:rFonts w:hint="eastAsia"/>
                <w:b w:val="0"/>
                <w:color w:val="auto"/>
                <w:kern w:val="0"/>
                <w:highlight w:val="none"/>
              </w:rPr>
            </w:pPr>
            <w:r>
              <w:rPr>
                <w:rFonts w:hint="eastAsia"/>
                <w:b w:val="0"/>
                <w:color w:val="auto"/>
                <w:kern w:val="0"/>
                <w:highlight w:val="none"/>
              </w:rPr>
              <w:t>序号</w:t>
            </w:r>
          </w:p>
        </w:tc>
        <w:tc>
          <w:tcPr>
            <w:tcW w:w="1560" w:type="dxa"/>
            <w:tcBorders>
              <w:tl2br w:val="nil"/>
              <w:tr2bl w:val="nil"/>
            </w:tcBorders>
            <w:noWrap w:val="0"/>
            <w:vAlign w:val="center"/>
          </w:tcPr>
          <w:p w14:paraId="7D0FD29A">
            <w:pPr>
              <w:pStyle w:val="199"/>
              <w:spacing w:beforeLines="0" w:line="240" w:lineRule="auto"/>
              <w:jc w:val="center"/>
              <w:rPr>
                <w:rFonts w:hint="eastAsia"/>
                <w:b w:val="0"/>
                <w:color w:val="auto"/>
                <w:kern w:val="0"/>
                <w:highlight w:val="none"/>
              </w:rPr>
            </w:pPr>
            <w:r>
              <w:rPr>
                <w:rFonts w:hint="eastAsia"/>
                <w:b w:val="0"/>
                <w:color w:val="auto"/>
                <w:kern w:val="0"/>
                <w:highlight w:val="none"/>
              </w:rPr>
              <w:t>物质名称</w:t>
            </w:r>
          </w:p>
        </w:tc>
        <w:tc>
          <w:tcPr>
            <w:tcW w:w="1559" w:type="dxa"/>
            <w:tcBorders>
              <w:tl2br w:val="nil"/>
              <w:tr2bl w:val="nil"/>
            </w:tcBorders>
            <w:noWrap w:val="0"/>
            <w:vAlign w:val="center"/>
          </w:tcPr>
          <w:p w14:paraId="52F35652">
            <w:pPr>
              <w:pStyle w:val="199"/>
              <w:spacing w:beforeLines="0" w:line="240" w:lineRule="auto"/>
              <w:jc w:val="center"/>
              <w:rPr>
                <w:rFonts w:hint="eastAsia"/>
                <w:b w:val="0"/>
                <w:color w:val="auto"/>
                <w:kern w:val="0"/>
                <w:highlight w:val="none"/>
              </w:rPr>
            </w:pPr>
            <w:r>
              <w:rPr>
                <w:rFonts w:hint="eastAsia"/>
                <w:b w:val="0"/>
                <w:color w:val="auto"/>
                <w:kern w:val="0"/>
                <w:highlight w:val="none"/>
              </w:rPr>
              <w:t>CAS号</w:t>
            </w:r>
          </w:p>
        </w:tc>
        <w:tc>
          <w:tcPr>
            <w:tcW w:w="1799" w:type="dxa"/>
            <w:tcBorders>
              <w:tl2br w:val="nil"/>
              <w:tr2bl w:val="nil"/>
            </w:tcBorders>
            <w:noWrap w:val="0"/>
            <w:vAlign w:val="center"/>
          </w:tcPr>
          <w:p w14:paraId="4E43973E">
            <w:pPr>
              <w:pStyle w:val="199"/>
              <w:spacing w:beforeLines="0" w:line="240" w:lineRule="auto"/>
              <w:jc w:val="center"/>
              <w:rPr>
                <w:rFonts w:hint="eastAsia"/>
                <w:b w:val="0"/>
                <w:color w:val="auto"/>
                <w:kern w:val="0"/>
                <w:highlight w:val="none"/>
              </w:rPr>
            </w:pPr>
            <w:r>
              <w:rPr>
                <w:rFonts w:hint="eastAsia"/>
                <w:b w:val="0"/>
                <w:color w:val="auto"/>
                <w:kern w:val="0"/>
                <w:highlight w:val="none"/>
              </w:rPr>
              <w:t>最大存在量/t</w:t>
            </w:r>
          </w:p>
        </w:tc>
        <w:tc>
          <w:tcPr>
            <w:tcW w:w="1541" w:type="dxa"/>
            <w:tcBorders>
              <w:tl2br w:val="nil"/>
              <w:tr2bl w:val="nil"/>
            </w:tcBorders>
            <w:noWrap w:val="0"/>
            <w:vAlign w:val="center"/>
          </w:tcPr>
          <w:p w14:paraId="63632154">
            <w:pPr>
              <w:pStyle w:val="199"/>
              <w:spacing w:beforeLines="0" w:line="240" w:lineRule="auto"/>
              <w:jc w:val="center"/>
              <w:rPr>
                <w:rFonts w:hint="eastAsia"/>
                <w:b w:val="0"/>
                <w:color w:val="auto"/>
                <w:kern w:val="0"/>
                <w:highlight w:val="none"/>
              </w:rPr>
            </w:pPr>
            <w:r>
              <w:rPr>
                <w:rFonts w:hint="eastAsia"/>
                <w:b w:val="0"/>
                <w:color w:val="auto"/>
                <w:kern w:val="0"/>
                <w:highlight w:val="none"/>
              </w:rPr>
              <w:t>临界量/t</w:t>
            </w:r>
          </w:p>
        </w:tc>
        <w:tc>
          <w:tcPr>
            <w:tcW w:w="1541" w:type="dxa"/>
            <w:tcBorders>
              <w:tl2br w:val="nil"/>
              <w:tr2bl w:val="nil"/>
            </w:tcBorders>
            <w:noWrap w:val="0"/>
            <w:vAlign w:val="center"/>
          </w:tcPr>
          <w:p w14:paraId="67009647">
            <w:pPr>
              <w:pStyle w:val="199"/>
              <w:spacing w:beforeLines="0" w:line="240" w:lineRule="auto"/>
              <w:jc w:val="center"/>
              <w:rPr>
                <w:rFonts w:hint="eastAsia"/>
                <w:b w:val="0"/>
                <w:color w:val="auto"/>
                <w:kern w:val="0"/>
                <w:highlight w:val="none"/>
              </w:rPr>
            </w:pPr>
            <w:r>
              <w:rPr>
                <w:rFonts w:hint="eastAsia"/>
                <w:b w:val="0"/>
                <w:color w:val="auto"/>
                <w:kern w:val="0"/>
                <w:highlight w:val="none"/>
              </w:rPr>
              <w:t>Q</w:t>
            </w:r>
          </w:p>
        </w:tc>
      </w:tr>
      <w:tr w14:paraId="1F96D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tcBorders>
              <w:tl2br w:val="nil"/>
              <w:tr2bl w:val="nil"/>
            </w:tcBorders>
            <w:noWrap w:val="0"/>
            <w:vAlign w:val="center"/>
          </w:tcPr>
          <w:p w14:paraId="70A8B76B">
            <w:pPr>
              <w:pStyle w:val="199"/>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1560" w:type="dxa"/>
            <w:tcBorders>
              <w:tl2br w:val="nil"/>
              <w:tr2bl w:val="nil"/>
            </w:tcBorders>
            <w:noWrap w:val="0"/>
            <w:vAlign w:val="center"/>
          </w:tcPr>
          <w:p w14:paraId="2497F4F2">
            <w:pPr>
              <w:pStyle w:val="199"/>
              <w:spacing w:beforeLines="0" w:line="240" w:lineRule="auto"/>
              <w:jc w:val="center"/>
              <w:rPr>
                <w:rFonts w:hint="eastAsia"/>
                <w:b w:val="0"/>
                <w:color w:val="auto"/>
                <w:kern w:val="0"/>
                <w:highlight w:val="none"/>
              </w:rPr>
            </w:pPr>
            <w:r>
              <w:rPr>
                <w:rFonts w:hint="eastAsia"/>
                <w:b w:val="0"/>
                <w:color w:val="auto"/>
                <w:kern w:val="0"/>
                <w:highlight w:val="none"/>
              </w:rPr>
              <w:t>废机油</w:t>
            </w:r>
          </w:p>
        </w:tc>
        <w:tc>
          <w:tcPr>
            <w:tcW w:w="1559" w:type="dxa"/>
            <w:tcBorders>
              <w:tl2br w:val="nil"/>
              <w:tr2bl w:val="nil"/>
            </w:tcBorders>
            <w:noWrap w:val="0"/>
            <w:vAlign w:val="center"/>
          </w:tcPr>
          <w:p w14:paraId="3257D348">
            <w:pPr>
              <w:pStyle w:val="199"/>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w:t>
            </w:r>
          </w:p>
        </w:tc>
        <w:tc>
          <w:tcPr>
            <w:tcW w:w="1799" w:type="dxa"/>
            <w:tcBorders>
              <w:tl2br w:val="nil"/>
              <w:tr2bl w:val="nil"/>
            </w:tcBorders>
            <w:noWrap w:val="0"/>
            <w:vAlign w:val="center"/>
          </w:tcPr>
          <w:p w14:paraId="7F0914E8">
            <w:pPr>
              <w:pStyle w:val="199"/>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3.0</w:t>
            </w:r>
          </w:p>
        </w:tc>
        <w:tc>
          <w:tcPr>
            <w:tcW w:w="1541" w:type="dxa"/>
            <w:tcBorders>
              <w:tl2br w:val="nil"/>
              <w:tr2bl w:val="nil"/>
            </w:tcBorders>
            <w:noWrap w:val="0"/>
            <w:vAlign w:val="center"/>
          </w:tcPr>
          <w:p w14:paraId="6F966261">
            <w:pPr>
              <w:pStyle w:val="199"/>
              <w:spacing w:beforeLines="0" w:line="240" w:lineRule="auto"/>
              <w:jc w:val="center"/>
              <w:rPr>
                <w:rFonts w:hint="eastAsia"/>
                <w:b w:val="0"/>
                <w:color w:val="auto"/>
                <w:kern w:val="0"/>
                <w:highlight w:val="none"/>
              </w:rPr>
            </w:pPr>
            <w:r>
              <w:rPr>
                <w:rFonts w:hint="eastAsia"/>
                <w:b w:val="0"/>
                <w:color w:val="auto"/>
                <w:kern w:val="0"/>
                <w:highlight w:val="none"/>
              </w:rPr>
              <w:t>2500</w:t>
            </w:r>
          </w:p>
        </w:tc>
        <w:tc>
          <w:tcPr>
            <w:tcW w:w="1541" w:type="dxa"/>
            <w:tcBorders>
              <w:tl2br w:val="nil"/>
              <w:tr2bl w:val="nil"/>
            </w:tcBorders>
            <w:noWrap w:val="0"/>
            <w:vAlign w:val="center"/>
          </w:tcPr>
          <w:p w14:paraId="5F1F28F1">
            <w:pPr>
              <w:pStyle w:val="199"/>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rPr>
              <w:t>0.00</w:t>
            </w:r>
            <w:r>
              <w:rPr>
                <w:rFonts w:hint="eastAsia"/>
                <w:b w:val="0"/>
                <w:color w:val="auto"/>
                <w:kern w:val="0"/>
                <w:highlight w:val="none"/>
                <w:lang w:val="en-US" w:eastAsia="zh-CN"/>
              </w:rPr>
              <w:t>12</w:t>
            </w:r>
          </w:p>
        </w:tc>
      </w:tr>
    </w:tbl>
    <w:p w14:paraId="40F9A020">
      <w:pPr>
        <w:ind w:firstLine="480"/>
        <w:rPr>
          <w:color w:val="auto"/>
          <w:highlight w:val="none"/>
        </w:rPr>
      </w:pPr>
      <w:r>
        <w:rPr>
          <w:rFonts w:hint="eastAsia"/>
          <w:color w:val="auto"/>
          <w:kern w:val="0"/>
          <w:szCs w:val="20"/>
          <w:highlight w:val="none"/>
        </w:rPr>
        <w:t>通过计算，本项目危险物质数量与临界量的比值∑Q=0.00</w:t>
      </w:r>
      <w:r>
        <w:rPr>
          <w:rFonts w:hint="eastAsia"/>
          <w:color w:val="auto"/>
          <w:kern w:val="0"/>
          <w:szCs w:val="20"/>
          <w:highlight w:val="none"/>
          <w:lang w:val="en-US" w:eastAsia="zh-CN"/>
        </w:rPr>
        <w:t>12</w:t>
      </w:r>
      <w:r>
        <w:rPr>
          <w:rFonts w:hint="eastAsia"/>
          <w:color w:val="auto"/>
          <w:kern w:val="0"/>
          <w:szCs w:val="20"/>
          <w:highlight w:val="none"/>
        </w:rPr>
        <w:t>＜1，故本项目环境风险潜势为I</w:t>
      </w:r>
      <w:r>
        <w:rPr>
          <w:rFonts w:hint="eastAsia"/>
          <w:color w:val="auto"/>
          <w:kern w:val="0"/>
          <w:szCs w:val="20"/>
          <w:highlight w:val="none"/>
          <w:lang w:eastAsia="zh-CN"/>
        </w:rPr>
        <w:t>，</w:t>
      </w:r>
      <w:r>
        <w:rPr>
          <w:rFonts w:hint="eastAsia"/>
          <w:color w:val="auto"/>
          <w:kern w:val="0"/>
          <w:szCs w:val="20"/>
          <w:highlight w:val="none"/>
        </w:rPr>
        <w:t>确定本项目环境风险等级为简单分析。</w:t>
      </w:r>
    </w:p>
    <w:p w14:paraId="3D98CB96">
      <w:pPr>
        <w:pStyle w:val="6"/>
        <w:rPr>
          <w:color w:val="auto"/>
          <w:highlight w:val="none"/>
        </w:rPr>
      </w:pPr>
      <w:r>
        <w:rPr>
          <w:rFonts w:hint="eastAsia"/>
          <w:color w:val="auto"/>
          <w:highlight w:val="none"/>
          <w:lang w:val="en-US" w:eastAsia="zh-CN"/>
        </w:rPr>
        <w:t xml:space="preserve"> 环境</w:t>
      </w:r>
      <w:r>
        <w:rPr>
          <w:rFonts w:hint="eastAsia"/>
          <w:color w:val="auto"/>
          <w:highlight w:val="none"/>
        </w:rPr>
        <w:t>风险评价范围</w:t>
      </w:r>
    </w:p>
    <w:p w14:paraId="0C2D3884">
      <w:pPr>
        <w:ind w:firstLine="480"/>
        <w:rPr>
          <w:rFonts w:hint="eastAsia"/>
          <w:color w:val="auto"/>
          <w:highlight w:val="none"/>
        </w:rPr>
      </w:pPr>
      <w:r>
        <w:rPr>
          <w:rFonts w:hint="eastAsia"/>
          <w:color w:val="auto"/>
          <w:highlight w:val="none"/>
        </w:rPr>
        <w:t>本项目环境风险评价</w:t>
      </w:r>
      <w:r>
        <w:rPr>
          <w:rFonts w:hint="eastAsia"/>
          <w:color w:val="auto"/>
          <w:highlight w:val="none"/>
          <w:lang w:val="en-US" w:eastAsia="zh-CN"/>
        </w:rPr>
        <w:t>等级为“简单分析”，故本项目不设环境风险评价</w:t>
      </w:r>
      <w:r>
        <w:rPr>
          <w:rFonts w:hint="eastAsia"/>
          <w:color w:val="auto"/>
          <w:highlight w:val="none"/>
        </w:rPr>
        <w:t>范围。</w:t>
      </w:r>
    </w:p>
    <w:p w14:paraId="61D113FA">
      <w:pPr>
        <w:pStyle w:val="5"/>
        <w:rPr>
          <w:color w:val="auto"/>
          <w:highlight w:val="none"/>
        </w:rPr>
      </w:pPr>
      <w:r>
        <w:rPr>
          <w:rFonts w:hint="eastAsia"/>
          <w:color w:val="auto"/>
          <w:highlight w:val="none"/>
          <w:lang w:val="en-US" w:eastAsia="zh-CN"/>
        </w:rPr>
        <w:t>生态影响</w:t>
      </w:r>
      <w:r>
        <w:rPr>
          <w:rFonts w:hint="eastAsia"/>
          <w:color w:val="auto"/>
          <w:highlight w:val="none"/>
        </w:rPr>
        <w:t>评价</w:t>
      </w:r>
    </w:p>
    <w:p w14:paraId="27AE6B5F">
      <w:pPr>
        <w:spacing w:before="182" w:line="353" w:lineRule="auto"/>
        <w:ind w:left="37" w:right="182" w:firstLine="473"/>
        <w:rPr>
          <w:rFonts w:ascii="宋体" w:hAnsi="宋体" w:eastAsia="宋体" w:cs="宋体"/>
          <w:color w:val="auto"/>
          <w:spacing w:val="-5"/>
          <w:sz w:val="24"/>
          <w:szCs w:val="24"/>
          <w:highlight w:val="none"/>
        </w:rPr>
      </w:pPr>
      <w:r>
        <w:rPr>
          <w:rFonts w:ascii="宋体" w:hAnsi="宋体" w:eastAsia="宋体" w:cs="宋体"/>
          <w:color w:val="auto"/>
          <w:sz w:val="24"/>
          <w:szCs w:val="24"/>
          <w:highlight w:val="none"/>
        </w:rPr>
        <w:t>根据《环境影响评价技术导则 生态影响》</w:t>
      </w:r>
      <w:r>
        <w:rPr>
          <w:rFonts w:ascii="Times New Roman" w:hAnsi="Times New Roman" w:eastAsia="Times New Roman" w:cs="Times New Roman"/>
          <w:color w:val="auto"/>
          <w:sz w:val="24"/>
          <w:szCs w:val="24"/>
          <w:highlight w:val="none"/>
        </w:rPr>
        <w:t>(HJ19-2022)</w:t>
      </w:r>
      <w:r>
        <w:rPr>
          <w:rFonts w:ascii="宋体" w:hAnsi="宋体" w:eastAsia="宋体" w:cs="宋体"/>
          <w:color w:val="auto"/>
          <w:sz w:val="24"/>
          <w:szCs w:val="24"/>
          <w:highlight w:val="none"/>
        </w:rPr>
        <w:t>，位于已批准规划环评的产</w:t>
      </w:r>
      <w:r>
        <w:rPr>
          <w:rFonts w:ascii="宋体" w:hAnsi="宋体" w:eastAsia="宋体" w:cs="宋体"/>
          <w:color w:val="auto"/>
          <w:spacing w:val="-1"/>
          <w:sz w:val="24"/>
          <w:szCs w:val="24"/>
          <w:highlight w:val="none"/>
        </w:rPr>
        <w:t>业园区内且符合规划环评要求、不涉及生态敏感</w:t>
      </w:r>
      <w:r>
        <w:rPr>
          <w:rFonts w:ascii="宋体" w:hAnsi="宋体" w:eastAsia="宋体" w:cs="宋体"/>
          <w:color w:val="auto"/>
          <w:spacing w:val="-2"/>
          <w:sz w:val="24"/>
          <w:szCs w:val="24"/>
          <w:highlight w:val="none"/>
        </w:rPr>
        <w:t>区的污染影响类建设项目，可不确定评价等级，直接进行生态影响简单分析。本项目位于内蒙古锡林郭勒多伦经济开发区，园</w:t>
      </w:r>
      <w:r>
        <w:rPr>
          <w:rFonts w:ascii="宋体" w:hAnsi="宋体" w:eastAsia="宋体" w:cs="宋体"/>
          <w:color w:val="auto"/>
          <w:spacing w:val="-1"/>
          <w:sz w:val="24"/>
          <w:szCs w:val="24"/>
          <w:highlight w:val="none"/>
        </w:rPr>
        <w:t>区已批准规划环评，且本项目符合规划环评要求</w:t>
      </w:r>
      <w:r>
        <w:rPr>
          <w:rFonts w:ascii="宋体" w:hAnsi="宋体" w:eastAsia="宋体" w:cs="宋体"/>
          <w:color w:val="auto"/>
          <w:spacing w:val="-2"/>
          <w:sz w:val="24"/>
          <w:szCs w:val="24"/>
          <w:highlight w:val="none"/>
        </w:rPr>
        <w:t>，不涉及生态敏感区的污染影响类建设</w:t>
      </w:r>
      <w:r>
        <w:rPr>
          <w:rFonts w:ascii="宋体" w:hAnsi="宋体" w:eastAsia="宋体" w:cs="宋体"/>
          <w:color w:val="auto"/>
          <w:spacing w:val="-5"/>
          <w:sz w:val="24"/>
          <w:szCs w:val="24"/>
          <w:highlight w:val="none"/>
        </w:rPr>
        <w:t>项目。因此</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本项目</w:t>
      </w:r>
      <w:r>
        <w:rPr>
          <w:rFonts w:ascii="宋体" w:hAnsi="宋体" w:eastAsia="宋体" w:cs="宋体"/>
          <w:color w:val="auto"/>
          <w:spacing w:val="-5"/>
          <w:sz w:val="24"/>
          <w:szCs w:val="24"/>
          <w:highlight w:val="none"/>
        </w:rPr>
        <w:t>生态影响</w:t>
      </w:r>
      <w:r>
        <w:rPr>
          <w:rFonts w:hint="eastAsia" w:ascii="宋体" w:hAnsi="宋体" w:eastAsia="宋体" w:cs="宋体"/>
          <w:color w:val="auto"/>
          <w:spacing w:val="-5"/>
          <w:sz w:val="24"/>
          <w:szCs w:val="24"/>
          <w:highlight w:val="none"/>
          <w:lang w:val="en-US" w:eastAsia="zh-CN"/>
        </w:rPr>
        <w:t>评价</w:t>
      </w:r>
      <w:r>
        <w:rPr>
          <w:rFonts w:ascii="宋体" w:hAnsi="宋体" w:eastAsia="宋体" w:cs="宋体"/>
          <w:color w:val="auto"/>
          <w:spacing w:val="-5"/>
          <w:sz w:val="24"/>
          <w:szCs w:val="24"/>
          <w:highlight w:val="none"/>
        </w:rPr>
        <w:t>进行简单分析</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不设生态影响评价范围</w:t>
      </w:r>
      <w:r>
        <w:rPr>
          <w:rFonts w:ascii="宋体" w:hAnsi="宋体" w:eastAsia="宋体" w:cs="宋体"/>
          <w:color w:val="auto"/>
          <w:spacing w:val="-5"/>
          <w:sz w:val="24"/>
          <w:szCs w:val="24"/>
          <w:highlight w:val="none"/>
        </w:rPr>
        <w:t>。</w:t>
      </w:r>
    </w:p>
    <w:p w14:paraId="60785634">
      <w:pPr>
        <w:pStyle w:val="5"/>
        <w:rPr>
          <w:rFonts w:hint="eastAsia"/>
          <w:color w:val="auto"/>
          <w:highlight w:val="none"/>
          <w:lang w:val="en-US" w:eastAsia="zh-CN"/>
        </w:rPr>
      </w:pPr>
      <w:r>
        <w:rPr>
          <w:rFonts w:hint="eastAsia"/>
          <w:color w:val="auto"/>
          <w:highlight w:val="none"/>
          <w:lang w:val="en-US" w:eastAsia="zh-CN"/>
        </w:rPr>
        <w:t>评价等级和范围汇总</w:t>
      </w:r>
    </w:p>
    <w:p w14:paraId="25E602E4">
      <w:pPr>
        <w:ind w:firstLine="480"/>
        <w:rPr>
          <w:rFonts w:hint="eastAsia"/>
          <w:color w:val="auto"/>
          <w:kern w:val="0"/>
          <w:szCs w:val="20"/>
          <w:highlight w:val="none"/>
        </w:rPr>
      </w:pPr>
      <w:r>
        <w:rPr>
          <w:rFonts w:hint="eastAsia"/>
          <w:color w:val="auto"/>
          <w:kern w:val="0"/>
          <w:szCs w:val="20"/>
          <w:highlight w:val="none"/>
        </w:rPr>
        <w:t>根据本项目污染物排放特点及当地气象条件、自然环境状况，结合各导则的要求确定各环境要素评价范围见下表</w:t>
      </w:r>
      <w:r>
        <w:rPr>
          <w:rFonts w:hint="eastAsia"/>
          <w:color w:val="auto"/>
          <w:kern w:val="0"/>
          <w:szCs w:val="20"/>
          <w:highlight w:val="none"/>
          <w:lang w:val="en-US" w:eastAsia="zh-CN"/>
        </w:rPr>
        <w:t>2.4-14</w:t>
      </w:r>
      <w:r>
        <w:rPr>
          <w:rFonts w:hint="eastAsia"/>
          <w:color w:val="auto"/>
          <w:kern w:val="0"/>
          <w:szCs w:val="20"/>
          <w:highlight w:val="none"/>
        </w:rPr>
        <w:t>。</w:t>
      </w:r>
    </w:p>
    <w:p w14:paraId="1F663CA1">
      <w:pPr>
        <w:pStyle w:val="199"/>
        <w:spacing w:before="120"/>
        <w:rPr>
          <w:rFonts w:hint="eastAsia"/>
          <w:color w:val="auto"/>
          <w:sz w:val="24"/>
          <w:highlight w:val="none"/>
        </w:rPr>
      </w:pPr>
      <w:r>
        <w:rPr>
          <w:rFonts w:hint="eastAsia"/>
          <w:color w:val="auto"/>
          <w:sz w:val="24"/>
          <w:highlight w:val="none"/>
        </w:rPr>
        <w:t>表 2.4-16 本项目</w:t>
      </w:r>
      <w:r>
        <w:rPr>
          <w:rFonts w:hint="eastAsia"/>
          <w:color w:val="auto"/>
          <w:sz w:val="24"/>
          <w:highlight w:val="none"/>
          <w:lang w:val="en-US" w:eastAsia="zh-CN"/>
        </w:rPr>
        <w:t>各要素</w:t>
      </w:r>
      <w:r>
        <w:rPr>
          <w:rFonts w:hint="eastAsia"/>
          <w:color w:val="auto"/>
          <w:sz w:val="24"/>
          <w:highlight w:val="none"/>
        </w:rPr>
        <w:t>环境影响评价</w:t>
      </w:r>
      <w:r>
        <w:rPr>
          <w:rFonts w:hint="eastAsia"/>
          <w:color w:val="auto"/>
          <w:sz w:val="24"/>
          <w:highlight w:val="none"/>
          <w:lang w:val="en-US" w:eastAsia="zh-CN"/>
        </w:rPr>
        <w:t>等级及评价</w:t>
      </w:r>
      <w:r>
        <w:rPr>
          <w:rFonts w:hint="eastAsia"/>
          <w:color w:val="auto"/>
          <w:sz w:val="24"/>
          <w:highlight w:val="none"/>
        </w:rPr>
        <w:t>范围</w:t>
      </w:r>
      <w:r>
        <w:rPr>
          <w:rFonts w:hint="eastAsia"/>
          <w:color w:val="auto"/>
          <w:sz w:val="24"/>
          <w:highlight w:val="none"/>
          <w:lang w:val="en-US" w:eastAsia="zh-CN"/>
        </w:rPr>
        <w:t>汇总</w:t>
      </w:r>
      <w:r>
        <w:rPr>
          <w:rFonts w:hint="eastAsia"/>
          <w:color w:val="auto"/>
          <w:sz w:val="24"/>
          <w:highlight w:val="none"/>
        </w:rPr>
        <w:t>表</w:t>
      </w:r>
    </w:p>
    <w:tbl>
      <w:tblPr>
        <w:tblStyle w:val="297"/>
        <w:tblW w:w="8289" w:type="dxa"/>
        <w:tblInd w:w="28"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513"/>
        <w:gridCol w:w="2310"/>
        <w:gridCol w:w="4466"/>
      </w:tblGrid>
      <w:tr w14:paraId="2E67BCA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3" w:type="dxa"/>
            <w:tcBorders>
              <w:tl2br w:val="nil"/>
              <w:tr2bl w:val="nil"/>
            </w:tcBorders>
            <w:noWrap w:val="0"/>
            <w:vAlign w:val="center"/>
          </w:tcPr>
          <w:p w14:paraId="1E1935AB">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环境要素</w:t>
            </w:r>
          </w:p>
        </w:tc>
        <w:tc>
          <w:tcPr>
            <w:tcW w:w="2310" w:type="dxa"/>
            <w:tcBorders>
              <w:tl2br w:val="nil"/>
              <w:tr2bl w:val="nil"/>
            </w:tcBorders>
            <w:noWrap w:val="0"/>
            <w:vAlign w:val="center"/>
          </w:tcPr>
          <w:p w14:paraId="0F0ADAD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评价等级</w:t>
            </w:r>
          </w:p>
        </w:tc>
        <w:tc>
          <w:tcPr>
            <w:tcW w:w="4466" w:type="dxa"/>
            <w:tcBorders>
              <w:tl2br w:val="nil"/>
              <w:tr2bl w:val="nil"/>
            </w:tcBorders>
            <w:noWrap w:val="0"/>
            <w:vAlign w:val="center"/>
          </w:tcPr>
          <w:p w14:paraId="0B4BBF3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评价范围</w:t>
            </w:r>
          </w:p>
        </w:tc>
      </w:tr>
      <w:tr w14:paraId="0DB75CA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3" w:type="dxa"/>
            <w:tcBorders>
              <w:tl2br w:val="nil"/>
              <w:tr2bl w:val="nil"/>
            </w:tcBorders>
            <w:noWrap w:val="0"/>
            <w:vAlign w:val="center"/>
          </w:tcPr>
          <w:p w14:paraId="7B85138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大气环境</w:t>
            </w:r>
          </w:p>
        </w:tc>
        <w:tc>
          <w:tcPr>
            <w:tcW w:w="2310" w:type="dxa"/>
            <w:tcBorders>
              <w:tl2br w:val="nil"/>
              <w:tr2bl w:val="nil"/>
            </w:tcBorders>
            <w:noWrap w:val="0"/>
            <w:vAlign w:val="center"/>
          </w:tcPr>
          <w:p w14:paraId="7386BF3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二</w:t>
            </w:r>
            <w:r>
              <w:rPr>
                <w:rFonts w:hint="eastAsia"/>
                <w:b w:val="0"/>
                <w:color w:val="auto"/>
                <w:kern w:val="0"/>
                <w:highlight w:val="none"/>
              </w:rPr>
              <w:t>级</w:t>
            </w:r>
          </w:p>
        </w:tc>
        <w:tc>
          <w:tcPr>
            <w:tcW w:w="4466" w:type="dxa"/>
            <w:tcBorders>
              <w:tl2br w:val="nil"/>
              <w:tr2bl w:val="nil"/>
            </w:tcBorders>
            <w:noWrap w:val="0"/>
            <w:vAlign w:val="center"/>
          </w:tcPr>
          <w:p w14:paraId="42DF02E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自厂界外延边长5km的矩形区域</w:t>
            </w:r>
          </w:p>
        </w:tc>
      </w:tr>
      <w:tr w14:paraId="120970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3" w:type="dxa"/>
            <w:tcBorders>
              <w:tl2br w:val="nil"/>
              <w:tr2bl w:val="nil"/>
            </w:tcBorders>
            <w:noWrap w:val="0"/>
            <w:vAlign w:val="center"/>
          </w:tcPr>
          <w:p w14:paraId="611E244A">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地下水环境</w:t>
            </w:r>
          </w:p>
        </w:tc>
        <w:tc>
          <w:tcPr>
            <w:tcW w:w="2310" w:type="dxa"/>
            <w:tcBorders>
              <w:tl2br w:val="nil"/>
              <w:tr2bl w:val="nil"/>
            </w:tcBorders>
            <w:noWrap w:val="0"/>
            <w:vAlign w:val="center"/>
          </w:tcPr>
          <w:p w14:paraId="2589A90A">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val="en-US" w:eastAsia="zh-CN"/>
              </w:rPr>
              <w:t>三</w:t>
            </w:r>
            <w:r>
              <w:rPr>
                <w:rFonts w:hint="eastAsia"/>
                <w:b w:val="0"/>
                <w:color w:val="auto"/>
                <w:kern w:val="0"/>
                <w:highlight w:val="none"/>
              </w:rPr>
              <w:t>级</w:t>
            </w:r>
          </w:p>
        </w:tc>
        <w:tc>
          <w:tcPr>
            <w:tcW w:w="4466" w:type="dxa"/>
            <w:tcBorders>
              <w:tl2br w:val="nil"/>
              <w:tr2bl w:val="nil"/>
            </w:tcBorders>
            <w:noWrap w:val="0"/>
            <w:vAlign w:val="center"/>
          </w:tcPr>
          <w:p w14:paraId="674B774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val="en-US" w:eastAsia="zh-CN"/>
              </w:rPr>
              <w:t>厂区地下水流向上游1km、两侧各1km、厂区下游2km，</w:t>
            </w:r>
            <w:r>
              <w:rPr>
                <w:rFonts w:hint="eastAsia"/>
                <w:b w:val="0"/>
                <w:color w:val="auto"/>
                <w:kern w:val="0"/>
                <w:highlight w:val="none"/>
              </w:rPr>
              <w:t>面积</w:t>
            </w:r>
            <w:r>
              <w:rPr>
                <w:rFonts w:hint="eastAsia"/>
                <w:b w:val="0"/>
                <w:color w:val="auto"/>
                <w:kern w:val="0"/>
                <w:highlight w:val="none"/>
                <w:lang w:val="en-US" w:eastAsia="zh-CN"/>
              </w:rPr>
              <w:t>为6</w:t>
            </w:r>
            <w:r>
              <w:rPr>
                <w:rFonts w:hint="eastAsia"/>
                <w:b w:val="0"/>
                <w:color w:val="auto"/>
                <w:kern w:val="0"/>
                <w:highlight w:val="none"/>
              </w:rPr>
              <w:t>km</w:t>
            </w:r>
            <w:r>
              <w:rPr>
                <w:rFonts w:hint="eastAsia"/>
                <w:b w:val="0"/>
                <w:color w:val="auto"/>
                <w:kern w:val="0"/>
                <w:highlight w:val="none"/>
                <w:vertAlign w:val="superscript"/>
              </w:rPr>
              <w:t>2</w:t>
            </w:r>
          </w:p>
        </w:tc>
      </w:tr>
      <w:tr w14:paraId="470A1B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3" w:type="dxa"/>
            <w:tcBorders>
              <w:tl2br w:val="nil"/>
              <w:tr2bl w:val="nil"/>
            </w:tcBorders>
            <w:noWrap w:val="0"/>
            <w:vAlign w:val="center"/>
          </w:tcPr>
          <w:p w14:paraId="5CBCABA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地表水环境</w:t>
            </w:r>
          </w:p>
        </w:tc>
        <w:tc>
          <w:tcPr>
            <w:tcW w:w="2310" w:type="dxa"/>
            <w:tcBorders>
              <w:tl2br w:val="nil"/>
              <w:tr2bl w:val="nil"/>
            </w:tcBorders>
            <w:noWrap w:val="0"/>
            <w:vAlign w:val="center"/>
          </w:tcPr>
          <w:p w14:paraId="791B4E9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三级B</w:t>
            </w:r>
          </w:p>
        </w:tc>
        <w:tc>
          <w:tcPr>
            <w:tcW w:w="4466" w:type="dxa"/>
            <w:tcBorders>
              <w:tl2br w:val="nil"/>
              <w:tr2bl w:val="nil"/>
            </w:tcBorders>
            <w:noWrap w:val="0"/>
            <w:vAlign w:val="center"/>
          </w:tcPr>
          <w:p w14:paraId="77FF6E3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不设置评价范围，仅</w:t>
            </w:r>
            <w:r>
              <w:rPr>
                <w:rFonts w:hint="eastAsia"/>
                <w:b w:val="0"/>
                <w:color w:val="auto"/>
                <w:kern w:val="0"/>
                <w:highlight w:val="none"/>
                <w:lang w:val="en-US" w:eastAsia="zh-CN"/>
              </w:rPr>
              <w:t>分析</w:t>
            </w:r>
            <w:r>
              <w:rPr>
                <w:rFonts w:hint="eastAsia"/>
                <w:b w:val="0"/>
                <w:color w:val="auto"/>
                <w:kern w:val="0"/>
                <w:highlight w:val="none"/>
              </w:rPr>
              <w:t>废水处置可行性</w:t>
            </w:r>
          </w:p>
        </w:tc>
      </w:tr>
      <w:tr w14:paraId="187D58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3" w:type="dxa"/>
            <w:tcBorders>
              <w:tl2br w:val="nil"/>
              <w:tr2bl w:val="nil"/>
            </w:tcBorders>
            <w:noWrap w:val="0"/>
            <w:vAlign w:val="center"/>
          </w:tcPr>
          <w:p w14:paraId="2880F30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声环境</w:t>
            </w:r>
          </w:p>
        </w:tc>
        <w:tc>
          <w:tcPr>
            <w:tcW w:w="2310" w:type="dxa"/>
            <w:tcBorders>
              <w:tl2br w:val="nil"/>
              <w:tr2bl w:val="nil"/>
            </w:tcBorders>
            <w:noWrap w:val="0"/>
            <w:vAlign w:val="center"/>
          </w:tcPr>
          <w:p w14:paraId="1644DBE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三级</w:t>
            </w:r>
          </w:p>
        </w:tc>
        <w:tc>
          <w:tcPr>
            <w:tcW w:w="4466" w:type="dxa"/>
            <w:tcBorders>
              <w:tl2br w:val="nil"/>
              <w:tr2bl w:val="nil"/>
            </w:tcBorders>
            <w:noWrap w:val="0"/>
            <w:vAlign w:val="center"/>
          </w:tcPr>
          <w:p w14:paraId="36C55DC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厂界外200m区域</w:t>
            </w:r>
          </w:p>
        </w:tc>
      </w:tr>
      <w:tr w14:paraId="50A97D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3" w:type="dxa"/>
            <w:tcBorders>
              <w:tl2br w:val="nil"/>
              <w:tr2bl w:val="nil"/>
            </w:tcBorders>
            <w:noWrap w:val="0"/>
            <w:vAlign w:val="center"/>
          </w:tcPr>
          <w:p w14:paraId="4C8BCE38">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土壤环境</w:t>
            </w:r>
          </w:p>
        </w:tc>
        <w:tc>
          <w:tcPr>
            <w:tcW w:w="2310" w:type="dxa"/>
            <w:tcBorders>
              <w:tl2br w:val="nil"/>
              <w:tr2bl w:val="nil"/>
            </w:tcBorders>
            <w:noWrap w:val="0"/>
            <w:vAlign w:val="center"/>
          </w:tcPr>
          <w:p w14:paraId="07CC35F7">
            <w:pPr>
              <w:pStyle w:val="199"/>
              <w:autoSpaceDE w:val="0"/>
              <w:autoSpaceDN w:val="0"/>
              <w:spacing w:beforeLines="0" w:line="240" w:lineRule="auto"/>
              <w:ind w:firstLine="0" w:firstLineChars="0"/>
              <w:jc w:val="center"/>
              <w:rPr>
                <w:rFonts w:hint="eastAsia"/>
                <w:b w:val="0"/>
                <w:color w:val="auto"/>
                <w:kern w:val="0"/>
                <w:highlight w:val="none"/>
                <w:lang w:val="en-US" w:eastAsia="zh-CN"/>
              </w:rPr>
            </w:pPr>
            <w:r>
              <w:rPr>
                <w:rFonts w:hint="eastAsia"/>
                <w:b w:val="0"/>
                <w:color w:val="auto"/>
                <w:kern w:val="0"/>
                <w:highlight w:val="none"/>
                <w:lang w:val="en-US" w:eastAsia="zh-CN"/>
              </w:rPr>
              <w:t>污染影响类</w:t>
            </w:r>
          </w:p>
          <w:p w14:paraId="260553E6">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val="en-US" w:eastAsia="zh-CN"/>
              </w:rPr>
              <w:t>三</w:t>
            </w:r>
            <w:r>
              <w:rPr>
                <w:rFonts w:hint="eastAsia"/>
                <w:b w:val="0"/>
                <w:color w:val="auto"/>
                <w:kern w:val="0"/>
                <w:highlight w:val="none"/>
              </w:rPr>
              <w:t>级</w:t>
            </w:r>
          </w:p>
        </w:tc>
        <w:tc>
          <w:tcPr>
            <w:tcW w:w="4466" w:type="dxa"/>
            <w:tcBorders>
              <w:tl2br w:val="nil"/>
              <w:tr2bl w:val="nil"/>
            </w:tcBorders>
            <w:noWrap w:val="0"/>
            <w:vAlign w:val="center"/>
          </w:tcPr>
          <w:p w14:paraId="3F93631C">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厂区占地范围</w:t>
            </w:r>
            <w:r>
              <w:rPr>
                <w:rFonts w:hint="eastAsia"/>
                <w:b w:val="0"/>
                <w:color w:val="auto"/>
                <w:kern w:val="0"/>
                <w:highlight w:val="none"/>
                <w:lang w:val="en-US" w:eastAsia="zh-CN"/>
              </w:rPr>
              <w:t>及厂界外</w:t>
            </w:r>
            <w:r>
              <w:rPr>
                <w:rFonts w:hint="eastAsia"/>
                <w:b w:val="0"/>
                <w:color w:val="auto"/>
                <w:kern w:val="0"/>
                <w:highlight w:val="none"/>
              </w:rPr>
              <w:t>延</w:t>
            </w:r>
            <w:r>
              <w:rPr>
                <w:rFonts w:hint="eastAsia"/>
                <w:b w:val="0"/>
                <w:color w:val="auto"/>
                <w:kern w:val="0"/>
                <w:highlight w:val="none"/>
                <w:lang w:val="en-US" w:eastAsia="zh-CN"/>
              </w:rPr>
              <w:t>50m</w:t>
            </w:r>
            <w:r>
              <w:rPr>
                <w:rFonts w:hint="eastAsia"/>
                <w:b w:val="0"/>
                <w:color w:val="auto"/>
                <w:kern w:val="0"/>
                <w:highlight w:val="none"/>
              </w:rPr>
              <w:t>范围</w:t>
            </w:r>
          </w:p>
        </w:tc>
      </w:tr>
      <w:tr w14:paraId="2F7DA0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3" w:type="dxa"/>
            <w:tcBorders>
              <w:tl2br w:val="nil"/>
              <w:tr2bl w:val="nil"/>
            </w:tcBorders>
            <w:noWrap w:val="0"/>
            <w:vAlign w:val="center"/>
          </w:tcPr>
          <w:p w14:paraId="1E8F85DB">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环境风险</w:t>
            </w:r>
          </w:p>
        </w:tc>
        <w:tc>
          <w:tcPr>
            <w:tcW w:w="2310" w:type="dxa"/>
            <w:tcBorders>
              <w:tl2br w:val="nil"/>
              <w:tr2bl w:val="nil"/>
            </w:tcBorders>
            <w:noWrap w:val="0"/>
            <w:vAlign w:val="center"/>
          </w:tcPr>
          <w:p w14:paraId="02B7AD0A">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简单分析</w:t>
            </w:r>
          </w:p>
        </w:tc>
        <w:tc>
          <w:tcPr>
            <w:tcW w:w="4466" w:type="dxa"/>
            <w:tcBorders>
              <w:tl2br w:val="nil"/>
              <w:tr2bl w:val="nil"/>
            </w:tcBorders>
            <w:noWrap w:val="0"/>
            <w:vAlign w:val="center"/>
          </w:tcPr>
          <w:p w14:paraId="47BA9373">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不设评价范围</w:t>
            </w:r>
          </w:p>
        </w:tc>
      </w:tr>
      <w:tr w14:paraId="2DCD4A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13" w:type="dxa"/>
            <w:tcBorders>
              <w:tl2br w:val="nil"/>
              <w:tr2bl w:val="nil"/>
            </w:tcBorders>
            <w:noWrap w:val="0"/>
            <w:vAlign w:val="center"/>
          </w:tcPr>
          <w:p w14:paraId="1985797B">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生影影响</w:t>
            </w:r>
          </w:p>
        </w:tc>
        <w:tc>
          <w:tcPr>
            <w:tcW w:w="2310" w:type="dxa"/>
            <w:tcBorders>
              <w:tl2br w:val="nil"/>
              <w:tr2bl w:val="nil"/>
            </w:tcBorders>
            <w:noWrap w:val="0"/>
            <w:vAlign w:val="center"/>
          </w:tcPr>
          <w:p w14:paraId="0D26EA41">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简单分析</w:t>
            </w:r>
          </w:p>
        </w:tc>
        <w:tc>
          <w:tcPr>
            <w:tcW w:w="4466" w:type="dxa"/>
            <w:tcBorders>
              <w:tl2br w:val="nil"/>
              <w:tr2bl w:val="nil"/>
            </w:tcBorders>
            <w:noWrap w:val="0"/>
            <w:vAlign w:val="center"/>
          </w:tcPr>
          <w:p w14:paraId="16B339CF">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lang w:val="en-US" w:eastAsia="zh-CN"/>
              </w:rPr>
              <w:t>不设评价范围</w:t>
            </w:r>
          </w:p>
        </w:tc>
      </w:tr>
    </w:tbl>
    <w:p w14:paraId="5CA8E55F">
      <w:pPr>
        <w:pStyle w:val="4"/>
        <w:spacing w:before="120" w:after="120"/>
        <w:rPr>
          <w:color w:val="auto"/>
          <w:highlight w:val="none"/>
        </w:rPr>
      </w:pPr>
      <w:bookmarkStart w:id="61" w:name="_Toc24447605"/>
      <w:bookmarkStart w:id="62" w:name="_Toc9692"/>
      <w:bookmarkStart w:id="63" w:name="_Toc24447074"/>
      <w:bookmarkStart w:id="64" w:name="_Toc24340210"/>
      <w:bookmarkStart w:id="65" w:name="_Toc340667060"/>
      <w:bookmarkStart w:id="66" w:name="_Toc331510731"/>
      <w:bookmarkStart w:id="67" w:name="_Toc346012428"/>
      <w:bookmarkStart w:id="68" w:name="_Toc330824183"/>
      <w:r>
        <w:rPr>
          <w:rFonts w:hint="eastAsia"/>
          <w:color w:val="auto"/>
          <w:highlight w:val="none"/>
        </w:rPr>
        <w:t>主要环境保护目标</w:t>
      </w:r>
      <w:bookmarkEnd w:id="61"/>
      <w:bookmarkEnd w:id="62"/>
      <w:bookmarkEnd w:id="63"/>
      <w:bookmarkEnd w:id="64"/>
    </w:p>
    <w:p w14:paraId="7284F5C9">
      <w:pPr>
        <w:ind w:firstLine="480"/>
        <w:rPr>
          <w:rFonts w:hint="eastAsia"/>
          <w:color w:val="auto"/>
          <w:kern w:val="0"/>
          <w:szCs w:val="20"/>
          <w:highlight w:val="none"/>
          <w:lang w:val="en-US" w:eastAsia="zh-CN"/>
        </w:rPr>
      </w:pPr>
      <w:r>
        <w:rPr>
          <w:rFonts w:hint="eastAsia"/>
          <w:color w:val="auto"/>
          <w:kern w:val="0"/>
          <w:szCs w:val="20"/>
          <w:highlight w:val="none"/>
          <w:lang w:val="en-US" w:eastAsia="zh-CN"/>
        </w:rPr>
        <w:t>本项目位于</w:t>
      </w:r>
      <w:r>
        <w:rPr>
          <w:rFonts w:hint="eastAsia"/>
          <w:color w:val="auto"/>
          <w:highlight w:val="none"/>
          <w:lang w:val="en-US" w:eastAsia="zh-CN"/>
        </w:rPr>
        <w:t>内蒙古锡林郭勒多伦经济开发区内</w:t>
      </w:r>
      <w:r>
        <w:rPr>
          <w:rFonts w:hint="eastAsia"/>
          <w:color w:val="auto"/>
          <w:kern w:val="0"/>
          <w:szCs w:val="20"/>
          <w:highlight w:val="none"/>
          <w:lang w:val="en-US" w:eastAsia="zh-CN"/>
        </w:rPr>
        <w:t>，项目所占土地类型为建设用地，根据现场勘查及收集资料调查可知，本项目厂区大气评价范围内不涉及自然保护区、风景名胜区、居住区、文化区及农村地区中人口较集中分布区域等环境空气保护目标；地下水评价范围内不涉及集中式饮用水源和分散式饮用水源地，所涉及保护对象为评价范围内</w:t>
      </w:r>
      <w:r>
        <w:rPr>
          <w:color w:val="auto"/>
          <w:spacing w:val="-1"/>
          <w:highlight w:val="none"/>
        </w:rPr>
        <w:t>第四系松散岩类孔隙潜水含水层</w:t>
      </w:r>
      <w:r>
        <w:rPr>
          <w:rFonts w:hint="eastAsia"/>
          <w:color w:val="auto"/>
          <w:kern w:val="0"/>
          <w:szCs w:val="20"/>
          <w:highlight w:val="none"/>
          <w:lang w:val="en-US" w:eastAsia="zh-CN"/>
        </w:rPr>
        <w:t>；声环境评价范围内不涉及法律法规规定的声环境保护目标；土壤环境保护目标为厂区范围内土壤及厂区外50m范围内草地、绿化带土壤。</w:t>
      </w:r>
    </w:p>
    <w:p w14:paraId="230DF9D6">
      <w:pPr>
        <w:ind w:firstLine="480"/>
        <w:rPr>
          <w:rFonts w:hint="eastAsia"/>
          <w:color w:val="auto"/>
          <w:kern w:val="0"/>
          <w:szCs w:val="20"/>
          <w:highlight w:val="none"/>
        </w:rPr>
      </w:pPr>
      <w:r>
        <w:rPr>
          <w:rFonts w:hint="eastAsia"/>
          <w:color w:val="auto"/>
          <w:kern w:val="0"/>
          <w:szCs w:val="20"/>
          <w:highlight w:val="none"/>
        </w:rPr>
        <w:t>本项目环境保护目标见下表</w:t>
      </w:r>
      <w:r>
        <w:rPr>
          <w:rFonts w:hint="eastAsia"/>
          <w:color w:val="auto"/>
          <w:kern w:val="0"/>
          <w:szCs w:val="20"/>
          <w:highlight w:val="none"/>
          <w:lang w:val="en-US" w:eastAsia="zh-CN"/>
        </w:rPr>
        <w:t>2.5-1</w:t>
      </w:r>
      <w:r>
        <w:rPr>
          <w:rFonts w:hint="eastAsia"/>
          <w:color w:val="auto"/>
          <w:kern w:val="0"/>
          <w:szCs w:val="20"/>
          <w:highlight w:val="none"/>
        </w:rPr>
        <w:t>和下图</w:t>
      </w:r>
      <w:r>
        <w:rPr>
          <w:rFonts w:hint="eastAsia"/>
          <w:color w:val="auto"/>
          <w:kern w:val="0"/>
          <w:szCs w:val="20"/>
          <w:highlight w:val="none"/>
          <w:lang w:val="en-US" w:eastAsia="zh-CN"/>
        </w:rPr>
        <w:t>2.5-1</w:t>
      </w:r>
      <w:r>
        <w:rPr>
          <w:rFonts w:hint="eastAsia"/>
          <w:color w:val="auto"/>
          <w:kern w:val="0"/>
          <w:szCs w:val="20"/>
          <w:highlight w:val="none"/>
        </w:rPr>
        <w:t>。</w:t>
      </w:r>
    </w:p>
    <w:p w14:paraId="5CFC029C">
      <w:pPr>
        <w:pStyle w:val="40"/>
        <w:rPr>
          <w:rFonts w:hint="eastAsia"/>
          <w:color w:val="auto"/>
          <w:kern w:val="0"/>
          <w:szCs w:val="20"/>
          <w:highlight w:val="none"/>
        </w:rPr>
      </w:pPr>
    </w:p>
    <w:p w14:paraId="3072E316">
      <w:pPr>
        <w:pStyle w:val="17"/>
        <w:rPr>
          <w:rFonts w:hint="eastAsia"/>
          <w:color w:val="auto"/>
          <w:kern w:val="0"/>
          <w:szCs w:val="20"/>
          <w:highlight w:val="none"/>
        </w:rPr>
      </w:pPr>
    </w:p>
    <w:p w14:paraId="46A8CCA3">
      <w:pPr>
        <w:rPr>
          <w:rFonts w:hint="eastAsia"/>
          <w:color w:val="auto"/>
          <w:kern w:val="0"/>
          <w:szCs w:val="20"/>
          <w:highlight w:val="none"/>
        </w:rPr>
      </w:pPr>
    </w:p>
    <w:p w14:paraId="35D33F55">
      <w:pPr>
        <w:pStyle w:val="40"/>
        <w:rPr>
          <w:rFonts w:hint="eastAsia"/>
          <w:color w:val="auto"/>
          <w:kern w:val="0"/>
          <w:szCs w:val="20"/>
          <w:highlight w:val="none"/>
        </w:rPr>
      </w:pPr>
    </w:p>
    <w:p w14:paraId="035BAA7F">
      <w:pPr>
        <w:pStyle w:val="17"/>
        <w:rPr>
          <w:rFonts w:hint="eastAsia"/>
          <w:color w:val="auto"/>
          <w:highlight w:val="none"/>
        </w:rPr>
      </w:pPr>
    </w:p>
    <w:p w14:paraId="0592EBEA">
      <w:pPr>
        <w:pStyle w:val="199"/>
        <w:spacing w:before="120"/>
        <w:rPr>
          <w:rFonts w:hint="eastAsia"/>
          <w:color w:val="auto"/>
          <w:sz w:val="24"/>
          <w:highlight w:val="none"/>
        </w:rPr>
      </w:pPr>
      <w:r>
        <w:rPr>
          <w:rFonts w:hint="eastAsia"/>
          <w:color w:val="auto"/>
          <w:sz w:val="24"/>
          <w:highlight w:val="none"/>
        </w:rPr>
        <w:t xml:space="preserve">表2.5-1 </w:t>
      </w:r>
      <w:r>
        <w:rPr>
          <w:rFonts w:hint="eastAsia"/>
          <w:color w:val="auto"/>
          <w:sz w:val="24"/>
          <w:highlight w:val="none"/>
          <w:lang w:val="en-US" w:eastAsia="zh-CN"/>
        </w:rPr>
        <w:t xml:space="preserve">   </w:t>
      </w:r>
      <w:r>
        <w:rPr>
          <w:rFonts w:hint="eastAsia"/>
          <w:color w:val="auto"/>
          <w:sz w:val="24"/>
          <w:highlight w:val="none"/>
        </w:rPr>
        <w:t>本项目</w:t>
      </w:r>
      <w:r>
        <w:rPr>
          <w:rFonts w:hint="eastAsia"/>
          <w:color w:val="auto"/>
          <w:sz w:val="24"/>
          <w:highlight w:val="none"/>
          <w:lang w:val="en-US" w:eastAsia="zh-CN"/>
        </w:rPr>
        <w:t>环境保护</w:t>
      </w:r>
      <w:r>
        <w:rPr>
          <w:rFonts w:hint="eastAsia"/>
          <w:color w:val="auto"/>
          <w:sz w:val="24"/>
          <w:highlight w:val="none"/>
        </w:rPr>
        <w:t>目标一览表</w:t>
      </w:r>
    </w:p>
    <w:tbl>
      <w:tblPr>
        <w:tblStyle w:val="297"/>
        <w:tblW w:w="8390" w:type="dxa"/>
        <w:tblInd w:w="28"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41"/>
        <w:gridCol w:w="864"/>
        <w:gridCol w:w="1441"/>
        <w:gridCol w:w="789"/>
        <w:gridCol w:w="787"/>
        <w:gridCol w:w="1254"/>
        <w:gridCol w:w="2414"/>
      </w:tblGrid>
      <w:tr w14:paraId="4D3FBC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1" w:type="dxa"/>
            <w:tcBorders>
              <w:tl2br w:val="nil"/>
              <w:tr2bl w:val="nil"/>
            </w:tcBorders>
            <w:noWrap w:val="0"/>
            <w:vAlign w:val="center"/>
          </w:tcPr>
          <w:p w14:paraId="09E8E8B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环境</w:t>
            </w:r>
          </w:p>
          <w:p w14:paraId="1D06F0F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要素</w:t>
            </w:r>
          </w:p>
        </w:tc>
        <w:tc>
          <w:tcPr>
            <w:tcW w:w="864" w:type="dxa"/>
            <w:tcBorders>
              <w:tl2br w:val="nil"/>
              <w:tr2bl w:val="nil"/>
            </w:tcBorders>
            <w:noWrap w:val="0"/>
            <w:vAlign w:val="center"/>
          </w:tcPr>
          <w:p w14:paraId="0B94190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名称</w:t>
            </w:r>
          </w:p>
        </w:tc>
        <w:tc>
          <w:tcPr>
            <w:tcW w:w="1441" w:type="dxa"/>
            <w:tcBorders>
              <w:tl2br w:val="nil"/>
              <w:tr2bl w:val="nil"/>
            </w:tcBorders>
            <w:noWrap w:val="0"/>
            <w:vAlign w:val="center"/>
          </w:tcPr>
          <w:p w14:paraId="01D1A1E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坐标</w:t>
            </w:r>
          </w:p>
        </w:tc>
        <w:tc>
          <w:tcPr>
            <w:tcW w:w="789" w:type="dxa"/>
            <w:tcBorders>
              <w:tl2br w:val="nil"/>
              <w:tr2bl w:val="nil"/>
            </w:tcBorders>
            <w:noWrap w:val="0"/>
            <w:vAlign w:val="center"/>
          </w:tcPr>
          <w:p w14:paraId="6DFF04D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数量/人</w:t>
            </w:r>
          </w:p>
        </w:tc>
        <w:tc>
          <w:tcPr>
            <w:tcW w:w="787" w:type="dxa"/>
            <w:tcBorders>
              <w:tl2br w:val="nil"/>
              <w:tr2bl w:val="nil"/>
            </w:tcBorders>
            <w:noWrap w:val="0"/>
            <w:vAlign w:val="center"/>
          </w:tcPr>
          <w:p w14:paraId="2D261B4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相对厂址方位</w:t>
            </w:r>
          </w:p>
        </w:tc>
        <w:tc>
          <w:tcPr>
            <w:tcW w:w="1254" w:type="dxa"/>
            <w:tcBorders>
              <w:tl2br w:val="nil"/>
              <w:tr2bl w:val="nil"/>
            </w:tcBorders>
            <w:noWrap w:val="0"/>
            <w:vAlign w:val="center"/>
          </w:tcPr>
          <w:p w14:paraId="06010EC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相对厂界最近距离/m</w:t>
            </w:r>
          </w:p>
        </w:tc>
        <w:tc>
          <w:tcPr>
            <w:tcW w:w="2414" w:type="dxa"/>
            <w:tcBorders>
              <w:tl2br w:val="nil"/>
              <w:tr2bl w:val="nil"/>
            </w:tcBorders>
            <w:noWrap w:val="0"/>
            <w:vAlign w:val="center"/>
          </w:tcPr>
          <w:p w14:paraId="6F64E5DF">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执行标准</w:t>
            </w:r>
          </w:p>
        </w:tc>
      </w:tr>
      <w:tr w14:paraId="1A2EDD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1" w:type="dxa"/>
            <w:tcBorders>
              <w:tl2br w:val="nil"/>
              <w:tr2bl w:val="nil"/>
            </w:tcBorders>
            <w:noWrap w:val="0"/>
            <w:vAlign w:val="center"/>
          </w:tcPr>
          <w:p w14:paraId="006736C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环境</w:t>
            </w:r>
          </w:p>
          <w:p w14:paraId="73BA9D6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空气</w:t>
            </w:r>
          </w:p>
        </w:tc>
        <w:tc>
          <w:tcPr>
            <w:tcW w:w="5135" w:type="dxa"/>
            <w:gridSpan w:val="5"/>
            <w:tcBorders>
              <w:tl2br w:val="nil"/>
              <w:tr2bl w:val="nil"/>
            </w:tcBorders>
            <w:noWrap w:val="0"/>
            <w:vAlign w:val="center"/>
          </w:tcPr>
          <w:p w14:paraId="3B3172A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自厂界外延边长5km的矩形区域</w:t>
            </w:r>
            <w:r>
              <w:rPr>
                <w:rFonts w:hint="eastAsia"/>
                <w:b w:val="0"/>
                <w:color w:val="auto"/>
                <w:kern w:val="0"/>
                <w:highlight w:val="none"/>
                <w:lang w:eastAsia="zh-CN"/>
              </w:rPr>
              <w:t>，</w:t>
            </w:r>
            <w:r>
              <w:rPr>
                <w:rFonts w:hint="eastAsia"/>
                <w:b w:val="0"/>
                <w:color w:val="auto"/>
                <w:kern w:val="0"/>
                <w:highlight w:val="none"/>
              </w:rPr>
              <w:t>无敏感目标</w:t>
            </w:r>
          </w:p>
        </w:tc>
        <w:tc>
          <w:tcPr>
            <w:tcW w:w="2414" w:type="dxa"/>
            <w:tcBorders>
              <w:tl2br w:val="nil"/>
              <w:tr2bl w:val="nil"/>
            </w:tcBorders>
            <w:noWrap w:val="0"/>
            <w:vAlign w:val="center"/>
          </w:tcPr>
          <w:p w14:paraId="6E2E85C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《环境空气质量标准》（GB30952012）二级标准</w:t>
            </w:r>
          </w:p>
        </w:tc>
      </w:tr>
      <w:tr w14:paraId="0F82408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1" w:type="dxa"/>
            <w:tcBorders>
              <w:tl2br w:val="nil"/>
              <w:tr2bl w:val="nil"/>
            </w:tcBorders>
            <w:noWrap w:val="0"/>
            <w:vAlign w:val="center"/>
          </w:tcPr>
          <w:p w14:paraId="5AADA91A">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地下水</w:t>
            </w:r>
          </w:p>
          <w:p w14:paraId="3DB162BF">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环境</w:t>
            </w:r>
          </w:p>
        </w:tc>
        <w:tc>
          <w:tcPr>
            <w:tcW w:w="5135" w:type="dxa"/>
            <w:gridSpan w:val="5"/>
            <w:tcBorders>
              <w:tl2br w:val="nil"/>
              <w:tr2bl w:val="nil"/>
            </w:tcBorders>
            <w:noWrap w:val="0"/>
            <w:vAlign w:val="center"/>
          </w:tcPr>
          <w:p w14:paraId="5B9B4AC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评价范围内第四系松散岩类孔隙潜水含水层</w:t>
            </w:r>
          </w:p>
        </w:tc>
        <w:tc>
          <w:tcPr>
            <w:tcW w:w="2414" w:type="dxa"/>
            <w:tcBorders>
              <w:tl2br w:val="nil"/>
              <w:tr2bl w:val="nil"/>
            </w:tcBorders>
            <w:noWrap w:val="0"/>
            <w:vAlign w:val="center"/>
          </w:tcPr>
          <w:p w14:paraId="2F1708B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《地下水质量标准》（GB/T14848-2017）III类标准</w:t>
            </w:r>
          </w:p>
        </w:tc>
      </w:tr>
      <w:tr w14:paraId="6D5727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1" w:type="dxa"/>
            <w:tcBorders>
              <w:tl2br w:val="nil"/>
              <w:tr2bl w:val="nil"/>
            </w:tcBorders>
            <w:noWrap w:val="0"/>
            <w:vAlign w:val="center"/>
          </w:tcPr>
          <w:p w14:paraId="7F6C9E0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声环境</w:t>
            </w:r>
          </w:p>
        </w:tc>
        <w:tc>
          <w:tcPr>
            <w:tcW w:w="5135" w:type="dxa"/>
            <w:gridSpan w:val="5"/>
            <w:tcBorders>
              <w:tl2br w:val="nil"/>
              <w:tr2bl w:val="nil"/>
            </w:tcBorders>
            <w:noWrap w:val="0"/>
            <w:vAlign w:val="center"/>
          </w:tcPr>
          <w:p w14:paraId="0C585B24">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rPr>
              <w:t>厂界四周200m范围</w:t>
            </w:r>
            <w:r>
              <w:rPr>
                <w:rFonts w:hint="eastAsia"/>
                <w:b w:val="0"/>
                <w:color w:val="auto"/>
                <w:kern w:val="0"/>
                <w:highlight w:val="none"/>
                <w:lang w:eastAsia="zh-CN"/>
              </w:rPr>
              <w:t>，</w:t>
            </w:r>
            <w:r>
              <w:rPr>
                <w:rFonts w:hint="eastAsia"/>
                <w:b w:val="0"/>
                <w:color w:val="auto"/>
                <w:kern w:val="0"/>
                <w:highlight w:val="none"/>
                <w:lang w:val="en-US" w:eastAsia="zh-CN"/>
              </w:rPr>
              <w:t>无声环境保护目标</w:t>
            </w:r>
          </w:p>
        </w:tc>
        <w:tc>
          <w:tcPr>
            <w:tcW w:w="2414" w:type="dxa"/>
            <w:tcBorders>
              <w:tl2br w:val="nil"/>
              <w:tr2bl w:val="nil"/>
            </w:tcBorders>
            <w:noWrap w:val="0"/>
            <w:vAlign w:val="center"/>
          </w:tcPr>
          <w:p w14:paraId="58D6043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《声环境质量标准》（GB3096-2008）3类</w:t>
            </w:r>
          </w:p>
        </w:tc>
      </w:tr>
      <w:tr w14:paraId="4E0073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1" w:type="dxa"/>
            <w:vMerge w:val="restart"/>
            <w:tcBorders>
              <w:tl2br w:val="nil"/>
              <w:tr2bl w:val="nil"/>
            </w:tcBorders>
            <w:noWrap w:val="0"/>
            <w:vAlign w:val="center"/>
          </w:tcPr>
          <w:p w14:paraId="755119B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土壤</w:t>
            </w:r>
          </w:p>
          <w:p w14:paraId="01DF686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环境</w:t>
            </w:r>
          </w:p>
        </w:tc>
        <w:tc>
          <w:tcPr>
            <w:tcW w:w="5135" w:type="dxa"/>
            <w:gridSpan w:val="5"/>
            <w:tcBorders>
              <w:tl2br w:val="nil"/>
              <w:tr2bl w:val="nil"/>
            </w:tcBorders>
            <w:noWrap w:val="0"/>
            <w:vAlign w:val="center"/>
          </w:tcPr>
          <w:p w14:paraId="578223AE">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厂区范围内土壤</w:t>
            </w:r>
          </w:p>
        </w:tc>
        <w:tc>
          <w:tcPr>
            <w:tcW w:w="2414" w:type="dxa"/>
            <w:tcBorders>
              <w:tl2br w:val="nil"/>
              <w:tr2bl w:val="nil"/>
            </w:tcBorders>
            <w:noWrap w:val="0"/>
            <w:vAlign w:val="center"/>
          </w:tcPr>
          <w:p w14:paraId="13562DF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《土壤环境质量—建设用地土壤污染风险管控标准（试行）》（GB36600-2018）</w:t>
            </w:r>
            <w:r>
              <w:rPr>
                <w:rFonts w:hint="eastAsia"/>
                <w:b w:val="0"/>
                <w:color w:val="auto"/>
                <w:kern w:val="0"/>
                <w:highlight w:val="none"/>
                <w:lang w:val="en-US" w:eastAsia="zh-CN"/>
              </w:rPr>
              <w:t>第二类用地</w:t>
            </w:r>
            <w:r>
              <w:rPr>
                <w:rFonts w:hint="eastAsia"/>
                <w:b w:val="0"/>
                <w:color w:val="auto"/>
                <w:kern w:val="0"/>
                <w:highlight w:val="none"/>
              </w:rPr>
              <w:t>的筛选值</w:t>
            </w:r>
          </w:p>
        </w:tc>
      </w:tr>
      <w:tr w14:paraId="29F2F3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1" w:type="dxa"/>
            <w:vMerge w:val="continue"/>
            <w:tcBorders>
              <w:tl2br w:val="nil"/>
              <w:tr2bl w:val="nil"/>
            </w:tcBorders>
            <w:noWrap w:val="0"/>
            <w:vAlign w:val="center"/>
          </w:tcPr>
          <w:p w14:paraId="1281D0E3">
            <w:pPr>
              <w:pStyle w:val="199"/>
              <w:autoSpaceDE w:val="0"/>
              <w:autoSpaceDN w:val="0"/>
              <w:spacing w:beforeLines="0" w:line="240" w:lineRule="auto"/>
              <w:jc w:val="center"/>
              <w:rPr>
                <w:rFonts w:hint="eastAsia"/>
                <w:b w:val="0"/>
                <w:color w:val="auto"/>
                <w:kern w:val="0"/>
                <w:highlight w:val="none"/>
              </w:rPr>
            </w:pPr>
          </w:p>
        </w:tc>
        <w:tc>
          <w:tcPr>
            <w:tcW w:w="5135" w:type="dxa"/>
            <w:gridSpan w:val="5"/>
            <w:tcBorders>
              <w:tl2br w:val="nil"/>
              <w:tr2bl w:val="nil"/>
            </w:tcBorders>
            <w:noWrap w:val="0"/>
            <w:vAlign w:val="center"/>
          </w:tcPr>
          <w:p w14:paraId="20B26923">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厂区外50范围内草地土壤</w:t>
            </w:r>
          </w:p>
        </w:tc>
        <w:tc>
          <w:tcPr>
            <w:tcW w:w="2414" w:type="dxa"/>
            <w:tcBorders>
              <w:tl2br w:val="nil"/>
              <w:tr2bl w:val="nil"/>
            </w:tcBorders>
            <w:noWrap w:val="0"/>
            <w:vAlign w:val="center"/>
          </w:tcPr>
          <w:p w14:paraId="509D26D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《土壤环境质量农用地土壤污染风险管控标准（试行）》(GB15618-2018)的筛选值</w:t>
            </w:r>
          </w:p>
        </w:tc>
      </w:tr>
    </w:tbl>
    <w:p w14:paraId="57DA7D7E">
      <w:pPr>
        <w:pStyle w:val="99"/>
        <w:spacing w:after="120"/>
        <w:rPr>
          <w:color w:val="auto"/>
          <w:highlight w:val="none"/>
        </w:rPr>
        <w:sectPr>
          <w:headerReference r:id="rId21" w:type="default"/>
          <w:footerReference r:id="rId22"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26" w:charSpace="0"/>
        </w:sectPr>
      </w:pPr>
    </w:p>
    <w:p w14:paraId="0AC984F9">
      <w:pPr>
        <w:ind w:firstLine="482"/>
        <w:jc w:val="center"/>
        <w:rPr>
          <w:rFonts w:hint="eastAsia" w:eastAsia="宋体"/>
          <w:b/>
          <w:bCs/>
          <w:color w:val="auto"/>
          <w:highlight w:val="none"/>
          <w:lang w:eastAsia="zh-CN"/>
        </w:rPr>
      </w:pPr>
      <w:r>
        <w:rPr>
          <w:rFonts w:hint="eastAsia" w:eastAsia="宋体"/>
          <w:b/>
          <w:bCs/>
          <w:color w:val="auto"/>
          <w:highlight w:val="none"/>
          <w:lang w:eastAsia="zh-CN"/>
        </w:rPr>
        <w:drawing>
          <wp:inline distT="0" distB="0" distL="114300" distR="114300">
            <wp:extent cx="7587615" cy="4968875"/>
            <wp:effectExtent l="0" t="0" r="13335" b="3175"/>
            <wp:docPr id="6" name="图片 25" descr="大气、地下水评价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大气、地下水评价范围图"/>
                    <pic:cNvPicPr>
                      <a:picLocks noChangeAspect="1"/>
                    </pic:cNvPicPr>
                  </pic:nvPicPr>
                  <pic:blipFill>
                    <a:blip r:embed="rId31"/>
                    <a:stretch>
                      <a:fillRect/>
                    </a:stretch>
                  </pic:blipFill>
                  <pic:spPr>
                    <a:xfrm>
                      <a:off x="0" y="0"/>
                      <a:ext cx="7587615" cy="4968875"/>
                    </a:xfrm>
                    <a:prstGeom prst="rect">
                      <a:avLst/>
                    </a:prstGeom>
                    <a:noFill/>
                    <a:ln>
                      <a:noFill/>
                    </a:ln>
                  </pic:spPr>
                </pic:pic>
              </a:graphicData>
            </a:graphic>
          </wp:inline>
        </w:drawing>
      </w:r>
    </w:p>
    <w:p w14:paraId="6F7A4D4D">
      <w:pPr>
        <w:pStyle w:val="40"/>
        <w:jc w:val="center"/>
        <w:rPr>
          <w:rFonts w:hint="eastAsia" w:ascii="Times New Roman" w:hAnsi="Times New Roman" w:eastAsia="宋体" w:cs="Times New Roman"/>
          <w:b/>
          <w:color w:val="auto"/>
          <w:kern w:val="2"/>
          <w:sz w:val="21"/>
          <w:szCs w:val="22"/>
          <w:highlight w:val="none"/>
          <w:lang w:val="en-US" w:eastAsia="zh-CN" w:bidi="ar-SA"/>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b/>
          <w:color w:val="auto"/>
          <w:kern w:val="2"/>
          <w:sz w:val="21"/>
          <w:szCs w:val="22"/>
          <w:highlight w:val="none"/>
          <w:lang w:val="en-US" w:eastAsia="zh-CN" w:bidi="ar-SA"/>
        </w:rPr>
        <w:t>图2.5 -1  本项目</w:t>
      </w:r>
      <w:r>
        <w:rPr>
          <w:rFonts w:hint="eastAsia" w:cs="Times New Roman"/>
          <w:b/>
          <w:color w:val="auto"/>
          <w:kern w:val="2"/>
          <w:sz w:val="21"/>
          <w:szCs w:val="22"/>
          <w:highlight w:val="none"/>
          <w:lang w:val="en-US" w:eastAsia="zh-CN" w:bidi="ar-SA"/>
        </w:rPr>
        <w:t>各要素</w:t>
      </w:r>
      <w:r>
        <w:rPr>
          <w:rFonts w:hint="eastAsia" w:ascii="Times New Roman" w:hAnsi="Times New Roman" w:eastAsia="宋体" w:cs="Times New Roman"/>
          <w:b/>
          <w:color w:val="auto"/>
          <w:kern w:val="2"/>
          <w:sz w:val="21"/>
          <w:szCs w:val="22"/>
          <w:highlight w:val="none"/>
          <w:lang w:val="en-US" w:eastAsia="zh-CN" w:bidi="ar-SA"/>
        </w:rPr>
        <w:t>评价范围</w:t>
      </w:r>
      <w:r>
        <w:rPr>
          <w:rFonts w:hint="eastAsia" w:cs="Times New Roman"/>
          <w:b/>
          <w:color w:val="auto"/>
          <w:kern w:val="2"/>
          <w:sz w:val="21"/>
          <w:szCs w:val="22"/>
          <w:highlight w:val="none"/>
          <w:lang w:val="en-US" w:eastAsia="zh-CN" w:bidi="ar-SA"/>
        </w:rPr>
        <w:t>及环境保护目标</w:t>
      </w:r>
      <w:r>
        <w:rPr>
          <w:rFonts w:hint="eastAsia" w:ascii="Times New Roman" w:hAnsi="Times New Roman" w:eastAsia="宋体" w:cs="Times New Roman"/>
          <w:b/>
          <w:color w:val="auto"/>
          <w:kern w:val="2"/>
          <w:sz w:val="21"/>
          <w:szCs w:val="22"/>
          <w:highlight w:val="none"/>
          <w:lang w:val="en-US" w:eastAsia="zh-CN" w:bidi="ar-SA"/>
        </w:rPr>
        <w:t>图</w:t>
      </w:r>
    </w:p>
    <w:bookmarkEnd w:id="65"/>
    <w:bookmarkEnd w:id="66"/>
    <w:bookmarkEnd w:id="67"/>
    <w:bookmarkEnd w:id="68"/>
    <w:p w14:paraId="416CC630">
      <w:pPr>
        <w:pStyle w:val="3"/>
        <w:spacing w:before="120" w:after="120"/>
        <w:rPr>
          <w:rFonts w:hint="eastAsia"/>
          <w:color w:val="auto"/>
          <w:highlight w:val="none"/>
        </w:rPr>
      </w:pPr>
      <w:bookmarkStart w:id="69" w:name="_Toc29231"/>
      <w:bookmarkStart w:id="70" w:name="_Toc24447080"/>
      <w:r>
        <w:rPr>
          <w:rFonts w:hint="eastAsia"/>
          <w:color w:val="auto"/>
          <w:highlight w:val="none"/>
          <w:lang w:val="en-US" w:eastAsia="zh-CN"/>
        </w:rPr>
        <w:t>项目概况及工程分析</w:t>
      </w:r>
      <w:bookmarkEnd w:id="69"/>
    </w:p>
    <w:bookmarkEnd w:id="70"/>
    <w:p w14:paraId="11B62903">
      <w:pPr>
        <w:pStyle w:val="4"/>
        <w:spacing w:before="120" w:after="120"/>
        <w:rPr>
          <w:rFonts w:hint="eastAsia"/>
          <w:color w:val="auto"/>
          <w:highlight w:val="none"/>
        </w:rPr>
      </w:pPr>
      <w:bookmarkStart w:id="71" w:name="_Toc12786"/>
      <w:r>
        <w:rPr>
          <w:rFonts w:hint="eastAsia"/>
          <w:color w:val="auto"/>
          <w:highlight w:val="none"/>
          <w:lang w:val="en-US" w:eastAsia="zh-CN"/>
        </w:rPr>
        <w:t>项目基本概况</w:t>
      </w:r>
      <w:bookmarkEnd w:id="71"/>
    </w:p>
    <w:p w14:paraId="3380C3EF">
      <w:pPr>
        <w:ind w:firstLine="482"/>
        <w:rPr>
          <w:color w:val="auto"/>
          <w:highlight w:val="none"/>
        </w:rPr>
      </w:pPr>
      <w:r>
        <w:rPr>
          <w:rFonts w:hint="eastAsia"/>
          <w:b/>
          <w:color w:val="auto"/>
          <w:highlight w:val="none"/>
        </w:rPr>
        <w:t>项目名称：</w:t>
      </w:r>
      <w:r>
        <w:rPr>
          <w:rFonts w:hint="eastAsia"/>
          <w:color w:val="auto"/>
          <w:highlight w:val="none"/>
          <w:lang w:val="en-US" w:eastAsia="zh-CN"/>
        </w:rPr>
        <w:t>多伦县捷百顺新材料有限责任公司年处理30万吨萤石选矿项目</w:t>
      </w:r>
    </w:p>
    <w:p w14:paraId="09C747DE">
      <w:pPr>
        <w:ind w:firstLine="482"/>
        <w:rPr>
          <w:color w:val="auto"/>
          <w:highlight w:val="none"/>
        </w:rPr>
      </w:pPr>
      <w:r>
        <w:rPr>
          <w:rFonts w:hint="eastAsia"/>
          <w:b/>
          <w:color w:val="auto"/>
          <w:highlight w:val="none"/>
        </w:rPr>
        <w:t>项目性质：</w:t>
      </w:r>
      <w:r>
        <w:rPr>
          <w:rFonts w:hint="eastAsia"/>
          <w:color w:val="auto"/>
          <w:highlight w:val="none"/>
          <w:lang w:val="en-US" w:eastAsia="zh-CN"/>
        </w:rPr>
        <w:t>新</w:t>
      </w:r>
      <w:r>
        <w:rPr>
          <w:rFonts w:hint="eastAsia"/>
          <w:color w:val="auto"/>
          <w:highlight w:val="none"/>
        </w:rPr>
        <w:t>建</w:t>
      </w:r>
    </w:p>
    <w:p w14:paraId="46A9E378">
      <w:pPr>
        <w:ind w:firstLine="482"/>
        <w:rPr>
          <w:color w:val="auto"/>
          <w:highlight w:val="none"/>
        </w:rPr>
      </w:pPr>
      <w:r>
        <w:rPr>
          <w:rFonts w:hint="eastAsia"/>
          <w:b/>
          <w:color w:val="auto"/>
          <w:highlight w:val="none"/>
        </w:rPr>
        <w:t>建设单位</w:t>
      </w:r>
      <w:r>
        <w:rPr>
          <w:rFonts w:hint="eastAsia"/>
          <w:color w:val="auto"/>
          <w:highlight w:val="none"/>
        </w:rPr>
        <w:t>：</w:t>
      </w:r>
      <w:r>
        <w:rPr>
          <w:rFonts w:hint="eastAsia"/>
          <w:color w:val="auto"/>
          <w:highlight w:val="none"/>
          <w:lang w:val="en-US" w:eastAsia="zh-CN"/>
        </w:rPr>
        <w:t>多伦县捷百顺新材料有限责任公司</w:t>
      </w:r>
    </w:p>
    <w:p w14:paraId="3039EC70">
      <w:pPr>
        <w:pStyle w:val="17"/>
        <w:spacing w:line="360" w:lineRule="auto"/>
        <w:ind w:firstLine="482" w:firstLineChars="200"/>
        <w:rPr>
          <w:color w:val="auto"/>
          <w:highlight w:val="none"/>
        </w:rPr>
      </w:pPr>
      <w:r>
        <w:rPr>
          <w:rFonts w:hint="eastAsia"/>
          <w:b/>
          <w:color w:val="auto"/>
          <w:highlight w:val="none"/>
        </w:rPr>
        <w:t>建设地点：</w:t>
      </w:r>
      <w:r>
        <w:rPr>
          <w:rFonts w:hint="eastAsia"/>
          <w:b w:val="0"/>
          <w:bCs/>
          <w:color w:val="auto"/>
          <w:highlight w:val="none"/>
          <w:lang w:val="en-US" w:eastAsia="zh-CN"/>
        </w:rPr>
        <w:t>本项目</w:t>
      </w:r>
      <w:r>
        <w:rPr>
          <w:rFonts w:hint="eastAsia"/>
          <w:color w:val="auto"/>
          <w:highlight w:val="none"/>
          <w:lang w:val="en-US" w:eastAsia="zh-CN"/>
        </w:rPr>
        <w:t>位于内蒙古锡林郭勒多伦经济开发区内多伦县隆盛新型建材有限公司盟东水泥厂院内</w:t>
      </w:r>
      <w:r>
        <w:rPr>
          <w:rFonts w:hint="eastAsia"/>
          <w:color w:val="auto"/>
          <w:highlight w:val="none"/>
        </w:rPr>
        <w:t>，</w:t>
      </w:r>
      <w:r>
        <w:rPr>
          <w:rFonts w:hint="eastAsia" w:ascii="Times New Roman"/>
          <w:color w:val="auto"/>
          <w:spacing w:val="6"/>
          <w:highlight w:val="none"/>
        </w:rPr>
        <w:t>本项目</w:t>
      </w:r>
      <w:r>
        <w:rPr>
          <w:rFonts w:hint="eastAsia" w:ascii="Times New Roman"/>
          <w:color w:val="auto"/>
          <w:spacing w:val="6"/>
          <w:highlight w:val="none"/>
          <w:lang w:val="en-US" w:eastAsia="zh-CN"/>
        </w:rPr>
        <w:t>厂区中心</w:t>
      </w:r>
      <w:r>
        <w:rPr>
          <w:rFonts w:hint="eastAsia" w:ascii="Times New Roman"/>
          <w:color w:val="auto"/>
          <w:spacing w:val="6"/>
          <w:highlight w:val="none"/>
        </w:rPr>
        <w:t>地理坐标为</w:t>
      </w:r>
      <w:r>
        <w:rPr>
          <w:rFonts w:ascii="Times New Roman"/>
          <w:color w:val="auto"/>
          <w:spacing w:val="6"/>
          <w:highlight w:val="none"/>
        </w:rPr>
        <w:t>N39</w:t>
      </w:r>
      <w:r>
        <w:rPr>
          <w:rFonts w:hint="eastAsia" w:ascii="Times New Roman"/>
          <w:color w:val="auto"/>
          <w:spacing w:val="6"/>
          <w:highlight w:val="none"/>
        </w:rPr>
        <w:t>°26′</w:t>
      </w:r>
      <w:r>
        <w:rPr>
          <w:rFonts w:ascii="Times New Roman"/>
          <w:color w:val="auto"/>
          <w:spacing w:val="6"/>
          <w:highlight w:val="none"/>
        </w:rPr>
        <w:t>2</w:t>
      </w:r>
      <w:r>
        <w:rPr>
          <w:rFonts w:hint="eastAsia" w:ascii="Times New Roman"/>
          <w:color w:val="auto"/>
          <w:spacing w:val="6"/>
          <w:highlight w:val="none"/>
        </w:rPr>
        <w:t>6</w:t>
      </w:r>
      <w:r>
        <w:rPr>
          <w:rFonts w:ascii="Times New Roman"/>
          <w:color w:val="auto"/>
          <w:spacing w:val="6"/>
          <w:highlight w:val="none"/>
        </w:rPr>
        <w:t>.4</w:t>
      </w:r>
      <w:r>
        <w:rPr>
          <w:rFonts w:hint="eastAsia" w:ascii="Times New Roman"/>
          <w:color w:val="auto"/>
          <w:spacing w:val="6"/>
          <w:highlight w:val="none"/>
        </w:rPr>
        <w:t>0″，</w:t>
      </w:r>
      <w:r>
        <w:rPr>
          <w:rFonts w:ascii="Times New Roman"/>
          <w:color w:val="auto"/>
          <w:spacing w:val="6"/>
          <w:highlight w:val="none"/>
        </w:rPr>
        <w:t>E106</w:t>
      </w:r>
      <w:r>
        <w:rPr>
          <w:rFonts w:hint="eastAsia" w:ascii="Times New Roman"/>
          <w:color w:val="auto"/>
          <w:spacing w:val="6"/>
          <w:highlight w:val="none"/>
        </w:rPr>
        <w:t>°41′19.14″，本项目地理位置图见图</w:t>
      </w:r>
      <w:r>
        <w:rPr>
          <w:rFonts w:ascii="Times New Roman"/>
          <w:color w:val="auto"/>
          <w:spacing w:val="6"/>
          <w:highlight w:val="none"/>
        </w:rPr>
        <w:t>3.</w:t>
      </w:r>
      <w:r>
        <w:rPr>
          <w:rFonts w:hint="eastAsia" w:ascii="Times New Roman"/>
          <w:color w:val="auto"/>
          <w:spacing w:val="6"/>
          <w:highlight w:val="none"/>
          <w:lang w:val="en-US" w:eastAsia="zh-CN"/>
        </w:rPr>
        <w:t>1</w:t>
      </w:r>
      <w:r>
        <w:rPr>
          <w:rFonts w:ascii="Times New Roman"/>
          <w:color w:val="auto"/>
          <w:spacing w:val="6"/>
          <w:highlight w:val="none"/>
        </w:rPr>
        <w:t>-1</w:t>
      </w:r>
      <w:r>
        <w:rPr>
          <w:rFonts w:hint="eastAsia" w:ascii="Times New Roman"/>
          <w:color w:val="auto"/>
          <w:spacing w:val="6"/>
          <w:highlight w:val="none"/>
          <w:lang w:eastAsia="zh-CN"/>
        </w:rPr>
        <w:t>。</w:t>
      </w:r>
      <w:r>
        <w:rPr>
          <w:rFonts w:hint="eastAsia" w:ascii="Times New Roman"/>
          <w:color w:val="auto"/>
          <w:spacing w:val="6"/>
          <w:highlight w:val="none"/>
          <w:lang w:val="en-US" w:eastAsia="zh-CN"/>
        </w:rPr>
        <w:t>本项目</w:t>
      </w:r>
      <w:r>
        <w:rPr>
          <w:rFonts w:hint="eastAsia" w:ascii="Arial" w:hAnsi="Arial" w:eastAsia="宋体" w:cs="Arial"/>
          <w:color w:val="auto"/>
          <w:kern w:val="0"/>
          <w:sz w:val="24"/>
          <w:szCs w:val="24"/>
          <w:highlight w:val="none"/>
          <w:lang w:val="en-US" w:eastAsia="zh-CN" w:bidi="ar"/>
        </w:rPr>
        <w:t>厂区东侧紧邻绿化带</w:t>
      </w:r>
      <w:r>
        <w:rPr>
          <w:rFonts w:hint="eastAsia" w:ascii="Arial" w:hAnsi="Arial" w:cs="Arial"/>
          <w:color w:val="auto"/>
          <w:kern w:val="0"/>
          <w:sz w:val="24"/>
          <w:szCs w:val="24"/>
          <w:highlight w:val="none"/>
          <w:lang w:val="en-US" w:eastAsia="zh-CN" w:bidi="ar"/>
        </w:rPr>
        <w:t>林地</w:t>
      </w:r>
      <w:r>
        <w:rPr>
          <w:rFonts w:hint="eastAsia" w:ascii="Arial" w:hAnsi="Arial" w:eastAsia="宋体" w:cs="Arial"/>
          <w:color w:val="auto"/>
          <w:kern w:val="0"/>
          <w:sz w:val="24"/>
          <w:szCs w:val="24"/>
          <w:highlight w:val="none"/>
          <w:lang w:val="en-US" w:eastAsia="zh-CN" w:bidi="ar"/>
        </w:rPr>
        <w:t>，</w:t>
      </w:r>
      <w:r>
        <w:rPr>
          <w:rFonts w:hint="eastAsia" w:ascii="Arial" w:hAnsi="Arial" w:cs="Arial"/>
          <w:color w:val="auto"/>
          <w:kern w:val="0"/>
          <w:sz w:val="24"/>
          <w:szCs w:val="24"/>
          <w:highlight w:val="none"/>
          <w:lang w:val="en-US" w:eastAsia="zh-CN" w:bidi="ar"/>
        </w:rPr>
        <w:t>南侧为园区道路、西</w:t>
      </w:r>
      <w:r>
        <w:rPr>
          <w:rFonts w:hint="eastAsia" w:ascii="Arial" w:hAnsi="Arial" w:eastAsia="宋体" w:cs="Arial"/>
          <w:color w:val="auto"/>
          <w:kern w:val="0"/>
          <w:sz w:val="24"/>
          <w:szCs w:val="24"/>
          <w:highlight w:val="none"/>
          <w:lang w:val="en-US" w:eastAsia="zh-CN" w:bidi="ar"/>
        </w:rPr>
        <w:t>南侧</w:t>
      </w:r>
      <w:r>
        <w:rPr>
          <w:rFonts w:hint="eastAsia" w:ascii="Arial" w:hAnsi="Arial" w:cs="Arial"/>
          <w:color w:val="auto"/>
          <w:kern w:val="0"/>
          <w:sz w:val="24"/>
          <w:szCs w:val="24"/>
          <w:highlight w:val="none"/>
          <w:lang w:val="en-US" w:eastAsia="zh-CN" w:bidi="ar"/>
        </w:rPr>
        <w:t>为内蒙古雁大新能源科技有限公司厂区、</w:t>
      </w:r>
      <w:r>
        <w:rPr>
          <w:rFonts w:hint="eastAsia" w:ascii="Arial" w:hAnsi="Arial" w:eastAsia="宋体" w:cs="Arial"/>
          <w:color w:val="auto"/>
          <w:kern w:val="0"/>
          <w:sz w:val="24"/>
          <w:szCs w:val="24"/>
          <w:highlight w:val="none"/>
          <w:lang w:val="en-US" w:eastAsia="zh-CN" w:bidi="ar"/>
        </w:rPr>
        <w:t>西侧与多伦县盟东水泥厂相邻</w:t>
      </w:r>
      <w:r>
        <w:rPr>
          <w:rFonts w:hint="eastAsia" w:ascii="Arial" w:hAnsi="Arial" w:cs="Arial"/>
          <w:color w:val="auto"/>
          <w:kern w:val="0"/>
          <w:sz w:val="24"/>
          <w:szCs w:val="24"/>
          <w:highlight w:val="none"/>
          <w:lang w:val="en-US" w:eastAsia="zh-CN" w:bidi="ar"/>
        </w:rPr>
        <w:t>、</w:t>
      </w:r>
      <w:r>
        <w:rPr>
          <w:rFonts w:hint="eastAsia" w:ascii="Arial" w:hAnsi="Arial" w:eastAsia="宋体" w:cs="Arial"/>
          <w:color w:val="auto"/>
          <w:kern w:val="0"/>
          <w:sz w:val="24"/>
          <w:szCs w:val="24"/>
          <w:highlight w:val="none"/>
          <w:lang w:val="en-US" w:eastAsia="zh-CN" w:bidi="ar"/>
        </w:rPr>
        <w:t>北侧为</w:t>
      </w:r>
      <w:r>
        <w:rPr>
          <w:rFonts w:hint="eastAsia" w:ascii="Arial" w:hAnsi="Arial" w:cs="Arial"/>
          <w:color w:val="auto"/>
          <w:kern w:val="0"/>
          <w:sz w:val="24"/>
          <w:szCs w:val="24"/>
          <w:highlight w:val="none"/>
          <w:lang w:val="en-US" w:eastAsia="zh-CN" w:bidi="ar"/>
        </w:rPr>
        <w:t>草地</w:t>
      </w:r>
      <w:r>
        <w:rPr>
          <w:rFonts w:hint="eastAsia" w:ascii="Times New Roman"/>
          <w:color w:val="auto"/>
          <w:spacing w:val="6"/>
          <w:highlight w:val="none"/>
        </w:rPr>
        <w:t>。</w:t>
      </w:r>
      <w:r>
        <w:rPr>
          <w:rFonts w:hint="eastAsia" w:ascii="Times New Roman"/>
          <w:color w:val="auto"/>
          <w:spacing w:val="6"/>
          <w:highlight w:val="none"/>
          <w:lang w:val="en-US" w:eastAsia="zh-CN"/>
        </w:rPr>
        <w:t>本项目周边环境</w:t>
      </w:r>
      <w:r>
        <w:rPr>
          <w:rFonts w:hint="eastAsia" w:ascii="Times New Roman"/>
          <w:color w:val="auto"/>
          <w:spacing w:val="6"/>
          <w:highlight w:val="none"/>
        </w:rPr>
        <w:t>四邻关系见图</w:t>
      </w:r>
      <w:r>
        <w:rPr>
          <w:rFonts w:ascii="Times New Roman"/>
          <w:color w:val="auto"/>
          <w:spacing w:val="6"/>
          <w:highlight w:val="none"/>
        </w:rPr>
        <w:t>3.</w:t>
      </w:r>
      <w:r>
        <w:rPr>
          <w:rFonts w:hint="eastAsia" w:ascii="Times New Roman"/>
          <w:color w:val="auto"/>
          <w:spacing w:val="6"/>
          <w:highlight w:val="none"/>
          <w:lang w:val="en-US" w:eastAsia="zh-CN"/>
        </w:rPr>
        <w:t>1</w:t>
      </w:r>
      <w:r>
        <w:rPr>
          <w:rFonts w:ascii="Times New Roman"/>
          <w:color w:val="auto"/>
          <w:spacing w:val="6"/>
          <w:highlight w:val="none"/>
        </w:rPr>
        <w:t>-</w:t>
      </w:r>
      <w:r>
        <w:rPr>
          <w:rFonts w:hint="eastAsia" w:ascii="Times New Roman"/>
          <w:color w:val="auto"/>
          <w:spacing w:val="6"/>
          <w:highlight w:val="none"/>
        </w:rPr>
        <w:t>2</w:t>
      </w:r>
      <w:r>
        <w:rPr>
          <w:rFonts w:hint="eastAsia" w:ascii="Times New Roman"/>
          <w:color w:val="auto"/>
          <w:spacing w:val="6"/>
          <w:highlight w:val="none"/>
          <w:lang w:val="en-US" w:eastAsia="zh-CN"/>
        </w:rPr>
        <w:t>和图3.1-3</w:t>
      </w:r>
      <w:r>
        <w:rPr>
          <w:rFonts w:hint="eastAsia" w:ascii="Times New Roman"/>
          <w:color w:val="auto"/>
          <w:spacing w:val="6"/>
          <w:highlight w:val="none"/>
        </w:rPr>
        <w:t>。</w:t>
      </w:r>
    </w:p>
    <w:p w14:paraId="07B26B16">
      <w:pPr>
        <w:pStyle w:val="17"/>
        <w:spacing w:line="360" w:lineRule="auto"/>
        <w:ind w:firstLine="506" w:firstLineChars="200"/>
        <w:rPr>
          <w:color w:val="auto"/>
          <w:highlight w:val="none"/>
        </w:rPr>
      </w:pPr>
      <w:r>
        <w:rPr>
          <w:rFonts w:hint="eastAsia" w:ascii="Times New Roman"/>
          <w:b/>
          <w:color w:val="auto"/>
          <w:spacing w:val="6"/>
          <w:highlight w:val="none"/>
        </w:rPr>
        <w:t>项目占地：</w:t>
      </w:r>
      <w:r>
        <w:rPr>
          <w:rFonts w:hint="eastAsia" w:ascii="Times New Roman"/>
          <w:b w:val="0"/>
          <w:bCs/>
          <w:color w:val="auto"/>
          <w:spacing w:val="6"/>
          <w:highlight w:val="none"/>
          <w:lang w:val="en-US" w:eastAsia="zh-CN"/>
        </w:rPr>
        <w:t>本项目租赁</w:t>
      </w:r>
      <w:r>
        <w:rPr>
          <w:rFonts w:hint="eastAsia"/>
          <w:color w:val="auto"/>
          <w:highlight w:val="none"/>
          <w:lang w:val="en-US" w:eastAsia="zh-CN"/>
        </w:rPr>
        <w:t>多伦县隆盛新型建材有限公司盟东水泥厂闲置土地（附件3），</w:t>
      </w:r>
      <w:r>
        <w:rPr>
          <w:rFonts w:hint="eastAsia"/>
          <w:color w:val="auto"/>
          <w:highlight w:val="none"/>
        </w:rPr>
        <w:t>本项</w:t>
      </w:r>
      <w:r>
        <w:rPr>
          <w:rFonts w:hint="eastAsia" w:ascii="Times New Roman"/>
          <w:color w:val="auto"/>
          <w:spacing w:val="6"/>
          <w:highlight w:val="none"/>
        </w:rPr>
        <w:t>目</w:t>
      </w:r>
      <w:r>
        <w:rPr>
          <w:rFonts w:hint="eastAsia"/>
          <w:color w:val="auto"/>
          <w:highlight w:val="none"/>
        </w:rPr>
        <w:t>占地面积</w:t>
      </w:r>
      <w:r>
        <w:rPr>
          <w:rFonts w:hint="eastAsia"/>
          <w:color w:val="auto"/>
          <w:highlight w:val="none"/>
          <w:lang w:val="en-US" w:eastAsia="zh-CN"/>
        </w:rPr>
        <w:t>约25</w:t>
      </w:r>
      <w:r>
        <w:rPr>
          <w:rFonts w:hint="eastAsia"/>
          <w:color w:val="auto"/>
          <w:szCs w:val="21"/>
          <w:highlight w:val="none"/>
        </w:rPr>
        <w:t>亩（</w:t>
      </w:r>
      <w:r>
        <w:rPr>
          <w:rFonts w:hint="eastAsia" w:ascii="Times New Roman" w:hAnsi="Times New Roman" w:eastAsia="宋体" w:cs="Arial"/>
          <w:color w:val="auto"/>
          <w:kern w:val="0"/>
          <w:sz w:val="24"/>
          <w:szCs w:val="24"/>
          <w:highlight w:val="none"/>
          <w:lang w:val="en-US" w:eastAsia="zh-CN" w:bidi="ar"/>
        </w:rPr>
        <w:t>16650</w:t>
      </w:r>
      <w:r>
        <w:rPr>
          <w:rFonts w:hint="eastAsia"/>
          <w:color w:val="auto"/>
          <w:szCs w:val="21"/>
          <w:highlight w:val="none"/>
          <w:lang w:val="en-US" w:eastAsia="zh-CN"/>
        </w:rPr>
        <w:t>m</w:t>
      </w:r>
      <w:r>
        <w:rPr>
          <w:rFonts w:hint="eastAsia"/>
          <w:color w:val="auto"/>
          <w:szCs w:val="21"/>
          <w:highlight w:val="none"/>
          <w:vertAlign w:val="superscript"/>
          <w:lang w:val="en-US" w:eastAsia="zh-CN"/>
        </w:rPr>
        <w:t>2</w:t>
      </w:r>
      <w:r>
        <w:rPr>
          <w:rFonts w:hint="eastAsia"/>
          <w:color w:val="auto"/>
          <w:szCs w:val="21"/>
          <w:highlight w:val="none"/>
        </w:rPr>
        <w:t>）</w:t>
      </w:r>
      <w:r>
        <w:rPr>
          <w:rFonts w:hint="eastAsia"/>
          <w:color w:val="auto"/>
          <w:szCs w:val="21"/>
          <w:highlight w:val="none"/>
          <w:lang w:eastAsia="zh-CN"/>
        </w:rPr>
        <w:t>，</w:t>
      </w:r>
      <w:r>
        <w:rPr>
          <w:rFonts w:hint="eastAsia" w:ascii="Times New Roman"/>
          <w:color w:val="auto"/>
          <w:spacing w:val="6"/>
          <w:highlight w:val="none"/>
        </w:rPr>
        <w:t>土地利用性质为工业用地。</w:t>
      </w:r>
    </w:p>
    <w:p w14:paraId="43ADBAF8">
      <w:pPr>
        <w:pStyle w:val="17"/>
        <w:spacing w:line="360" w:lineRule="auto"/>
        <w:ind w:firstLine="506" w:firstLineChars="200"/>
        <w:rPr>
          <w:rFonts w:hint="eastAsia" w:ascii="Times New Roman"/>
          <w:color w:val="auto"/>
          <w:spacing w:val="6"/>
          <w:highlight w:val="none"/>
        </w:rPr>
      </w:pPr>
      <w:r>
        <w:rPr>
          <w:rFonts w:hint="eastAsia" w:ascii="Times New Roman"/>
          <w:b/>
          <w:color w:val="auto"/>
          <w:spacing w:val="6"/>
          <w:highlight w:val="none"/>
        </w:rPr>
        <w:t>项目总投资</w:t>
      </w:r>
      <w:r>
        <w:rPr>
          <w:rFonts w:hint="eastAsia" w:ascii="Times New Roman"/>
          <w:color w:val="auto"/>
          <w:spacing w:val="6"/>
          <w:highlight w:val="none"/>
        </w:rPr>
        <w:t>：本项目总投资为</w:t>
      </w:r>
      <w:r>
        <w:rPr>
          <w:rFonts w:hint="eastAsia" w:ascii="Times New Roman"/>
          <w:color w:val="auto"/>
          <w:spacing w:val="6"/>
          <w:highlight w:val="none"/>
          <w:lang w:val="en-US" w:eastAsia="zh-CN"/>
        </w:rPr>
        <w:t>2000</w:t>
      </w:r>
      <w:r>
        <w:rPr>
          <w:rFonts w:hint="eastAsia" w:ascii="Times New Roman"/>
          <w:color w:val="auto"/>
          <w:spacing w:val="6"/>
          <w:highlight w:val="none"/>
        </w:rPr>
        <w:t>万元。</w:t>
      </w:r>
    </w:p>
    <w:p w14:paraId="332ED828">
      <w:pPr>
        <w:rPr>
          <w:color w:val="auto"/>
          <w:highlight w:val="none"/>
        </w:rPr>
      </w:pPr>
      <w:r>
        <w:rPr>
          <w:b/>
          <w:bCs/>
          <w:color w:val="auto"/>
          <w:highlight w:val="none"/>
        </w:rPr>
        <w:t>建设规模：</w:t>
      </w:r>
      <w:r>
        <w:rPr>
          <w:color w:val="auto"/>
          <w:highlight w:val="none"/>
        </w:rPr>
        <w:t>原矿石</w:t>
      </w:r>
      <w:r>
        <w:rPr>
          <w:rFonts w:hint="eastAsia"/>
          <w:color w:val="auto"/>
          <w:highlight w:val="none"/>
          <w:lang w:val="en-US" w:eastAsia="zh-CN"/>
        </w:rPr>
        <w:t>洗选</w:t>
      </w:r>
      <w:r>
        <w:rPr>
          <w:color w:val="auto"/>
          <w:highlight w:val="none"/>
        </w:rPr>
        <w:t>量为30×10</w:t>
      </w:r>
      <w:r>
        <w:rPr>
          <w:color w:val="auto"/>
          <w:highlight w:val="none"/>
          <w:vertAlign w:val="superscript"/>
        </w:rPr>
        <w:t>4</w:t>
      </w:r>
      <w:r>
        <w:rPr>
          <w:color w:val="auto"/>
          <w:highlight w:val="none"/>
        </w:rPr>
        <w:t>t</w:t>
      </w:r>
      <w:r>
        <w:rPr>
          <w:rFonts w:hint="eastAsia"/>
          <w:color w:val="auto"/>
          <w:highlight w:val="none"/>
          <w:lang w:val="en-US" w:eastAsia="zh-CN"/>
        </w:rPr>
        <w:t>/a</w:t>
      </w:r>
      <w:r>
        <w:rPr>
          <w:color w:val="auto"/>
          <w:highlight w:val="none"/>
        </w:rPr>
        <w:t>（1000t/d）</w:t>
      </w:r>
      <w:r>
        <w:rPr>
          <w:rFonts w:hint="eastAsia"/>
          <w:color w:val="auto"/>
          <w:highlight w:val="none"/>
        </w:rPr>
        <w:t>。</w:t>
      </w:r>
    </w:p>
    <w:p w14:paraId="57F5B0A7">
      <w:pPr>
        <w:pStyle w:val="17"/>
        <w:spacing w:line="360" w:lineRule="auto"/>
        <w:ind w:firstLine="506" w:firstLineChars="200"/>
        <w:rPr>
          <w:rFonts w:ascii="Times New Roman"/>
          <w:b/>
          <w:color w:val="auto"/>
          <w:spacing w:val="6"/>
          <w:highlight w:val="none"/>
        </w:rPr>
      </w:pPr>
      <w:r>
        <w:rPr>
          <w:rFonts w:hint="eastAsia" w:ascii="Times New Roman"/>
          <w:b/>
          <w:color w:val="auto"/>
          <w:spacing w:val="6"/>
          <w:highlight w:val="none"/>
        </w:rPr>
        <w:t>劳动定员及工作时间：</w:t>
      </w:r>
      <w:r>
        <w:rPr>
          <w:rFonts w:hint="eastAsia" w:ascii="Times New Roman"/>
          <w:color w:val="auto"/>
          <w:spacing w:val="6"/>
          <w:highlight w:val="none"/>
        </w:rPr>
        <w:t>本项目共需新增劳动定员</w:t>
      </w:r>
      <w:r>
        <w:rPr>
          <w:rFonts w:hint="eastAsia" w:ascii="Times New Roman"/>
          <w:color w:val="auto"/>
          <w:spacing w:val="6"/>
          <w:highlight w:val="none"/>
          <w:lang w:val="en-US" w:eastAsia="zh-CN"/>
        </w:rPr>
        <w:t>60</w:t>
      </w:r>
      <w:r>
        <w:rPr>
          <w:rFonts w:hint="eastAsia" w:ascii="Times New Roman"/>
          <w:color w:val="auto"/>
          <w:spacing w:val="6"/>
          <w:highlight w:val="none"/>
        </w:rPr>
        <w:t>人，管理技术人员</w:t>
      </w:r>
      <w:r>
        <w:rPr>
          <w:rFonts w:hint="eastAsia" w:ascii="Times New Roman"/>
          <w:color w:val="auto"/>
          <w:spacing w:val="6"/>
          <w:highlight w:val="none"/>
          <w:lang w:val="en-US" w:eastAsia="zh-CN"/>
        </w:rPr>
        <w:t>15</w:t>
      </w:r>
      <w:r>
        <w:rPr>
          <w:rFonts w:hint="eastAsia" w:ascii="Times New Roman"/>
          <w:color w:val="auto"/>
          <w:spacing w:val="6"/>
          <w:highlight w:val="none"/>
        </w:rPr>
        <w:t>人，实行日常班制，每周40小时。生产工人</w:t>
      </w:r>
      <w:r>
        <w:rPr>
          <w:rFonts w:hint="eastAsia" w:ascii="Times New Roman"/>
          <w:color w:val="auto"/>
          <w:spacing w:val="6"/>
          <w:highlight w:val="none"/>
          <w:lang w:val="en-US" w:eastAsia="zh-CN"/>
        </w:rPr>
        <w:t>45</w:t>
      </w:r>
      <w:r>
        <w:rPr>
          <w:rFonts w:hint="eastAsia" w:ascii="Times New Roman"/>
          <w:color w:val="auto"/>
          <w:spacing w:val="6"/>
          <w:highlight w:val="none"/>
        </w:rPr>
        <w:t>人，实行四班三运转制，全年工作日为3</w:t>
      </w:r>
      <w:r>
        <w:rPr>
          <w:rFonts w:hint="eastAsia" w:ascii="Times New Roman"/>
          <w:color w:val="auto"/>
          <w:spacing w:val="6"/>
          <w:highlight w:val="none"/>
          <w:lang w:val="en-US" w:eastAsia="zh-CN"/>
        </w:rPr>
        <w:t>00</w:t>
      </w:r>
      <w:r>
        <w:rPr>
          <w:rFonts w:hint="eastAsia" w:ascii="Times New Roman"/>
          <w:color w:val="auto"/>
          <w:spacing w:val="6"/>
          <w:highlight w:val="none"/>
        </w:rPr>
        <w:t>天，年工作时间为</w:t>
      </w:r>
      <w:r>
        <w:rPr>
          <w:rFonts w:hint="eastAsia" w:ascii="Times New Roman"/>
          <w:color w:val="auto"/>
          <w:spacing w:val="6"/>
          <w:highlight w:val="none"/>
          <w:lang w:val="en-US" w:eastAsia="zh-CN"/>
        </w:rPr>
        <w:t>7200</w:t>
      </w:r>
      <w:r>
        <w:rPr>
          <w:rFonts w:hint="eastAsia" w:ascii="Times New Roman"/>
          <w:color w:val="auto"/>
          <w:spacing w:val="6"/>
          <w:highlight w:val="none"/>
        </w:rPr>
        <w:t>小时。</w:t>
      </w:r>
    </w:p>
    <w:p w14:paraId="7D6256D0">
      <w:pPr>
        <w:pStyle w:val="17"/>
        <w:spacing w:line="360" w:lineRule="auto"/>
        <w:ind w:firstLine="504" w:firstLineChars="200"/>
        <w:rPr>
          <w:rFonts w:ascii="Times New Roman"/>
          <w:color w:val="auto"/>
          <w:spacing w:val="6"/>
          <w:highlight w:val="none"/>
        </w:rPr>
      </w:pPr>
    </w:p>
    <w:p w14:paraId="405FA023">
      <w:pPr>
        <w:pStyle w:val="17"/>
        <w:spacing w:line="360" w:lineRule="auto"/>
        <w:ind w:firstLine="504" w:firstLineChars="200"/>
        <w:jc w:val="center"/>
        <w:rPr>
          <w:rFonts w:ascii="Times New Roman"/>
          <w:color w:val="auto"/>
          <w:spacing w:val="6"/>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78007F02">
      <w:pPr>
        <w:pStyle w:val="99"/>
        <w:spacing w:after="12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932930" cy="4902200"/>
            <wp:effectExtent l="0" t="0" r="1270" b="12700"/>
            <wp:docPr id="7" name="图片 34"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地理位置图"/>
                    <pic:cNvPicPr>
                      <a:picLocks noChangeAspect="1"/>
                    </pic:cNvPicPr>
                  </pic:nvPicPr>
                  <pic:blipFill>
                    <a:blip r:embed="rId32"/>
                    <a:stretch>
                      <a:fillRect/>
                    </a:stretch>
                  </pic:blipFill>
                  <pic:spPr>
                    <a:xfrm>
                      <a:off x="0" y="0"/>
                      <a:ext cx="6932930" cy="4902200"/>
                    </a:xfrm>
                    <a:prstGeom prst="rect">
                      <a:avLst/>
                    </a:prstGeom>
                    <a:noFill/>
                    <a:ln>
                      <a:noFill/>
                    </a:ln>
                  </pic:spPr>
                </pic:pic>
              </a:graphicData>
            </a:graphic>
          </wp:inline>
        </w:drawing>
      </w:r>
    </w:p>
    <w:p w14:paraId="69B3CF0C">
      <w:pPr>
        <w:pStyle w:val="99"/>
        <w:spacing w:after="120"/>
        <w:rPr>
          <w:color w:val="auto"/>
          <w:sz w:val="24"/>
          <w:szCs w:val="24"/>
          <w:highlight w:val="none"/>
        </w:rPr>
      </w:pPr>
      <w:r>
        <w:rPr>
          <w:rFonts w:hint="eastAsia"/>
          <w:color w:val="auto"/>
          <w:sz w:val="24"/>
          <w:szCs w:val="24"/>
          <w:highlight w:val="none"/>
        </w:rPr>
        <w:t>图</w:t>
      </w:r>
      <w:r>
        <w:rPr>
          <w:color w:val="auto"/>
          <w:sz w:val="24"/>
          <w:szCs w:val="24"/>
          <w:highlight w:val="none"/>
        </w:rPr>
        <w:t>3.</w:t>
      </w:r>
      <w:r>
        <w:rPr>
          <w:rFonts w:hint="eastAsia"/>
          <w:color w:val="auto"/>
          <w:sz w:val="24"/>
          <w:szCs w:val="24"/>
          <w:highlight w:val="none"/>
          <w:lang w:val="en-US" w:eastAsia="zh-CN"/>
        </w:rPr>
        <w:t>1</w:t>
      </w:r>
      <w:r>
        <w:rPr>
          <w:color w:val="auto"/>
          <w:sz w:val="24"/>
          <w:szCs w:val="24"/>
          <w:highlight w:val="none"/>
        </w:rPr>
        <w:t xml:space="preserve">-1 </w:t>
      </w:r>
      <w:r>
        <w:rPr>
          <w:rFonts w:hint="eastAsia"/>
          <w:color w:val="auto"/>
          <w:sz w:val="24"/>
          <w:szCs w:val="24"/>
          <w:highlight w:val="none"/>
          <w:lang w:val="en-US" w:eastAsia="zh-CN"/>
        </w:rPr>
        <w:t xml:space="preserve">  </w:t>
      </w:r>
      <w:r>
        <w:rPr>
          <w:color w:val="auto"/>
          <w:sz w:val="24"/>
          <w:szCs w:val="24"/>
          <w:highlight w:val="none"/>
        </w:rPr>
        <w:t xml:space="preserve"> </w:t>
      </w:r>
      <w:r>
        <w:rPr>
          <w:rFonts w:hint="eastAsia"/>
          <w:color w:val="auto"/>
          <w:sz w:val="24"/>
          <w:szCs w:val="24"/>
          <w:highlight w:val="none"/>
          <w:lang w:val="en-US" w:eastAsia="zh-CN"/>
        </w:rPr>
        <w:t>本</w:t>
      </w:r>
      <w:r>
        <w:rPr>
          <w:rFonts w:hint="eastAsia"/>
          <w:color w:val="auto"/>
          <w:sz w:val="24"/>
          <w:szCs w:val="24"/>
          <w:highlight w:val="none"/>
        </w:rPr>
        <w:t>项目地理位置图</w:t>
      </w:r>
    </w:p>
    <w:p w14:paraId="338C57D4">
      <w:pPr>
        <w:pStyle w:val="99"/>
        <w:spacing w:after="120"/>
        <w:rPr>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26" w:charSpace="0"/>
        </w:sectPr>
      </w:pPr>
    </w:p>
    <w:p w14:paraId="7AA5B8AD">
      <w:pPr>
        <w:ind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591935" cy="4912995"/>
            <wp:effectExtent l="0" t="0" r="18415" b="1905"/>
            <wp:docPr id="8" name="图片 36" descr="四邻关系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 descr="四邻关系现状图"/>
                    <pic:cNvPicPr>
                      <a:picLocks noChangeAspect="1"/>
                    </pic:cNvPicPr>
                  </pic:nvPicPr>
                  <pic:blipFill>
                    <a:blip r:embed="rId33"/>
                    <a:stretch>
                      <a:fillRect/>
                    </a:stretch>
                  </pic:blipFill>
                  <pic:spPr>
                    <a:xfrm>
                      <a:off x="0" y="0"/>
                      <a:ext cx="6591935" cy="4912995"/>
                    </a:xfrm>
                    <a:prstGeom prst="rect">
                      <a:avLst/>
                    </a:prstGeom>
                    <a:noFill/>
                    <a:ln>
                      <a:noFill/>
                    </a:ln>
                  </pic:spPr>
                </pic:pic>
              </a:graphicData>
            </a:graphic>
          </wp:inline>
        </w:drawing>
      </w:r>
    </w:p>
    <w:p w14:paraId="4D35CA19">
      <w:pPr>
        <w:pStyle w:val="99"/>
        <w:spacing w:after="120"/>
        <w:rPr>
          <w:rFonts w:hint="eastAsia"/>
          <w:color w:val="auto"/>
          <w:sz w:val="24"/>
          <w:szCs w:val="24"/>
          <w:highlight w:val="none"/>
          <w:lang w:val="en-US" w:eastAsia="zh-CN"/>
        </w:rPr>
      </w:pPr>
      <w:r>
        <w:rPr>
          <w:rFonts w:hint="eastAsia"/>
          <w:color w:val="auto"/>
          <w:sz w:val="24"/>
          <w:szCs w:val="24"/>
          <w:highlight w:val="none"/>
        </w:rPr>
        <w:t>图</w:t>
      </w:r>
      <w:r>
        <w:rPr>
          <w:color w:val="auto"/>
          <w:sz w:val="24"/>
          <w:szCs w:val="24"/>
          <w:highlight w:val="none"/>
        </w:rPr>
        <w:t>3.</w:t>
      </w:r>
      <w:r>
        <w:rPr>
          <w:rFonts w:hint="eastAsia"/>
          <w:color w:val="auto"/>
          <w:sz w:val="24"/>
          <w:szCs w:val="24"/>
          <w:highlight w:val="none"/>
          <w:lang w:val="en-US" w:eastAsia="zh-CN"/>
        </w:rPr>
        <w:t>1</w:t>
      </w:r>
      <w:r>
        <w:rPr>
          <w:color w:val="auto"/>
          <w:sz w:val="24"/>
          <w:szCs w:val="24"/>
          <w:highlight w:val="none"/>
        </w:rPr>
        <w:t>-</w:t>
      </w:r>
      <w:r>
        <w:rPr>
          <w:rFonts w:hint="eastAsia"/>
          <w:color w:val="auto"/>
          <w:sz w:val="24"/>
          <w:szCs w:val="24"/>
          <w:highlight w:val="none"/>
        </w:rPr>
        <w:t>2</w:t>
      </w:r>
      <w:r>
        <w:rPr>
          <w:color w:val="auto"/>
          <w:sz w:val="24"/>
          <w:szCs w:val="24"/>
          <w:highlight w:val="none"/>
        </w:rPr>
        <w:t xml:space="preserve">  </w:t>
      </w:r>
      <w:r>
        <w:rPr>
          <w:rFonts w:hint="eastAsia"/>
          <w:color w:val="auto"/>
          <w:sz w:val="24"/>
          <w:szCs w:val="24"/>
          <w:highlight w:val="none"/>
          <w:lang w:val="en-US" w:eastAsia="zh-CN"/>
        </w:rPr>
        <w:t>本</w:t>
      </w:r>
      <w:r>
        <w:rPr>
          <w:rFonts w:hint="eastAsia"/>
          <w:color w:val="auto"/>
          <w:sz w:val="24"/>
          <w:szCs w:val="24"/>
          <w:highlight w:val="none"/>
        </w:rPr>
        <w:t>项目四邻关系</w:t>
      </w:r>
      <w:r>
        <w:rPr>
          <w:rFonts w:hint="eastAsia"/>
          <w:color w:val="auto"/>
          <w:sz w:val="24"/>
          <w:szCs w:val="24"/>
          <w:highlight w:val="none"/>
          <w:lang w:val="en-US" w:eastAsia="zh-CN"/>
        </w:rPr>
        <w:t>示意图（一）</w:t>
      </w:r>
    </w:p>
    <w:p w14:paraId="16630375">
      <w:pPr>
        <w:pStyle w:val="99"/>
        <w:spacing w:after="120"/>
        <w:rPr>
          <w:rFonts w:hint="eastAsia"/>
          <w:color w:val="auto"/>
          <w:sz w:val="24"/>
          <w:szCs w:val="24"/>
          <w:highlight w:val="none"/>
          <w:lang w:val="en-US" w:eastAsia="zh-CN"/>
        </w:rPr>
      </w:pPr>
      <w:r>
        <w:rPr>
          <w:color w:val="auto"/>
          <w:highlight w:val="none"/>
        </w:rPr>
        <w:drawing>
          <wp:inline distT="0" distB="0" distL="114300" distR="114300">
            <wp:extent cx="6461125" cy="4834255"/>
            <wp:effectExtent l="25400" t="25400" r="28575" b="3619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34"/>
                    <a:stretch>
                      <a:fillRect/>
                    </a:stretch>
                  </pic:blipFill>
                  <pic:spPr>
                    <a:xfrm>
                      <a:off x="0" y="0"/>
                      <a:ext cx="6461125" cy="4834255"/>
                    </a:xfrm>
                    <a:prstGeom prst="rect">
                      <a:avLst/>
                    </a:prstGeom>
                    <a:noFill/>
                    <a:ln w="25400" cap="flat" cmpd="sng">
                      <a:solidFill>
                        <a:srgbClr val="000000"/>
                      </a:solidFill>
                      <a:prstDash val="solid"/>
                      <a:round/>
                      <a:headEnd type="none" w="med" len="med"/>
                      <a:tailEnd type="none" w="med" len="med"/>
                    </a:ln>
                  </pic:spPr>
                </pic:pic>
              </a:graphicData>
            </a:graphic>
          </wp:inline>
        </w:drawing>
      </w:r>
    </w:p>
    <w:p w14:paraId="7FB7E17D">
      <w:pPr>
        <w:pStyle w:val="99"/>
        <w:spacing w:after="120"/>
        <w:rPr>
          <w:rFonts w:hint="eastAsia"/>
          <w:color w:val="auto"/>
          <w:sz w:val="24"/>
          <w:szCs w:val="24"/>
          <w:highlight w:val="none"/>
          <w:lang w:val="en-US" w:eastAsia="zh-CN"/>
        </w:rPr>
      </w:pPr>
      <w:r>
        <w:rPr>
          <w:rFonts w:hint="eastAsia"/>
          <w:color w:val="auto"/>
          <w:sz w:val="24"/>
          <w:szCs w:val="24"/>
          <w:highlight w:val="none"/>
        </w:rPr>
        <w:t>图</w:t>
      </w:r>
      <w:r>
        <w:rPr>
          <w:color w:val="auto"/>
          <w:sz w:val="24"/>
          <w:szCs w:val="24"/>
          <w:highlight w:val="none"/>
        </w:rPr>
        <w:t>3.</w:t>
      </w:r>
      <w:r>
        <w:rPr>
          <w:rFonts w:hint="eastAsia"/>
          <w:color w:val="auto"/>
          <w:sz w:val="24"/>
          <w:szCs w:val="24"/>
          <w:highlight w:val="none"/>
          <w:lang w:val="en-US" w:eastAsia="zh-CN"/>
        </w:rPr>
        <w:t>1</w:t>
      </w:r>
      <w:r>
        <w:rPr>
          <w:color w:val="auto"/>
          <w:sz w:val="24"/>
          <w:szCs w:val="24"/>
          <w:highlight w:val="none"/>
        </w:rPr>
        <w:t>-</w:t>
      </w:r>
      <w:r>
        <w:rPr>
          <w:rFonts w:hint="eastAsia"/>
          <w:color w:val="auto"/>
          <w:sz w:val="24"/>
          <w:szCs w:val="24"/>
          <w:highlight w:val="none"/>
          <w:lang w:val="en-US" w:eastAsia="zh-CN"/>
        </w:rPr>
        <w:t>3</w:t>
      </w:r>
      <w:r>
        <w:rPr>
          <w:color w:val="auto"/>
          <w:sz w:val="24"/>
          <w:szCs w:val="24"/>
          <w:highlight w:val="none"/>
        </w:rPr>
        <w:t xml:space="preserve">  </w:t>
      </w:r>
      <w:r>
        <w:rPr>
          <w:rFonts w:hint="eastAsia"/>
          <w:color w:val="auto"/>
          <w:sz w:val="24"/>
          <w:szCs w:val="24"/>
          <w:highlight w:val="none"/>
          <w:lang w:val="en-US" w:eastAsia="zh-CN"/>
        </w:rPr>
        <w:t>本</w:t>
      </w:r>
      <w:r>
        <w:rPr>
          <w:rFonts w:hint="eastAsia"/>
          <w:color w:val="auto"/>
          <w:sz w:val="24"/>
          <w:szCs w:val="24"/>
          <w:highlight w:val="none"/>
        </w:rPr>
        <w:t>项目四邻关系</w:t>
      </w:r>
      <w:r>
        <w:rPr>
          <w:rFonts w:hint="eastAsia"/>
          <w:color w:val="auto"/>
          <w:sz w:val="24"/>
          <w:szCs w:val="24"/>
          <w:highlight w:val="none"/>
          <w:lang w:val="en-US" w:eastAsia="zh-CN"/>
        </w:rPr>
        <w:t>示意图（二）</w:t>
      </w:r>
    </w:p>
    <w:p w14:paraId="713AC307">
      <w:pPr>
        <w:pStyle w:val="99"/>
        <w:spacing w:after="120"/>
        <w:rPr>
          <w:color w:val="auto"/>
          <w:sz w:val="24"/>
          <w:szCs w:val="24"/>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3FF572F5">
      <w:pPr>
        <w:pStyle w:val="4"/>
        <w:spacing w:before="120" w:after="120"/>
        <w:rPr>
          <w:rFonts w:hint="eastAsia"/>
          <w:color w:val="auto"/>
          <w:highlight w:val="none"/>
          <w:lang w:val="en-US" w:eastAsia="zh-CN"/>
        </w:rPr>
      </w:pPr>
      <w:bookmarkStart w:id="72" w:name="_Toc7077"/>
      <w:bookmarkStart w:id="73" w:name="_Toc24447081"/>
      <w:r>
        <w:rPr>
          <w:rFonts w:hint="eastAsia"/>
          <w:color w:val="auto"/>
          <w:highlight w:val="none"/>
          <w:lang w:val="en-US" w:eastAsia="zh-CN"/>
        </w:rPr>
        <w:t>项目建设内容及项目组成</w:t>
      </w:r>
      <w:bookmarkEnd w:id="72"/>
      <w:bookmarkEnd w:id="73"/>
    </w:p>
    <w:p w14:paraId="5BCA9D32">
      <w:pPr>
        <w:pStyle w:val="181"/>
        <w:ind w:firstLine="480"/>
        <w:rPr>
          <w:rFonts w:hint="eastAsia"/>
          <w:color w:val="auto"/>
          <w:highlight w:val="none"/>
        </w:rPr>
      </w:pPr>
      <w:bookmarkStart w:id="74" w:name="_Toc519692366"/>
      <w:bookmarkStart w:id="75" w:name="_Toc518997388"/>
      <w:bookmarkStart w:id="76" w:name="_Toc519036222"/>
      <w:r>
        <w:rPr>
          <w:rFonts w:hint="eastAsia"/>
          <w:color w:val="auto"/>
          <w:sz w:val="24"/>
          <w:highlight w:val="none"/>
          <w:lang w:val="en-US" w:eastAsia="zh-CN"/>
        </w:rPr>
        <w:t>本项目</w:t>
      </w:r>
      <w:r>
        <w:rPr>
          <w:color w:val="auto"/>
          <w:sz w:val="24"/>
          <w:highlight w:val="none"/>
        </w:rPr>
        <w:t>主要</w:t>
      </w:r>
      <w:r>
        <w:rPr>
          <w:color w:val="auto"/>
          <w:kern w:val="0"/>
          <w:sz w:val="24"/>
          <w:szCs w:val="24"/>
          <w:highlight w:val="none"/>
        </w:rPr>
        <w:t>破碎、筛选车间、</w:t>
      </w:r>
      <w:r>
        <w:rPr>
          <w:rFonts w:hint="eastAsia"/>
          <w:color w:val="auto"/>
          <w:kern w:val="0"/>
          <w:sz w:val="24"/>
          <w:szCs w:val="24"/>
          <w:highlight w:val="none"/>
          <w:lang w:val="en-US" w:eastAsia="zh-CN"/>
        </w:rPr>
        <w:t>洗选</w:t>
      </w:r>
      <w:r>
        <w:rPr>
          <w:color w:val="auto"/>
          <w:kern w:val="0"/>
          <w:sz w:val="24"/>
          <w:szCs w:val="24"/>
          <w:highlight w:val="none"/>
        </w:rPr>
        <w:t>车间、尾矿</w:t>
      </w:r>
      <w:r>
        <w:rPr>
          <w:rFonts w:hint="eastAsia"/>
          <w:color w:val="auto"/>
          <w:kern w:val="0"/>
          <w:sz w:val="24"/>
          <w:szCs w:val="24"/>
          <w:highlight w:val="none"/>
          <w:lang w:val="en-US" w:eastAsia="zh-CN"/>
        </w:rPr>
        <w:t>砂暂存库</w:t>
      </w:r>
      <w:r>
        <w:rPr>
          <w:color w:val="auto"/>
          <w:kern w:val="0"/>
          <w:sz w:val="24"/>
          <w:szCs w:val="24"/>
          <w:highlight w:val="none"/>
        </w:rPr>
        <w:t>、</w:t>
      </w:r>
      <w:r>
        <w:rPr>
          <w:rFonts w:hint="eastAsia"/>
          <w:color w:val="auto"/>
          <w:kern w:val="0"/>
          <w:sz w:val="24"/>
          <w:szCs w:val="24"/>
          <w:highlight w:val="none"/>
          <w:lang w:val="en-US" w:eastAsia="zh-CN"/>
        </w:rPr>
        <w:t>产品精矿粉</w:t>
      </w:r>
      <w:r>
        <w:rPr>
          <w:color w:val="auto"/>
          <w:kern w:val="0"/>
          <w:sz w:val="24"/>
          <w:szCs w:val="24"/>
          <w:highlight w:val="none"/>
        </w:rPr>
        <w:t>库、原矿堆放场、变配电室等</w:t>
      </w:r>
      <w:r>
        <w:rPr>
          <w:rFonts w:hint="eastAsia"/>
          <w:color w:val="auto"/>
          <w:kern w:val="0"/>
          <w:sz w:val="24"/>
          <w:szCs w:val="24"/>
          <w:highlight w:val="none"/>
          <w:lang w:val="en-US" w:eastAsia="zh-CN"/>
        </w:rPr>
        <w:t>组成</w:t>
      </w:r>
      <w:r>
        <w:rPr>
          <w:color w:val="auto"/>
          <w:kern w:val="0"/>
          <w:sz w:val="24"/>
          <w:szCs w:val="24"/>
          <w:highlight w:val="none"/>
        </w:rPr>
        <w:t>，</w:t>
      </w:r>
      <w:r>
        <w:rPr>
          <w:rFonts w:hint="eastAsia"/>
          <w:color w:val="auto"/>
          <w:highlight w:val="none"/>
        </w:rPr>
        <w:t>本项目主体工程及公辅工程情况详见表</w:t>
      </w:r>
      <w:r>
        <w:rPr>
          <w:color w:val="auto"/>
          <w:highlight w:val="none"/>
        </w:rPr>
        <w:t>3.</w:t>
      </w:r>
      <w:r>
        <w:rPr>
          <w:rFonts w:hint="eastAsia"/>
          <w:color w:val="auto"/>
          <w:highlight w:val="none"/>
        </w:rPr>
        <w:t>2</w:t>
      </w:r>
      <w:r>
        <w:rPr>
          <w:color w:val="auto"/>
          <w:highlight w:val="none"/>
        </w:rPr>
        <w:t>-1</w:t>
      </w:r>
      <w:r>
        <w:rPr>
          <w:rFonts w:hint="eastAsia"/>
          <w:color w:val="auto"/>
          <w:highlight w:val="none"/>
        </w:rPr>
        <w:t>。</w:t>
      </w:r>
    </w:p>
    <w:p w14:paraId="34C114B8">
      <w:pPr>
        <w:pStyle w:val="199"/>
        <w:spacing w:before="120"/>
        <w:rPr>
          <w:rFonts w:hint="eastAsia"/>
          <w:color w:val="auto"/>
          <w:sz w:val="24"/>
          <w:highlight w:val="none"/>
        </w:rPr>
      </w:pPr>
      <w:r>
        <w:rPr>
          <w:rFonts w:hint="eastAsia"/>
          <w:color w:val="auto"/>
          <w:sz w:val="24"/>
          <w:highlight w:val="none"/>
        </w:rPr>
        <w:t>表3.2-1   本项目主要建设内容表</w:t>
      </w:r>
    </w:p>
    <w:tbl>
      <w:tblPr>
        <w:tblStyle w:val="297"/>
        <w:tblW w:w="512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570"/>
        <w:gridCol w:w="624"/>
        <w:gridCol w:w="690"/>
        <w:gridCol w:w="5990"/>
        <w:gridCol w:w="634"/>
      </w:tblGrid>
      <w:tr w14:paraId="50CA02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tcBorders>
              <w:tl2br w:val="nil"/>
              <w:tr2bl w:val="nil"/>
            </w:tcBorders>
            <w:noWrap w:val="0"/>
            <w:vAlign w:val="center"/>
          </w:tcPr>
          <w:p w14:paraId="3D80088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工程类别</w:t>
            </w:r>
          </w:p>
        </w:tc>
        <w:tc>
          <w:tcPr>
            <w:tcW w:w="772" w:type="pct"/>
            <w:gridSpan w:val="2"/>
            <w:tcBorders>
              <w:tl2br w:val="nil"/>
              <w:tr2bl w:val="nil"/>
            </w:tcBorders>
            <w:noWrap w:val="0"/>
            <w:vAlign w:val="center"/>
          </w:tcPr>
          <w:p w14:paraId="356726B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工程名称</w:t>
            </w:r>
          </w:p>
        </w:tc>
        <w:tc>
          <w:tcPr>
            <w:tcW w:w="3520" w:type="pct"/>
            <w:tcBorders>
              <w:tl2br w:val="nil"/>
              <w:tr2bl w:val="nil"/>
            </w:tcBorders>
            <w:noWrap w:val="0"/>
            <w:vAlign w:val="center"/>
          </w:tcPr>
          <w:p w14:paraId="026B417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工程内容</w:t>
            </w:r>
          </w:p>
        </w:tc>
        <w:tc>
          <w:tcPr>
            <w:tcW w:w="372" w:type="pct"/>
            <w:tcBorders>
              <w:tl2br w:val="nil"/>
              <w:tr2bl w:val="nil"/>
            </w:tcBorders>
            <w:noWrap w:val="0"/>
            <w:vAlign w:val="center"/>
          </w:tcPr>
          <w:p w14:paraId="47BF583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备注</w:t>
            </w:r>
          </w:p>
        </w:tc>
      </w:tr>
      <w:tr w14:paraId="4D559BE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restart"/>
            <w:tcBorders>
              <w:tl2br w:val="nil"/>
              <w:tr2bl w:val="nil"/>
            </w:tcBorders>
            <w:noWrap w:val="0"/>
            <w:vAlign w:val="center"/>
          </w:tcPr>
          <w:p w14:paraId="5B07D19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主体工程</w:t>
            </w:r>
          </w:p>
        </w:tc>
        <w:tc>
          <w:tcPr>
            <w:tcW w:w="366" w:type="pct"/>
            <w:vMerge w:val="restart"/>
            <w:tcBorders>
              <w:tl2br w:val="nil"/>
              <w:tr2bl w:val="nil"/>
            </w:tcBorders>
            <w:noWrap w:val="0"/>
            <w:vAlign w:val="center"/>
          </w:tcPr>
          <w:p w14:paraId="2DED607B">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rPr>
              <w:t>原矿破碎</w:t>
            </w:r>
            <w:r>
              <w:rPr>
                <w:rFonts w:hint="eastAsia"/>
                <w:b w:val="0"/>
                <w:color w:val="auto"/>
                <w:kern w:val="0"/>
                <w:highlight w:val="none"/>
                <w:lang w:val="en-US" w:eastAsia="zh-CN"/>
              </w:rPr>
              <w:t>细碎</w:t>
            </w:r>
            <w:r>
              <w:rPr>
                <w:rFonts w:hint="eastAsia"/>
                <w:b w:val="0"/>
                <w:color w:val="auto"/>
                <w:kern w:val="0"/>
                <w:highlight w:val="none"/>
              </w:rPr>
              <w:t>筛分</w:t>
            </w:r>
            <w:r>
              <w:rPr>
                <w:rFonts w:hint="eastAsia"/>
                <w:b w:val="0"/>
                <w:color w:val="auto"/>
                <w:kern w:val="0"/>
                <w:highlight w:val="none"/>
                <w:lang w:val="en-US" w:eastAsia="zh-CN"/>
              </w:rPr>
              <w:t>车间</w:t>
            </w:r>
          </w:p>
        </w:tc>
        <w:tc>
          <w:tcPr>
            <w:tcW w:w="405" w:type="pct"/>
            <w:tcBorders>
              <w:tl2br w:val="nil"/>
              <w:tr2bl w:val="nil"/>
            </w:tcBorders>
            <w:noWrap w:val="0"/>
            <w:vAlign w:val="center"/>
          </w:tcPr>
          <w:p w14:paraId="6F59221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粗碎</w:t>
            </w:r>
          </w:p>
          <w:p w14:paraId="2D8B2612">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val="en-US" w:eastAsia="zh-CN"/>
              </w:rPr>
              <w:t>工段</w:t>
            </w:r>
          </w:p>
        </w:tc>
        <w:tc>
          <w:tcPr>
            <w:tcW w:w="3520" w:type="pct"/>
            <w:tcBorders>
              <w:tl2br w:val="nil"/>
              <w:tr2bl w:val="nil"/>
            </w:tcBorders>
            <w:noWrap w:val="0"/>
            <w:vAlign w:val="center"/>
          </w:tcPr>
          <w:p w14:paraId="36238CA3">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rPr>
              <w:t>钢结构，</w:t>
            </w:r>
            <w:r>
              <w:rPr>
                <w:rFonts w:hint="eastAsia"/>
                <w:b w:val="0"/>
                <w:color w:val="auto"/>
                <w:kern w:val="0"/>
                <w:highlight w:val="none"/>
                <w:lang w:val="en-US" w:eastAsia="zh-CN"/>
              </w:rPr>
              <w:t>建构筑物规格尺寸50m</w:t>
            </w:r>
            <w:r>
              <w:rPr>
                <w:rFonts w:hint="eastAsia"/>
                <w:b w:val="0"/>
                <w:color w:val="auto"/>
                <w:kern w:val="0"/>
                <w:highlight w:val="none"/>
                <w:lang w:eastAsia="zh-CN"/>
              </w:rPr>
              <w:t>×</w:t>
            </w:r>
            <w:r>
              <w:rPr>
                <w:rFonts w:hint="eastAsia"/>
                <w:b w:val="0"/>
                <w:color w:val="auto"/>
                <w:kern w:val="0"/>
                <w:highlight w:val="none"/>
                <w:lang w:val="en-US" w:eastAsia="zh-CN"/>
              </w:rPr>
              <w:t>37m</w:t>
            </w:r>
            <w:r>
              <w:rPr>
                <w:rFonts w:hint="eastAsia"/>
                <w:b w:val="0"/>
                <w:color w:val="auto"/>
                <w:kern w:val="0"/>
                <w:highlight w:val="none"/>
                <w:lang w:eastAsia="zh-CN"/>
              </w:rPr>
              <w:t>×</w:t>
            </w:r>
            <w:r>
              <w:rPr>
                <w:rFonts w:hint="eastAsia"/>
                <w:b w:val="0"/>
                <w:color w:val="auto"/>
                <w:kern w:val="0"/>
                <w:highlight w:val="none"/>
                <w:lang w:val="en-US" w:eastAsia="zh-CN"/>
              </w:rPr>
              <w:t>H8m；</w:t>
            </w:r>
          </w:p>
          <w:p w14:paraId="414D42C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设</w:t>
            </w:r>
            <w:r>
              <w:rPr>
                <w:rFonts w:hint="eastAsia"/>
                <w:b w:val="0"/>
                <w:color w:val="auto"/>
                <w:kern w:val="0"/>
                <w:highlight w:val="none"/>
              </w:rPr>
              <w:t>1台给料机、1台</w:t>
            </w:r>
            <w:r>
              <w:rPr>
                <w:rFonts w:hint="eastAsia"/>
                <w:b w:val="0"/>
                <w:color w:val="auto"/>
                <w:kern w:val="0"/>
                <w:highlight w:val="none"/>
                <w:lang w:eastAsia="zh-CN"/>
              </w:rPr>
              <w:t>PE600×900颚式破碎机</w:t>
            </w:r>
            <w:r>
              <w:rPr>
                <w:rFonts w:hint="eastAsia"/>
                <w:b w:val="0"/>
                <w:color w:val="auto"/>
                <w:kern w:val="0"/>
                <w:highlight w:val="none"/>
              </w:rPr>
              <w:t>。</w:t>
            </w:r>
          </w:p>
        </w:tc>
        <w:tc>
          <w:tcPr>
            <w:tcW w:w="372" w:type="pct"/>
            <w:tcBorders>
              <w:tl2br w:val="nil"/>
              <w:tr2bl w:val="nil"/>
            </w:tcBorders>
            <w:noWrap w:val="0"/>
            <w:vAlign w:val="center"/>
          </w:tcPr>
          <w:p w14:paraId="3A0DA4E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67AD52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1ADFB675">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7BAB4D9F">
            <w:pPr>
              <w:pStyle w:val="199"/>
              <w:autoSpaceDE w:val="0"/>
              <w:autoSpaceDN w:val="0"/>
              <w:spacing w:beforeLines="0" w:line="240" w:lineRule="auto"/>
              <w:jc w:val="center"/>
              <w:rPr>
                <w:rFonts w:hint="eastAsia"/>
                <w:b w:val="0"/>
                <w:color w:val="auto"/>
                <w:kern w:val="0"/>
                <w:highlight w:val="none"/>
              </w:rPr>
            </w:pPr>
          </w:p>
        </w:tc>
        <w:tc>
          <w:tcPr>
            <w:tcW w:w="405" w:type="pct"/>
            <w:tcBorders>
              <w:tl2br w:val="nil"/>
              <w:tr2bl w:val="nil"/>
            </w:tcBorders>
            <w:noWrap w:val="0"/>
            <w:vAlign w:val="center"/>
          </w:tcPr>
          <w:p w14:paraId="1B27861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细碎</w:t>
            </w:r>
          </w:p>
          <w:p w14:paraId="070244B6">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val="en-US" w:eastAsia="zh-CN"/>
              </w:rPr>
              <w:t>工段</w:t>
            </w:r>
          </w:p>
        </w:tc>
        <w:tc>
          <w:tcPr>
            <w:tcW w:w="3520" w:type="pct"/>
            <w:tcBorders>
              <w:tl2br w:val="nil"/>
              <w:tr2bl w:val="nil"/>
            </w:tcBorders>
            <w:noWrap w:val="0"/>
            <w:vAlign w:val="center"/>
          </w:tcPr>
          <w:p w14:paraId="7B49C50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设</w:t>
            </w:r>
            <w:r>
              <w:rPr>
                <w:rFonts w:hint="eastAsia"/>
                <w:b w:val="0"/>
                <w:color w:val="auto"/>
                <w:kern w:val="0"/>
                <w:highlight w:val="none"/>
                <w:lang w:eastAsia="zh-CN"/>
              </w:rPr>
              <w:t>2台PE250×1200锷式碎机</w:t>
            </w:r>
            <w:r>
              <w:rPr>
                <w:rFonts w:hint="eastAsia"/>
                <w:b w:val="0"/>
                <w:color w:val="auto"/>
                <w:kern w:val="0"/>
                <w:highlight w:val="none"/>
              </w:rPr>
              <w:t>。</w:t>
            </w:r>
          </w:p>
        </w:tc>
        <w:tc>
          <w:tcPr>
            <w:tcW w:w="372" w:type="pct"/>
            <w:tcBorders>
              <w:tl2br w:val="nil"/>
              <w:tr2bl w:val="nil"/>
            </w:tcBorders>
            <w:noWrap w:val="0"/>
            <w:vAlign w:val="center"/>
          </w:tcPr>
          <w:p w14:paraId="4D73FFD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59C97C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752E05E2">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76C4463B">
            <w:pPr>
              <w:pStyle w:val="199"/>
              <w:autoSpaceDE w:val="0"/>
              <w:autoSpaceDN w:val="0"/>
              <w:spacing w:beforeLines="0" w:line="240" w:lineRule="auto"/>
              <w:jc w:val="center"/>
              <w:rPr>
                <w:rFonts w:hint="eastAsia"/>
                <w:b w:val="0"/>
                <w:color w:val="auto"/>
                <w:kern w:val="0"/>
                <w:highlight w:val="none"/>
              </w:rPr>
            </w:pPr>
          </w:p>
        </w:tc>
        <w:tc>
          <w:tcPr>
            <w:tcW w:w="405" w:type="pct"/>
            <w:tcBorders>
              <w:tl2br w:val="nil"/>
              <w:tr2bl w:val="nil"/>
            </w:tcBorders>
            <w:noWrap w:val="0"/>
            <w:vAlign w:val="center"/>
          </w:tcPr>
          <w:p w14:paraId="139946B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筛分</w:t>
            </w:r>
          </w:p>
          <w:p w14:paraId="28FD6E8B">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val="en-US" w:eastAsia="zh-CN"/>
              </w:rPr>
              <w:t>工段</w:t>
            </w:r>
          </w:p>
        </w:tc>
        <w:tc>
          <w:tcPr>
            <w:tcW w:w="3520" w:type="pct"/>
            <w:tcBorders>
              <w:tl2br w:val="nil"/>
              <w:tr2bl w:val="nil"/>
            </w:tcBorders>
            <w:noWrap w:val="0"/>
            <w:vAlign w:val="center"/>
          </w:tcPr>
          <w:p w14:paraId="7A2D48B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设1台</w:t>
            </w:r>
            <w:r>
              <w:rPr>
                <w:rFonts w:hint="eastAsia"/>
                <w:b w:val="0"/>
                <w:color w:val="auto"/>
                <w:kern w:val="0"/>
                <w:highlight w:val="none"/>
                <w:lang w:eastAsia="zh-CN"/>
              </w:rPr>
              <w:t>2000×4000双层振动筛，</w:t>
            </w:r>
            <w:r>
              <w:rPr>
                <w:rFonts w:hint="eastAsia"/>
                <w:b w:val="0"/>
                <w:color w:val="auto"/>
                <w:kern w:val="0"/>
                <w:highlight w:val="none"/>
                <w:lang w:val="en-US" w:eastAsia="zh-CN"/>
              </w:rPr>
              <w:t>1台</w:t>
            </w:r>
            <w:r>
              <w:rPr>
                <w:rFonts w:hint="eastAsia"/>
                <w:b w:val="0"/>
                <w:color w:val="auto"/>
                <w:kern w:val="0"/>
                <w:highlight w:val="none"/>
                <w:lang w:eastAsia="zh-CN"/>
              </w:rPr>
              <w:t>155锤式破碎机</w:t>
            </w:r>
            <w:r>
              <w:rPr>
                <w:rFonts w:hint="eastAsia"/>
                <w:b w:val="0"/>
                <w:color w:val="auto"/>
                <w:kern w:val="0"/>
                <w:highlight w:val="none"/>
              </w:rPr>
              <w:t>。</w:t>
            </w:r>
          </w:p>
        </w:tc>
        <w:tc>
          <w:tcPr>
            <w:tcW w:w="372" w:type="pct"/>
            <w:tcBorders>
              <w:tl2br w:val="nil"/>
              <w:tr2bl w:val="nil"/>
            </w:tcBorders>
            <w:noWrap w:val="0"/>
            <w:vAlign w:val="center"/>
          </w:tcPr>
          <w:p w14:paraId="20BE219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47C70D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412827A">
            <w:pPr>
              <w:pStyle w:val="199"/>
              <w:autoSpaceDE w:val="0"/>
              <w:autoSpaceDN w:val="0"/>
              <w:spacing w:beforeLines="0" w:line="240" w:lineRule="auto"/>
              <w:jc w:val="center"/>
              <w:rPr>
                <w:rFonts w:hint="eastAsia"/>
                <w:b w:val="0"/>
                <w:color w:val="auto"/>
                <w:kern w:val="0"/>
                <w:highlight w:val="none"/>
              </w:rPr>
            </w:pPr>
          </w:p>
        </w:tc>
        <w:tc>
          <w:tcPr>
            <w:tcW w:w="366" w:type="pct"/>
            <w:vMerge w:val="restart"/>
            <w:tcBorders>
              <w:tl2br w:val="nil"/>
              <w:tr2bl w:val="nil"/>
            </w:tcBorders>
            <w:noWrap w:val="0"/>
            <w:vAlign w:val="center"/>
          </w:tcPr>
          <w:p w14:paraId="73F041E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选矿车间</w:t>
            </w:r>
          </w:p>
        </w:tc>
        <w:tc>
          <w:tcPr>
            <w:tcW w:w="405" w:type="pct"/>
            <w:tcBorders>
              <w:tl2br w:val="nil"/>
              <w:tr2bl w:val="nil"/>
            </w:tcBorders>
            <w:noWrap w:val="0"/>
            <w:vAlign w:val="center"/>
          </w:tcPr>
          <w:p w14:paraId="536306F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磨矿</w:t>
            </w:r>
          </w:p>
          <w:p w14:paraId="0395BD0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工段</w:t>
            </w:r>
          </w:p>
        </w:tc>
        <w:tc>
          <w:tcPr>
            <w:tcW w:w="3520" w:type="pct"/>
            <w:tcBorders>
              <w:tl2br w:val="nil"/>
              <w:tr2bl w:val="nil"/>
            </w:tcBorders>
            <w:noWrap w:val="0"/>
            <w:vAlign w:val="center"/>
          </w:tcPr>
          <w:p w14:paraId="09351C8F">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rPr>
              <w:t>钢结构，</w:t>
            </w:r>
            <w:r>
              <w:rPr>
                <w:rFonts w:hint="eastAsia"/>
                <w:b w:val="0"/>
                <w:color w:val="auto"/>
                <w:kern w:val="0"/>
                <w:highlight w:val="none"/>
                <w:lang w:val="en-US" w:eastAsia="zh-CN"/>
              </w:rPr>
              <w:t>建构筑物规格尺寸150m</w:t>
            </w:r>
            <w:r>
              <w:rPr>
                <w:rFonts w:hint="eastAsia"/>
                <w:b w:val="0"/>
                <w:color w:val="auto"/>
                <w:kern w:val="0"/>
                <w:highlight w:val="none"/>
                <w:lang w:eastAsia="zh-CN"/>
              </w:rPr>
              <w:t>×</w:t>
            </w:r>
            <w:r>
              <w:rPr>
                <w:rFonts w:hint="eastAsia"/>
                <w:b w:val="0"/>
                <w:color w:val="auto"/>
                <w:kern w:val="0"/>
                <w:highlight w:val="none"/>
                <w:lang w:val="en-US" w:eastAsia="zh-CN"/>
              </w:rPr>
              <w:t>32m</w:t>
            </w:r>
            <w:r>
              <w:rPr>
                <w:rFonts w:hint="eastAsia"/>
                <w:b w:val="0"/>
                <w:color w:val="auto"/>
                <w:kern w:val="0"/>
                <w:highlight w:val="none"/>
                <w:lang w:eastAsia="zh-CN"/>
              </w:rPr>
              <w:t>×</w:t>
            </w:r>
            <w:r>
              <w:rPr>
                <w:rFonts w:hint="eastAsia"/>
                <w:b w:val="0"/>
                <w:color w:val="auto"/>
                <w:kern w:val="0"/>
                <w:highlight w:val="none"/>
                <w:lang w:val="en-US" w:eastAsia="zh-CN"/>
              </w:rPr>
              <w:t>H12m</w:t>
            </w:r>
            <w:r>
              <w:rPr>
                <w:rFonts w:hint="eastAsia"/>
                <w:b w:val="0"/>
                <w:color w:val="auto"/>
                <w:kern w:val="0"/>
                <w:highlight w:val="none"/>
                <w:lang w:eastAsia="zh-CN"/>
              </w:rPr>
              <w:t>；</w:t>
            </w:r>
          </w:p>
          <w:p w14:paraId="6232D54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设</w:t>
            </w:r>
            <w:r>
              <w:rPr>
                <w:rFonts w:hint="eastAsia"/>
                <w:b w:val="0"/>
                <w:color w:val="auto"/>
                <w:kern w:val="0"/>
                <w:highlight w:val="none"/>
              </w:rPr>
              <w:t>1台给矿机、1台格子型球磨机、1台溢流型球磨机、</w:t>
            </w:r>
            <w:r>
              <w:rPr>
                <w:rFonts w:hint="eastAsia"/>
                <w:b w:val="0"/>
                <w:color w:val="auto"/>
                <w:kern w:val="0"/>
                <w:highlight w:val="none"/>
                <w:lang w:val="en-US" w:eastAsia="zh-CN"/>
              </w:rPr>
              <w:t>1套</w:t>
            </w:r>
            <w:r>
              <w:rPr>
                <w:rFonts w:hint="eastAsia"/>
                <w:b w:val="0"/>
                <w:color w:val="auto"/>
                <w:kern w:val="0"/>
                <w:highlight w:val="none"/>
              </w:rPr>
              <w:t>旋流器组、分级泵等。</w:t>
            </w:r>
          </w:p>
        </w:tc>
        <w:tc>
          <w:tcPr>
            <w:tcW w:w="372" w:type="pct"/>
            <w:tcBorders>
              <w:tl2br w:val="nil"/>
              <w:tr2bl w:val="nil"/>
            </w:tcBorders>
            <w:noWrap w:val="0"/>
            <w:vAlign w:val="center"/>
          </w:tcPr>
          <w:p w14:paraId="1C93FBD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7E750A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951CA82">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19777053">
            <w:pPr>
              <w:pStyle w:val="199"/>
              <w:autoSpaceDE w:val="0"/>
              <w:autoSpaceDN w:val="0"/>
              <w:spacing w:beforeLines="0" w:line="240" w:lineRule="auto"/>
              <w:jc w:val="center"/>
              <w:rPr>
                <w:rFonts w:hint="eastAsia"/>
                <w:b w:val="0"/>
                <w:color w:val="auto"/>
                <w:kern w:val="0"/>
                <w:highlight w:val="none"/>
              </w:rPr>
            </w:pPr>
          </w:p>
        </w:tc>
        <w:tc>
          <w:tcPr>
            <w:tcW w:w="405" w:type="pct"/>
            <w:tcBorders>
              <w:tl2br w:val="nil"/>
              <w:tr2bl w:val="nil"/>
            </w:tcBorders>
            <w:noWrap w:val="0"/>
            <w:vAlign w:val="center"/>
          </w:tcPr>
          <w:p w14:paraId="11A2DEA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浮选</w:t>
            </w:r>
          </w:p>
          <w:p w14:paraId="6DFA5A5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工段</w:t>
            </w:r>
          </w:p>
        </w:tc>
        <w:tc>
          <w:tcPr>
            <w:tcW w:w="3520" w:type="pct"/>
            <w:tcBorders>
              <w:tl2br w:val="nil"/>
              <w:tr2bl w:val="nil"/>
            </w:tcBorders>
            <w:noWrap w:val="0"/>
            <w:vAlign w:val="center"/>
          </w:tcPr>
          <w:p w14:paraId="491F65D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设1台</w:t>
            </w:r>
            <w:r>
              <w:rPr>
                <w:rFonts w:hint="eastAsia"/>
                <w:b w:val="0"/>
                <w:color w:val="auto"/>
                <w:kern w:val="0"/>
                <w:highlight w:val="none"/>
              </w:rPr>
              <w:t>药剂</w:t>
            </w:r>
            <w:r>
              <w:rPr>
                <w:rFonts w:hint="eastAsia"/>
                <w:b w:val="0"/>
                <w:color w:val="auto"/>
                <w:kern w:val="0"/>
                <w:highlight w:val="none"/>
                <w:lang w:val="en-US" w:eastAsia="zh-CN"/>
              </w:rPr>
              <w:t>桶</w:t>
            </w:r>
            <w:r>
              <w:rPr>
                <w:rFonts w:hint="eastAsia"/>
                <w:b w:val="0"/>
                <w:color w:val="auto"/>
                <w:kern w:val="0"/>
                <w:highlight w:val="none"/>
              </w:rPr>
              <w:t>、</w:t>
            </w:r>
            <w:r>
              <w:rPr>
                <w:rFonts w:hint="eastAsia"/>
                <w:b w:val="0"/>
                <w:color w:val="auto"/>
                <w:kern w:val="0"/>
                <w:highlight w:val="none"/>
                <w:lang w:val="en-US" w:eastAsia="zh-CN"/>
              </w:rPr>
              <w:t>3</w:t>
            </w:r>
            <w:r>
              <w:rPr>
                <w:rFonts w:hint="eastAsia"/>
                <w:b w:val="0"/>
                <w:color w:val="auto"/>
                <w:kern w:val="0"/>
                <w:highlight w:val="none"/>
              </w:rPr>
              <w:t>台搅拌槽、</w:t>
            </w:r>
            <w:r>
              <w:rPr>
                <w:rFonts w:hint="eastAsia"/>
                <w:b w:val="0"/>
                <w:color w:val="auto"/>
                <w:kern w:val="0"/>
                <w:highlight w:val="none"/>
                <w:lang w:val="en-US" w:eastAsia="zh-CN"/>
              </w:rPr>
              <w:t>1套</w:t>
            </w:r>
            <w:r>
              <w:rPr>
                <w:rFonts w:hint="eastAsia"/>
                <w:b w:val="0"/>
                <w:color w:val="auto"/>
                <w:kern w:val="0"/>
                <w:highlight w:val="none"/>
              </w:rPr>
              <w:t>浮选机组，</w:t>
            </w:r>
            <w:r>
              <w:rPr>
                <w:rFonts w:hint="eastAsia"/>
                <w:b w:val="0"/>
                <w:color w:val="auto"/>
                <w:kern w:val="0"/>
                <w:highlight w:val="none"/>
                <w:lang w:val="en-US" w:eastAsia="zh-CN"/>
              </w:rPr>
              <w:t>采用</w:t>
            </w:r>
            <w:r>
              <w:rPr>
                <w:rFonts w:hint="eastAsia"/>
                <w:b w:val="0"/>
                <w:color w:val="auto"/>
                <w:kern w:val="0"/>
                <w:highlight w:val="none"/>
              </w:rPr>
              <w:t>一粗</w:t>
            </w:r>
            <w:r>
              <w:rPr>
                <w:rFonts w:hint="eastAsia"/>
                <w:b w:val="0"/>
                <w:color w:val="auto"/>
                <w:kern w:val="0"/>
                <w:highlight w:val="none"/>
                <w:lang w:val="en-US" w:eastAsia="zh-CN"/>
              </w:rPr>
              <w:t>三</w:t>
            </w:r>
            <w:r>
              <w:rPr>
                <w:rFonts w:hint="eastAsia"/>
                <w:b w:val="0"/>
                <w:color w:val="auto"/>
                <w:kern w:val="0"/>
                <w:highlight w:val="none"/>
              </w:rPr>
              <w:t>扫</w:t>
            </w:r>
            <w:r>
              <w:rPr>
                <w:rFonts w:hint="eastAsia"/>
                <w:b w:val="0"/>
                <w:color w:val="auto"/>
                <w:kern w:val="0"/>
                <w:highlight w:val="none"/>
                <w:lang w:val="en-US" w:eastAsia="zh-CN"/>
              </w:rPr>
              <w:t>八</w:t>
            </w:r>
            <w:r>
              <w:rPr>
                <w:rFonts w:hint="eastAsia"/>
                <w:b w:val="0"/>
                <w:color w:val="auto"/>
                <w:kern w:val="0"/>
                <w:highlight w:val="none"/>
              </w:rPr>
              <w:t>精</w:t>
            </w:r>
            <w:r>
              <w:rPr>
                <w:rFonts w:hint="eastAsia"/>
                <w:b w:val="0"/>
                <w:color w:val="auto"/>
                <w:kern w:val="0"/>
                <w:highlight w:val="none"/>
                <w:lang w:val="en-US" w:eastAsia="zh-CN"/>
              </w:rPr>
              <w:t>工艺</w:t>
            </w:r>
            <w:r>
              <w:rPr>
                <w:rFonts w:hint="eastAsia"/>
                <w:b w:val="0"/>
                <w:color w:val="auto"/>
                <w:kern w:val="0"/>
                <w:highlight w:val="none"/>
              </w:rPr>
              <w:t>，配套精矿泵、尾矿泵等。</w:t>
            </w:r>
          </w:p>
        </w:tc>
        <w:tc>
          <w:tcPr>
            <w:tcW w:w="372" w:type="pct"/>
            <w:tcBorders>
              <w:tl2br w:val="nil"/>
              <w:tr2bl w:val="nil"/>
            </w:tcBorders>
            <w:noWrap w:val="0"/>
            <w:vAlign w:val="center"/>
          </w:tcPr>
          <w:p w14:paraId="4D14E89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4ED58E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143D2DAE">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1219543C">
            <w:pPr>
              <w:pStyle w:val="199"/>
              <w:autoSpaceDE w:val="0"/>
              <w:autoSpaceDN w:val="0"/>
              <w:spacing w:beforeLines="0" w:line="240" w:lineRule="auto"/>
              <w:jc w:val="center"/>
              <w:rPr>
                <w:rFonts w:hint="eastAsia"/>
                <w:b w:val="0"/>
                <w:color w:val="auto"/>
                <w:kern w:val="0"/>
                <w:highlight w:val="none"/>
              </w:rPr>
            </w:pPr>
          </w:p>
        </w:tc>
        <w:tc>
          <w:tcPr>
            <w:tcW w:w="405" w:type="pct"/>
            <w:tcBorders>
              <w:tl2br w:val="nil"/>
              <w:tr2bl w:val="nil"/>
            </w:tcBorders>
            <w:noWrap w:val="0"/>
            <w:vAlign w:val="center"/>
          </w:tcPr>
          <w:p w14:paraId="1576A37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脱水</w:t>
            </w:r>
          </w:p>
          <w:p w14:paraId="78920F2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工段</w:t>
            </w:r>
          </w:p>
        </w:tc>
        <w:tc>
          <w:tcPr>
            <w:tcW w:w="3520" w:type="pct"/>
            <w:tcBorders>
              <w:tl2br w:val="nil"/>
              <w:tr2bl w:val="nil"/>
            </w:tcBorders>
            <w:noWrap w:val="0"/>
            <w:vAlign w:val="center"/>
          </w:tcPr>
          <w:p w14:paraId="6599AD1B">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设1台</w:t>
            </w:r>
            <w:r>
              <w:rPr>
                <w:rFonts w:hint="eastAsia"/>
                <w:b w:val="0"/>
                <w:color w:val="auto"/>
                <w:kern w:val="0"/>
                <w:highlight w:val="none"/>
              </w:rPr>
              <w:t>精矿浓缩机、</w:t>
            </w:r>
            <w:r>
              <w:rPr>
                <w:rFonts w:hint="eastAsia"/>
                <w:b w:val="0"/>
                <w:color w:val="auto"/>
                <w:kern w:val="0"/>
                <w:highlight w:val="none"/>
                <w:lang w:val="en-US" w:eastAsia="zh-CN"/>
              </w:rPr>
              <w:t>1台</w:t>
            </w:r>
            <w:r>
              <w:rPr>
                <w:rFonts w:hint="eastAsia"/>
                <w:b w:val="0"/>
                <w:color w:val="auto"/>
                <w:kern w:val="0"/>
                <w:highlight w:val="none"/>
              </w:rPr>
              <w:t>尾矿浓缩机、</w:t>
            </w:r>
            <w:r>
              <w:rPr>
                <w:rFonts w:hint="eastAsia"/>
                <w:b w:val="0"/>
                <w:color w:val="auto"/>
                <w:kern w:val="0"/>
                <w:highlight w:val="none"/>
                <w:lang w:val="en-US" w:eastAsia="zh-CN"/>
              </w:rPr>
              <w:t>1台</w:t>
            </w:r>
            <w:r>
              <w:rPr>
                <w:rFonts w:hint="eastAsia"/>
                <w:b w:val="0"/>
                <w:color w:val="auto"/>
                <w:kern w:val="0"/>
                <w:highlight w:val="none"/>
              </w:rPr>
              <w:t>加药机、</w:t>
            </w:r>
            <w:r>
              <w:rPr>
                <w:rFonts w:hint="eastAsia"/>
                <w:b w:val="0"/>
                <w:color w:val="auto"/>
                <w:kern w:val="0"/>
                <w:highlight w:val="none"/>
                <w:lang w:val="en-US" w:eastAsia="zh-CN"/>
              </w:rPr>
              <w:t>3台</w:t>
            </w:r>
            <w:r>
              <w:rPr>
                <w:rFonts w:hint="eastAsia"/>
                <w:b w:val="0"/>
                <w:color w:val="auto"/>
                <w:kern w:val="0"/>
                <w:highlight w:val="none"/>
              </w:rPr>
              <w:t>搅拌</w:t>
            </w:r>
            <w:r>
              <w:rPr>
                <w:rFonts w:hint="eastAsia"/>
                <w:b w:val="0"/>
                <w:color w:val="auto"/>
                <w:kern w:val="0"/>
                <w:highlight w:val="none"/>
                <w:lang w:val="en-US" w:eastAsia="zh-CN"/>
              </w:rPr>
              <w:t>桶</w:t>
            </w:r>
            <w:r>
              <w:rPr>
                <w:rFonts w:hint="eastAsia"/>
                <w:b w:val="0"/>
                <w:color w:val="auto"/>
                <w:kern w:val="0"/>
                <w:highlight w:val="none"/>
              </w:rPr>
              <w:t>、</w:t>
            </w:r>
            <w:r>
              <w:rPr>
                <w:rFonts w:hint="eastAsia"/>
                <w:b w:val="0"/>
                <w:color w:val="auto"/>
                <w:kern w:val="0"/>
                <w:highlight w:val="none"/>
                <w:lang w:val="en-US" w:eastAsia="zh-CN"/>
              </w:rPr>
              <w:t>1台</w:t>
            </w:r>
            <w:r>
              <w:rPr>
                <w:rFonts w:hint="eastAsia"/>
                <w:b w:val="0"/>
                <w:color w:val="auto"/>
                <w:kern w:val="0"/>
                <w:highlight w:val="none"/>
              </w:rPr>
              <w:t>精矿过滤机、</w:t>
            </w:r>
            <w:r>
              <w:rPr>
                <w:rFonts w:hint="eastAsia"/>
                <w:b w:val="0"/>
                <w:color w:val="auto"/>
                <w:kern w:val="0"/>
                <w:highlight w:val="none"/>
                <w:lang w:val="en-US" w:eastAsia="zh-CN"/>
              </w:rPr>
              <w:t>2台</w:t>
            </w:r>
            <w:r>
              <w:rPr>
                <w:rFonts w:hint="eastAsia"/>
                <w:b w:val="0"/>
                <w:color w:val="auto"/>
                <w:kern w:val="0"/>
                <w:highlight w:val="none"/>
              </w:rPr>
              <w:t>尾矿压滤机等</w:t>
            </w:r>
          </w:p>
        </w:tc>
        <w:tc>
          <w:tcPr>
            <w:tcW w:w="372" w:type="pct"/>
            <w:tcBorders>
              <w:tl2br w:val="nil"/>
              <w:tr2bl w:val="nil"/>
            </w:tcBorders>
            <w:noWrap w:val="0"/>
            <w:vAlign w:val="center"/>
          </w:tcPr>
          <w:p w14:paraId="1E3C734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64B7BE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restart"/>
            <w:tcBorders>
              <w:tl2br w:val="nil"/>
              <w:tr2bl w:val="nil"/>
            </w:tcBorders>
            <w:noWrap w:val="0"/>
            <w:vAlign w:val="center"/>
          </w:tcPr>
          <w:p w14:paraId="7070E1E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公用工程及辅 助设施</w:t>
            </w:r>
          </w:p>
        </w:tc>
        <w:tc>
          <w:tcPr>
            <w:tcW w:w="772" w:type="pct"/>
            <w:gridSpan w:val="2"/>
            <w:vMerge w:val="restart"/>
            <w:tcBorders>
              <w:tl2br w:val="nil"/>
              <w:tr2bl w:val="nil"/>
            </w:tcBorders>
            <w:noWrap w:val="0"/>
            <w:vAlign w:val="center"/>
          </w:tcPr>
          <w:p w14:paraId="1F9B921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给水</w:t>
            </w:r>
          </w:p>
        </w:tc>
        <w:tc>
          <w:tcPr>
            <w:tcW w:w="3520" w:type="pct"/>
            <w:tcBorders>
              <w:tl2br w:val="nil"/>
              <w:tr2bl w:val="nil"/>
            </w:tcBorders>
            <w:noWrap w:val="0"/>
            <w:vAlign w:val="center"/>
          </w:tcPr>
          <w:p w14:paraId="1B38CDA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生产用水：</w:t>
            </w:r>
            <w:r>
              <w:rPr>
                <w:rFonts w:hint="eastAsia"/>
                <w:b w:val="0"/>
                <w:color w:val="auto"/>
                <w:kern w:val="0"/>
                <w:highlight w:val="none"/>
              </w:rPr>
              <w:t>选矿</w:t>
            </w:r>
            <w:r>
              <w:rPr>
                <w:rFonts w:hint="eastAsia"/>
                <w:b w:val="0"/>
                <w:color w:val="auto"/>
                <w:kern w:val="0"/>
                <w:highlight w:val="none"/>
                <w:lang w:val="en-US" w:eastAsia="zh-CN"/>
              </w:rPr>
              <w:t>用补充水用园区中水，采用水罐车拉运</w:t>
            </w:r>
            <w:r>
              <w:rPr>
                <w:rFonts w:hint="eastAsia"/>
                <w:b w:val="0"/>
                <w:color w:val="auto"/>
                <w:kern w:val="0"/>
                <w:highlight w:val="none"/>
              </w:rPr>
              <w:t>，</w:t>
            </w:r>
            <w:r>
              <w:rPr>
                <w:rFonts w:hint="eastAsia"/>
                <w:b w:val="0"/>
                <w:color w:val="auto"/>
                <w:kern w:val="0"/>
                <w:highlight w:val="none"/>
                <w:lang w:val="en-US" w:eastAsia="zh-CN"/>
              </w:rPr>
              <w:t>中水用量为126.0</w:t>
            </w:r>
            <w:r>
              <w:rPr>
                <w:rFonts w:hint="eastAsia"/>
                <w:b w:val="0"/>
                <w:color w:val="auto"/>
                <w:kern w:val="0"/>
                <w:highlight w:val="none"/>
              </w:rPr>
              <w:t>m</w:t>
            </w:r>
            <w:r>
              <w:rPr>
                <w:rFonts w:hint="eastAsia"/>
                <w:b w:val="0"/>
                <w:color w:val="auto"/>
                <w:kern w:val="0"/>
                <w:highlight w:val="none"/>
                <w:vertAlign w:val="superscript"/>
              </w:rPr>
              <w:t>3</w:t>
            </w:r>
            <w:r>
              <w:rPr>
                <w:rFonts w:hint="eastAsia"/>
                <w:b w:val="0"/>
                <w:color w:val="auto"/>
                <w:kern w:val="0"/>
                <w:highlight w:val="none"/>
              </w:rPr>
              <w:t>/</w:t>
            </w:r>
            <w:r>
              <w:rPr>
                <w:rFonts w:hint="eastAsia"/>
                <w:b w:val="0"/>
                <w:color w:val="auto"/>
                <w:kern w:val="0"/>
                <w:highlight w:val="none"/>
                <w:lang w:val="en-US" w:eastAsia="zh-CN"/>
              </w:rPr>
              <w:t>d</w:t>
            </w:r>
            <w:r>
              <w:rPr>
                <w:rFonts w:hint="eastAsia"/>
                <w:b w:val="0"/>
                <w:color w:val="auto"/>
                <w:kern w:val="0"/>
                <w:highlight w:val="none"/>
              </w:rPr>
              <w:t>。</w:t>
            </w:r>
          </w:p>
        </w:tc>
        <w:tc>
          <w:tcPr>
            <w:tcW w:w="372" w:type="pct"/>
            <w:tcBorders>
              <w:tl2br w:val="nil"/>
              <w:tr2bl w:val="nil"/>
            </w:tcBorders>
            <w:noWrap w:val="0"/>
            <w:vAlign w:val="center"/>
          </w:tcPr>
          <w:p w14:paraId="1BA4CF5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6BAA18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A9F1AAC">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78E35CDE">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02D508C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生活用水</w:t>
            </w:r>
            <w:r>
              <w:rPr>
                <w:rFonts w:hint="eastAsia"/>
                <w:b w:val="0"/>
                <w:color w:val="auto"/>
                <w:kern w:val="0"/>
                <w:highlight w:val="none"/>
                <w:lang w:eastAsia="zh-CN"/>
              </w:rPr>
              <w:t>：</w:t>
            </w:r>
            <w:r>
              <w:rPr>
                <w:rFonts w:hint="eastAsia"/>
                <w:b w:val="0"/>
                <w:color w:val="auto"/>
                <w:kern w:val="0"/>
                <w:highlight w:val="none"/>
                <w:lang w:val="en-US" w:eastAsia="zh-CN"/>
              </w:rPr>
              <w:t>依托多伦县盟东水泥厂现有自备水井，新增</w:t>
            </w:r>
            <w:r>
              <w:rPr>
                <w:rFonts w:hint="eastAsia"/>
                <w:b w:val="0"/>
                <w:color w:val="auto"/>
                <w:kern w:val="0"/>
                <w:highlight w:val="none"/>
              </w:rPr>
              <w:t>生活用水约</w:t>
            </w:r>
            <w:r>
              <w:rPr>
                <w:rFonts w:hint="eastAsia"/>
                <w:b w:val="0"/>
                <w:color w:val="auto"/>
                <w:kern w:val="0"/>
                <w:highlight w:val="none"/>
                <w:lang w:val="en-US" w:eastAsia="zh-CN"/>
              </w:rPr>
              <w:t>1.8</w:t>
            </w:r>
            <w:r>
              <w:rPr>
                <w:rFonts w:hint="eastAsia"/>
                <w:b w:val="0"/>
                <w:color w:val="auto"/>
                <w:kern w:val="0"/>
                <w:highlight w:val="none"/>
              </w:rPr>
              <w:t>m</w:t>
            </w:r>
            <w:r>
              <w:rPr>
                <w:rFonts w:hint="eastAsia"/>
                <w:b w:val="0"/>
                <w:color w:val="auto"/>
                <w:kern w:val="0"/>
                <w:highlight w:val="none"/>
                <w:vertAlign w:val="superscript"/>
              </w:rPr>
              <w:t>3</w:t>
            </w:r>
            <w:r>
              <w:rPr>
                <w:rFonts w:hint="eastAsia"/>
                <w:b w:val="0"/>
                <w:color w:val="auto"/>
                <w:kern w:val="0"/>
                <w:highlight w:val="none"/>
              </w:rPr>
              <w:t>/</w:t>
            </w:r>
            <w:r>
              <w:rPr>
                <w:rFonts w:hint="eastAsia"/>
                <w:b w:val="0"/>
                <w:color w:val="auto"/>
                <w:kern w:val="0"/>
                <w:highlight w:val="none"/>
                <w:lang w:val="en-US" w:eastAsia="zh-CN"/>
              </w:rPr>
              <w:t>d</w:t>
            </w:r>
            <w:r>
              <w:rPr>
                <w:rFonts w:hint="eastAsia"/>
                <w:b w:val="0"/>
                <w:color w:val="auto"/>
                <w:kern w:val="0"/>
                <w:highlight w:val="none"/>
              </w:rPr>
              <w:t>。</w:t>
            </w:r>
          </w:p>
        </w:tc>
        <w:tc>
          <w:tcPr>
            <w:tcW w:w="372" w:type="pct"/>
            <w:tcBorders>
              <w:tl2br w:val="nil"/>
              <w:tr2bl w:val="nil"/>
            </w:tcBorders>
            <w:noWrap w:val="0"/>
            <w:vAlign w:val="center"/>
          </w:tcPr>
          <w:p w14:paraId="4D02E687">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依托</w:t>
            </w:r>
          </w:p>
        </w:tc>
      </w:tr>
      <w:tr w14:paraId="2DF1F2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63F33B3D">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restart"/>
            <w:tcBorders>
              <w:tl2br w:val="nil"/>
              <w:tr2bl w:val="nil"/>
            </w:tcBorders>
            <w:noWrap w:val="0"/>
            <w:vAlign w:val="center"/>
          </w:tcPr>
          <w:p w14:paraId="752FEE3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排水</w:t>
            </w:r>
          </w:p>
        </w:tc>
        <w:tc>
          <w:tcPr>
            <w:tcW w:w="3520" w:type="pct"/>
            <w:tcBorders>
              <w:tl2br w:val="nil"/>
              <w:tr2bl w:val="nil"/>
            </w:tcBorders>
            <w:noWrap w:val="0"/>
            <w:vAlign w:val="center"/>
          </w:tcPr>
          <w:p w14:paraId="339B4463">
            <w:pPr>
              <w:pStyle w:val="199"/>
              <w:autoSpaceDE w:val="0"/>
              <w:autoSpaceDN w:val="0"/>
              <w:spacing w:beforeLines="0" w:line="240" w:lineRule="auto"/>
              <w:jc w:val="center"/>
              <w:rPr>
                <w:rFonts w:hint="default"/>
                <w:b w:val="0"/>
                <w:color w:val="auto"/>
                <w:kern w:val="0"/>
                <w:highlight w:val="none"/>
                <w:lang w:val="en-US"/>
              </w:rPr>
            </w:pPr>
            <w:r>
              <w:rPr>
                <w:rFonts w:hint="eastAsia"/>
                <w:b w:val="0"/>
                <w:color w:val="auto"/>
                <w:kern w:val="0"/>
                <w:highlight w:val="none"/>
              </w:rPr>
              <w:t>选矿废水</w:t>
            </w:r>
            <w:r>
              <w:rPr>
                <w:rFonts w:hint="eastAsia"/>
                <w:b w:val="0"/>
                <w:color w:val="auto"/>
                <w:kern w:val="0"/>
                <w:highlight w:val="none"/>
                <w:lang w:eastAsia="zh-CN"/>
              </w:rPr>
              <w:t>：</w:t>
            </w:r>
            <w:r>
              <w:rPr>
                <w:rFonts w:hint="eastAsia"/>
                <w:b w:val="0"/>
                <w:color w:val="auto"/>
                <w:kern w:val="0"/>
                <w:highlight w:val="none"/>
              </w:rPr>
              <w:t>闭路循环</w:t>
            </w:r>
            <w:r>
              <w:rPr>
                <w:rFonts w:hint="eastAsia"/>
                <w:b w:val="0"/>
                <w:color w:val="auto"/>
                <w:kern w:val="0"/>
                <w:highlight w:val="none"/>
                <w:lang w:val="en-US" w:eastAsia="zh-CN"/>
              </w:rPr>
              <w:t>使用，</w:t>
            </w:r>
            <w:r>
              <w:rPr>
                <w:rFonts w:hint="eastAsia"/>
                <w:b w:val="0"/>
                <w:color w:val="auto"/>
                <w:kern w:val="0"/>
                <w:highlight w:val="none"/>
              </w:rPr>
              <w:t>不外排，</w:t>
            </w:r>
            <w:r>
              <w:rPr>
                <w:rFonts w:hint="eastAsia"/>
                <w:b w:val="0"/>
                <w:color w:val="auto"/>
                <w:kern w:val="0"/>
                <w:highlight w:val="none"/>
                <w:lang w:val="en-US" w:eastAsia="zh-CN"/>
              </w:rPr>
              <w:t>厂区新建容积约9000m</w:t>
            </w:r>
            <w:r>
              <w:rPr>
                <w:rFonts w:hint="eastAsia"/>
                <w:b w:val="0"/>
                <w:color w:val="auto"/>
                <w:kern w:val="0"/>
                <w:highlight w:val="none"/>
                <w:vertAlign w:val="superscript"/>
                <w:lang w:val="en-US" w:eastAsia="zh-CN"/>
              </w:rPr>
              <w:t>3</w:t>
            </w:r>
            <w:r>
              <w:rPr>
                <w:rFonts w:hint="eastAsia"/>
                <w:b w:val="0"/>
                <w:color w:val="auto"/>
                <w:kern w:val="0"/>
                <w:highlight w:val="none"/>
                <w:lang w:val="en-US" w:eastAsia="zh-CN"/>
              </w:rPr>
              <w:t>循环水池。</w:t>
            </w:r>
          </w:p>
        </w:tc>
        <w:tc>
          <w:tcPr>
            <w:tcW w:w="372" w:type="pct"/>
            <w:tcBorders>
              <w:tl2br w:val="nil"/>
              <w:tr2bl w:val="nil"/>
            </w:tcBorders>
            <w:noWrap w:val="0"/>
            <w:vAlign w:val="center"/>
          </w:tcPr>
          <w:p w14:paraId="21F752B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14E8E0C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6C423986">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1EE83796">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343919E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生活</w:t>
            </w:r>
            <w:r>
              <w:rPr>
                <w:rFonts w:hint="eastAsia"/>
                <w:b w:val="0"/>
                <w:color w:val="auto"/>
                <w:kern w:val="0"/>
                <w:highlight w:val="none"/>
                <w:lang w:val="en-US" w:eastAsia="zh-CN"/>
              </w:rPr>
              <w:t>污水</w:t>
            </w:r>
            <w:r>
              <w:rPr>
                <w:rFonts w:hint="eastAsia"/>
                <w:b w:val="0"/>
                <w:color w:val="auto"/>
                <w:kern w:val="0"/>
                <w:highlight w:val="none"/>
                <w:lang w:eastAsia="zh-CN"/>
              </w:rPr>
              <w:t>：</w:t>
            </w:r>
            <w:r>
              <w:rPr>
                <w:rFonts w:hint="eastAsia"/>
                <w:b w:val="0"/>
                <w:color w:val="auto"/>
                <w:kern w:val="0"/>
                <w:highlight w:val="none"/>
                <w:lang w:val="en-US" w:eastAsia="zh-CN"/>
              </w:rPr>
              <w:t>依托多伦县盟东水泥厂办公区化粪池收集处理，定期清运至诺尔镇污水处理厂处理，新增</w:t>
            </w:r>
            <w:r>
              <w:rPr>
                <w:rFonts w:hint="eastAsia"/>
                <w:b w:val="0"/>
                <w:color w:val="auto"/>
                <w:kern w:val="0"/>
                <w:highlight w:val="none"/>
              </w:rPr>
              <w:t>生活</w:t>
            </w:r>
            <w:r>
              <w:rPr>
                <w:rFonts w:hint="eastAsia"/>
                <w:b w:val="0"/>
                <w:color w:val="auto"/>
                <w:kern w:val="0"/>
                <w:highlight w:val="none"/>
                <w:lang w:val="en-US" w:eastAsia="zh-CN"/>
              </w:rPr>
              <w:t>污</w:t>
            </w:r>
            <w:r>
              <w:rPr>
                <w:rFonts w:hint="eastAsia"/>
                <w:b w:val="0"/>
                <w:color w:val="auto"/>
                <w:kern w:val="0"/>
                <w:highlight w:val="none"/>
              </w:rPr>
              <w:t>水约</w:t>
            </w:r>
            <w:r>
              <w:rPr>
                <w:rFonts w:hint="eastAsia"/>
                <w:b w:val="0"/>
                <w:color w:val="auto"/>
                <w:kern w:val="0"/>
                <w:highlight w:val="none"/>
                <w:lang w:val="en-US" w:eastAsia="zh-CN"/>
              </w:rPr>
              <w:t>1.44</w:t>
            </w:r>
            <w:r>
              <w:rPr>
                <w:rFonts w:hint="eastAsia"/>
                <w:b w:val="0"/>
                <w:color w:val="auto"/>
                <w:kern w:val="0"/>
                <w:highlight w:val="none"/>
              </w:rPr>
              <w:t>m</w:t>
            </w:r>
            <w:r>
              <w:rPr>
                <w:rFonts w:hint="eastAsia"/>
                <w:b w:val="0"/>
                <w:color w:val="auto"/>
                <w:kern w:val="0"/>
                <w:highlight w:val="none"/>
                <w:vertAlign w:val="superscript"/>
              </w:rPr>
              <w:t>3</w:t>
            </w:r>
            <w:r>
              <w:rPr>
                <w:rFonts w:hint="eastAsia"/>
                <w:b w:val="0"/>
                <w:color w:val="auto"/>
                <w:kern w:val="0"/>
                <w:highlight w:val="none"/>
              </w:rPr>
              <w:t>/</w:t>
            </w:r>
            <w:r>
              <w:rPr>
                <w:rFonts w:hint="eastAsia"/>
                <w:b w:val="0"/>
                <w:color w:val="auto"/>
                <w:kern w:val="0"/>
                <w:highlight w:val="none"/>
                <w:lang w:val="en-US" w:eastAsia="zh-CN"/>
              </w:rPr>
              <w:t>d</w:t>
            </w:r>
            <w:r>
              <w:rPr>
                <w:rFonts w:hint="eastAsia"/>
                <w:b w:val="0"/>
                <w:color w:val="auto"/>
                <w:kern w:val="0"/>
                <w:highlight w:val="none"/>
              </w:rPr>
              <w:t>。</w:t>
            </w:r>
          </w:p>
        </w:tc>
        <w:tc>
          <w:tcPr>
            <w:tcW w:w="372" w:type="pct"/>
            <w:tcBorders>
              <w:tl2br w:val="nil"/>
              <w:tr2bl w:val="nil"/>
            </w:tcBorders>
            <w:noWrap w:val="0"/>
            <w:vAlign w:val="center"/>
          </w:tcPr>
          <w:p w14:paraId="10BBBA3D">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依托</w:t>
            </w:r>
          </w:p>
        </w:tc>
      </w:tr>
      <w:tr w14:paraId="365106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794C687D">
            <w:pPr>
              <w:pStyle w:val="199"/>
              <w:autoSpaceDE w:val="0"/>
              <w:autoSpaceDN w:val="0"/>
              <w:spacing w:beforeLines="0" w:line="240" w:lineRule="auto"/>
              <w:jc w:val="center"/>
              <w:rPr>
                <w:rFonts w:hint="eastAsia"/>
                <w:b w:val="0"/>
                <w:color w:val="auto"/>
                <w:kern w:val="0"/>
                <w:highlight w:val="none"/>
              </w:rPr>
            </w:pPr>
          </w:p>
        </w:tc>
        <w:tc>
          <w:tcPr>
            <w:tcW w:w="772" w:type="pct"/>
            <w:gridSpan w:val="2"/>
            <w:tcBorders>
              <w:tl2br w:val="nil"/>
              <w:tr2bl w:val="nil"/>
            </w:tcBorders>
            <w:noWrap w:val="0"/>
            <w:vAlign w:val="center"/>
          </w:tcPr>
          <w:p w14:paraId="346ED43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供热</w:t>
            </w:r>
          </w:p>
        </w:tc>
        <w:tc>
          <w:tcPr>
            <w:tcW w:w="3520" w:type="pct"/>
            <w:tcBorders>
              <w:tl2br w:val="nil"/>
              <w:tr2bl w:val="nil"/>
            </w:tcBorders>
            <w:noWrap w:val="0"/>
            <w:vAlign w:val="center"/>
          </w:tcPr>
          <w:p w14:paraId="3F7DD7AA">
            <w:pPr>
              <w:pStyle w:val="199"/>
              <w:autoSpaceDE w:val="0"/>
              <w:autoSpaceDN w:val="0"/>
              <w:spacing w:beforeLines="0" w:line="240" w:lineRule="auto"/>
              <w:jc w:val="center"/>
              <w:rPr>
                <w:rFonts w:hint="default"/>
                <w:b w:val="0"/>
                <w:color w:val="auto"/>
                <w:kern w:val="0"/>
                <w:highlight w:val="none"/>
                <w:lang w:val="en-US" w:eastAsia="zh-CN"/>
              </w:rPr>
            </w:pPr>
            <w:r>
              <w:rPr>
                <w:rFonts w:hint="eastAsia"/>
                <w:b w:val="0"/>
                <w:color w:val="auto"/>
                <w:kern w:val="0"/>
                <w:highlight w:val="none"/>
                <w:lang w:val="en-US" w:eastAsia="zh-CN"/>
              </w:rPr>
              <w:t>本项目生产车间及办公区采用空气电能供热方式，不新增燃料型供热锅炉。</w:t>
            </w:r>
          </w:p>
        </w:tc>
        <w:tc>
          <w:tcPr>
            <w:tcW w:w="372" w:type="pct"/>
            <w:tcBorders>
              <w:tl2br w:val="nil"/>
              <w:tr2bl w:val="nil"/>
            </w:tcBorders>
            <w:noWrap w:val="0"/>
            <w:vAlign w:val="center"/>
          </w:tcPr>
          <w:p w14:paraId="6E4C942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51C791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539AABD">
            <w:pPr>
              <w:pStyle w:val="199"/>
              <w:autoSpaceDE w:val="0"/>
              <w:autoSpaceDN w:val="0"/>
              <w:spacing w:beforeLines="0" w:line="240" w:lineRule="auto"/>
              <w:jc w:val="center"/>
              <w:rPr>
                <w:rFonts w:hint="eastAsia"/>
                <w:b w:val="0"/>
                <w:color w:val="auto"/>
                <w:kern w:val="0"/>
                <w:highlight w:val="none"/>
              </w:rPr>
            </w:pPr>
          </w:p>
        </w:tc>
        <w:tc>
          <w:tcPr>
            <w:tcW w:w="772" w:type="pct"/>
            <w:gridSpan w:val="2"/>
            <w:tcBorders>
              <w:tl2br w:val="nil"/>
              <w:tr2bl w:val="nil"/>
            </w:tcBorders>
            <w:noWrap w:val="0"/>
            <w:vAlign w:val="center"/>
          </w:tcPr>
          <w:p w14:paraId="16CA1F9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供电</w:t>
            </w:r>
          </w:p>
        </w:tc>
        <w:tc>
          <w:tcPr>
            <w:tcW w:w="3520" w:type="pct"/>
            <w:tcBorders>
              <w:tl2br w:val="nil"/>
              <w:tr2bl w:val="nil"/>
            </w:tcBorders>
            <w:noWrap w:val="0"/>
            <w:vAlign w:val="center"/>
          </w:tcPr>
          <w:p w14:paraId="463F0B45">
            <w:pPr>
              <w:pStyle w:val="199"/>
              <w:autoSpaceDE w:val="0"/>
              <w:autoSpaceDN w:val="0"/>
              <w:spacing w:beforeLines="0" w:line="240" w:lineRule="auto"/>
              <w:jc w:val="center"/>
              <w:rPr>
                <w:rFonts w:hint="default"/>
                <w:b w:val="0"/>
                <w:color w:val="auto"/>
                <w:kern w:val="0"/>
                <w:highlight w:val="none"/>
                <w:lang w:val="en-US"/>
              </w:rPr>
            </w:pPr>
            <w:r>
              <w:rPr>
                <w:rFonts w:hint="eastAsia"/>
                <w:b w:val="0"/>
                <w:color w:val="auto"/>
                <w:kern w:val="0"/>
                <w:highlight w:val="none"/>
                <w:lang w:val="en-US" w:eastAsia="zh-CN"/>
              </w:rPr>
              <w:t>采用单电源不分段供电方式，电源引多伦县变电站蒙东水泥专线，厂房建有10kV变配电室一座，设置1600kVA变压器两台</w:t>
            </w:r>
            <w:r>
              <w:rPr>
                <w:rFonts w:hint="eastAsia"/>
                <w:b w:val="0"/>
                <w:color w:val="auto"/>
                <w:kern w:val="0"/>
                <w:highlight w:val="none"/>
                <w:lang w:eastAsia="zh-CN"/>
              </w:rPr>
              <w:t>，</w:t>
            </w:r>
            <w:r>
              <w:rPr>
                <w:rFonts w:hint="eastAsia"/>
                <w:b w:val="0"/>
                <w:color w:val="auto"/>
                <w:kern w:val="0"/>
                <w:highlight w:val="none"/>
                <w:lang w:val="en-US" w:eastAsia="zh-CN"/>
              </w:rPr>
              <w:t>项目耗电量769</w:t>
            </w:r>
            <w:r>
              <w:rPr>
                <w:rFonts w:hint="eastAsia"/>
                <w:b w:val="0"/>
                <w:color w:val="auto"/>
                <w:kern w:val="0"/>
                <w:highlight w:val="none"/>
                <w:lang w:eastAsia="zh-CN"/>
              </w:rPr>
              <w:t>×</w:t>
            </w:r>
            <w:r>
              <w:rPr>
                <w:rFonts w:hint="eastAsia"/>
                <w:b w:val="0"/>
                <w:color w:val="auto"/>
                <w:kern w:val="0"/>
                <w:highlight w:val="none"/>
                <w:lang w:val="en-US" w:eastAsia="zh-CN"/>
              </w:rPr>
              <w:t>10</w:t>
            </w:r>
            <w:r>
              <w:rPr>
                <w:rFonts w:hint="eastAsia"/>
                <w:b w:val="0"/>
                <w:color w:val="auto"/>
                <w:kern w:val="0"/>
                <w:highlight w:val="none"/>
                <w:vertAlign w:val="superscript"/>
                <w:lang w:val="en-US" w:eastAsia="zh-CN"/>
              </w:rPr>
              <w:t>4</w:t>
            </w:r>
            <w:r>
              <w:rPr>
                <w:rFonts w:hint="eastAsia"/>
                <w:b w:val="0"/>
                <w:color w:val="auto"/>
                <w:kern w:val="0"/>
                <w:highlight w:val="none"/>
                <w:lang w:val="en-US" w:eastAsia="zh-CN"/>
              </w:rPr>
              <w:t>kW.h/a。</w:t>
            </w:r>
          </w:p>
        </w:tc>
        <w:tc>
          <w:tcPr>
            <w:tcW w:w="372" w:type="pct"/>
            <w:tcBorders>
              <w:tl2br w:val="nil"/>
              <w:tr2bl w:val="nil"/>
            </w:tcBorders>
            <w:noWrap w:val="0"/>
            <w:vAlign w:val="center"/>
          </w:tcPr>
          <w:p w14:paraId="1D6C2AE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35AEE9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31E8D7DB">
            <w:pPr>
              <w:pStyle w:val="199"/>
              <w:autoSpaceDE w:val="0"/>
              <w:autoSpaceDN w:val="0"/>
              <w:spacing w:beforeLines="0" w:line="240" w:lineRule="auto"/>
              <w:jc w:val="center"/>
              <w:rPr>
                <w:rFonts w:hint="eastAsia"/>
                <w:b w:val="0"/>
                <w:color w:val="auto"/>
                <w:kern w:val="0"/>
                <w:highlight w:val="none"/>
              </w:rPr>
            </w:pPr>
          </w:p>
        </w:tc>
        <w:tc>
          <w:tcPr>
            <w:tcW w:w="772" w:type="pct"/>
            <w:gridSpan w:val="2"/>
            <w:tcBorders>
              <w:tl2br w:val="nil"/>
              <w:tr2bl w:val="nil"/>
            </w:tcBorders>
            <w:noWrap w:val="0"/>
            <w:vAlign w:val="center"/>
          </w:tcPr>
          <w:p w14:paraId="387873E7">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办公区</w:t>
            </w:r>
          </w:p>
        </w:tc>
        <w:tc>
          <w:tcPr>
            <w:tcW w:w="3520" w:type="pct"/>
            <w:tcBorders>
              <w:tl2br w:val="nil"/>
              <w:tr2bl w:val="nil"/>
            </w:tcBorders>
            <w:noWrap w:val="0"/>
            <w:vAlign w:val="center"/>
          </w:tcPr>
          <w:p w14:paraId="3AF9192A">
            <w:pPr>
              <w:pStyle w:val="199"/>
              <w:autoSpaceDE w:val="0"/>
              <w:autoSpaceDN w:val="0"/>
              <w:spacing w:beforeLines="0" w:line="240" w:lineRule="auto"/>
              <w:jc w:val="center"/>
              <w:rPr>
                <w:rFonts w:hint="default"/>
                <w:b w:val="0"/>
                <w:color w:val="auto"/>
                <w:kern w:val="0"/>
                <w:highlight w:val="none"/>
                <w:lang w:val="en-US" w:eastAsia="zh-CN"/>
              </w:rPr>
            </w:pPr>
            <w:r>
              <w:rPr>
                <w:rFonts w:hint="eastAsia"/>
                <w:b w:val="0"/>
                <w:color w:val="auto"/>
                <w:kern w:val="0"/>
                <w:highlight w:val="none"/>
                <w:lang w:val="en-US" w:eastAsia="zh-CN"/>
              </w:rPr>
              <w:t>项目办公用房依托多伦县盟东水泥厂现有办公用房，不新建办公楼。</w:t>
            </w:r>
          </w:p>
        </w:tc>
        <w:tc>
          <w:tcPr>
            <w:tcW w:w="372" w:type="pct"/>
            <w:tcBorders>
              <w:tl2br w:val="nil"/>
              <w:tr2bl w:val="nil"/>
            </w:tcBorders>
            <w:noWrap w:val="0"/>
            <w:vAlign w:val="center"/>
          </w:tcPr>
          <w:p w14:paraId="0433E52C">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依托</w:t>
            </w:r>
          </w:p>
        </w:tc>
      </w:tr>
      <w:tr w14:paraId="12E6C3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restart"/>
            <w:tcBorders>
              <w:tl2br w:val="nil"/>
              <w:tr2bl w:val="nil"/>
            </w:tcBorders>
            <w:noWrap w:val="0"/>
            <w:vAlign w:val="center"/>
          </w:tcPr>
          <w:p w14:paraId="32936A97">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储运工程</w:t>
            </w:r>
          </w:p>
        </w:tc>
        <w:tc>
          <w:tcPr>
            <w:tcW w:w="772" w:type="pct"/>
            <w:gridSpan w:val="2"/>
            <w:tcBorders>
              <w:tl2br w:val="nil"/>
              <w:tr2bl w:val="nil"/>
            </w:tcBorders>
            <w:noWrap w:val="0"/>
            <w:vAlign w:val="center"/>
          </w:tcPr>
          <w:p w14:paraId="7375CCA8">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rPr>
              <w:t>原矿堆</w:t>
            </w:r>
            <w:r>
              <w:rPr>
                <w:rFonts w:hint="eastAsia"/>
                <w:b w:val="0"/>
                <w:color w:val="auto"/>
                <w:kern w:val="0"/>
                <w:highlight w:val="none"/>
                <w:lang w:val="en-US" w:eastAsia="zh-CN"/>
              </w:rPr>
              <w:t>存库</w:t>
            </w:r>
          </w:p>
        </w:tc>
        <w:tc>
          <w:tcPr>
            <w:tcW w:w="3520" w:type="pct"/>
            <w:tcBorders>
              <w:tl2br w:val="nil"/>
              <w:tr2bl w:val="nil"/>
            </w:tcBorders>
            <w:noWrap w:val="0"/>
            <w:vAlign w:val="center"/>
          </w:tcPr>
          <w:p w14:paraId="2CA8F9A1">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原矿堆场位于选矿车间</w:t>
            </w:r>
            <w:r>
              <w:rPr>
                <w:rFonts w:hint="eastAsia"/>
                <w:b w:val="0"/>
                <w:color w:val="auto"/>
                <w:kern w:val="0"/>
                <w:highlight w:val="none"/>
                <w:lang w:val="en-US" w:eastAsia="zh-CN"/>
              </w:rPr>
              <w:t>西</w:t>
            </w:r>
            <w:r>
              <w:rPr>
                <w:rFonts w:hint="eastAsia"/>
                <w:b w:val="0"/>
                <w:color w:val="auto"/>
                <w:kern w:val="0"/>
                <w:highlight w:val="none"/>
              </w:rPr>
              <w:t>侧，占地约</w:t>
            </w:r>
            <w:r>
              <w:rPr>
                <w:rFonts w:hint="eastAsia"/>
                <w:b w:val="0"/>
                <w:color w:val="auto"/>
                <w:kern w:val="0"/>
                <w:highlight w:val="none"/>
                <w:lang w:val="en-US" w:eastAsia="zh-CN"/>
              </w:rPr>
              <w:t>4000m</w:t>
            </w:r>
            <w:r>
              <w:rPr>
                <w:rFonts w:hint="eastAsia"/>
                <w:b w:val="0"/>
                <w:color w:val="auto"/>
                <w:kern w:val="0"/>
                <w:highlight w:val="none"/>
                <w:vertAlign w:val="superscript"/>
                <w:lang w:val="en-US" w:eastAsia="zh-CN"/>
              </w:rPr>
              <w:t>2</w:t>
            </w:r>
            <w:r>
              <w:rPr>
                <w:rFonts w:hint="eastAsia"/>
                <w:b w:val="0"/>
                <w:color w:val="auto"/>
                <w:kern w:val="0"/>
                <w:highlight w:val="none"/>
                <w:lang w:val="en-US" w:eastAsia="zh-CN"/>
              </w:rPr>
              <w:t>，</w:t>
            </w:r>
            <w:r>
              <w:rPr>
                <w:rFonts w:hint="eastAsia"/>
                <w:b w:val="0"/>
                <w:color w:val="auto"/>
                <w:kern w:val="0"/>
                <w:highlight w:val="none"/>
              </w:rPr>
              <w:t>全封闭彩钢结构</w:t>
            </w:r>
            <w:r>
              <w:rPr>
                <w:rFonts w:hint="eastAsia"/>
                <w:b w:val="0"/>
                <w:color w:val="auto"/>
                <w:kern w:val="0"/>
                <w:highlight w:val="none"/>
                <w:lang w:val="en-US" w:eastAsia="zh-CN"/>
              </w:rPr>
              <w:t>，最大堆存矿石量为20000t，周转周期为20天。</w:t>
            </w:r>
          </w:p>
        </w:tc>
        <w:tc>
          <w:tcPr>
            <w:tcW w:w="372" w:type="pct"/>
            <w:tcBorders>
              <w:tl2br w:val="nil"/>
              <w:tr2bl w:val="nil"/>
            </w:tcBorders>
            <w:noWrap w:val="0"/>
            <w:vAlign w:val="center"/>
          </w:tcPr>
          <w:p w14:paraId="706CF19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00E048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64C55F0">
            <w:pPr>
              <w:pStyle w:val="199"/>
              <w:autoSpaceDE w:val="0"/>
              <w:autoSpaceDN w:val="0"/>
              <w:spacing w:beforeLines="0" w:line="240" w:lineRule="auto"/>
              <w:jc w:val="center"/>
              <w:rPr>
                <w:rFonts w:hint="eastAsia"/>
                <w:b w:val="0"/>
                <w:color w:val="auto"/>
                <w:kern w:val="0"/>
                <w:highlight w:val="none"/>
              </w:rPr>
            </w:pPr>
          </w:p>
        </w:tc>
        <w:tc>
          <w:tcPr>
            <w:tcW w:w="772" w:type="pct"/>
            <w:gridSpan w:val="2"/>
            <w:tcBorders>
              <w:tl2br w:val="nil"/>
              <w:tr2bl w:val="nil"/>
            </w:tcBorders>
            <w:noWrap w:val="0"/>
            <w:vAlign w:val="center"/>
          </w:tcPr>
          <w:p w14:paraId="56E09784">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尾矿</w:t>
            </w:r>
            <w:r>
              <w:rPr>
                <w:rFonts w:hint="eastAsia"/>
                <w:b w:val="0"/>
                <w:color w:val="auto"/>
                <w:kern w:val="0"/>
                <w:highlight w:val="none"/>
                <w:lang w:val="en-US" w:eastAsia="zh-CN"/>
              </w:rPr>
              <w:t>砂暂存</w:t>
            </w:r>
            <w:r>
              <w:rPr>
                <w:rFonts w:hint="eastAsia"/>
                <w:b w:val="0"/>
                <w:color w:val="auto"/>
                <w:kern w:val="0"/>
                <w:highlight w:val="none"/>
              </w:rPr>
              <w:t>库</w:t>
            </w:r>
          </w:p>
        </w:tc>
        <w:tc>
          <w:tcPr>
            <w:tcW w:w="3520" w:type="pct"/>
            <w:tcBorders>
              <w:tl2br w:val="nil"/>
              <w:tr2bl w:val="nil"/>
            </w:tcBorders>
            <w:noWrap w:val="0"/>
            <w:vAlign w:val="center"/>
          </w:tcPr>
          <w:p w14:paraId="77AB1F46">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尾矿</w:t>
            </w:r>
            <w:r>
              <w:rPr>
                <w:rFonts w:hint="eastAsia"/>
                <w:b w:val="0"/>
                <w:color w:val="auto"/>
                <w:kern w:val="0"/>
                <w:highlight w:val="none"/>
                <w:lang w:val="en-US" w:eastAsia="zh-CN"/>
              </w:rPr>
              <w:t>砂暂存库</w:t>
            </w:r>
            <w:r>
              <w:rPr>
                <w:rFonts w:hint="eastAsia"/>
                <w:b w:val="0"/>
                <w:color w:val="auto"/>
                <w:kern w:val="0"/>
                <w:highlight w:val="none"/>
              </w:rPr>
              <w:t>位于选矿车间</w:t>
            </w:r>
            <w:r>
              <w:rPr>
                <w:rFonts w:hint="eastAsia"/>
                <w:b w:val="0"/>
                <w:color w:val="auto"/>
                <w:kern w:val="0"/>
                <w:highlight w:val="none"/>
                <w:lang w:val="en-US" w:eastAsia="zh-CN"/>
              </w:rPr>
              <w:t>西南</w:t>
            </w:r>
            <w:r>
              <w:rPr>
                <w:rFonts w:hint="eastAsia"/>
                <w:b w:val="0"/>
                <w:color w:val="auto"/>
                <w:kern w:val="0"/>
                <w:highlight w:val="none"/>
              </w:rPr>
              <w:t>，占地约</w:t>
            </w:r>
            <w:r>
              <w:rPr>
                <w:rFonts w:hint="eastAsia"/>
                <w:b w:val="0"/>
                <w:color w:val="auto"/>
                <w:kern w:val="0"/>
                <w:highlight w:val="none"/>
                <w:lang w:val="en-US" w:eastAsia="zh-CN"/>
              </w:rPr>
              <w:t>8</w:t>
            </w:r>
            <w:r>
              <w:rPr>
                <w:rFonts w:hint="default"/>
                <w:b w:val="0"/>
                <w:color w:val="auto"/>
                <w:kern w:val="0"/>
                <w:highlight w:val="none"/>
                <w:lang w:val="en-US" w:eastAsia="zh-CN"/>
              </w:rPr>
              <w:t>00</w:t>
            </w:r>
            <w:r>
              <w:rPr>
                <w:rFonts w:hint="eastAsia"/>
                <w:b w:val="0"/>
                <w:color w:val="auto"/>
                <w:kern w:val="0"/>
                <w:highlight w:val="none"/>
                <w:lang w:val="en-US" w:eastAsia="zh-CN"/>
              </w:rPr>
              <w:t>m</w:t>
            </w:r>
            <w:r>
              <w:rPr>
                <w:rFonts w:hint="eastAsia"/>
                <w:b w:val="0"/>
                <w:color w:val="auto"/>
                <w:kern w:val="0"/>
                <w:highlight w:val="none"/>
                <w:vertAlign w:val="superscript"/>
                <w:lang w:val="en-US" w:eastAsia="zh-CN"/>
              </w:rPr>
              <w:t>2</w:t>
            </w:r>
            <w:r>
              <w:rPr>
                <w:rFonts w:hint="eastAsia"/>
                <w:b w:val="0"/>
                <w:color w:val="auto"/>
                <w:kern w:val="0"/>
                <w:highlight w:val="none"/>
              </w:rPr>
              <w:t>，全封闭彩钢结构</w:t>
            </w:r>
            <w:r>
              <w:rPr>
                <w:rFonts w:hint="eastAsia"/>
                <w:b w:val="0"/>
                <w:color w:val="auto"/>
                <w:kern w:val="0"/>
                <w:highlight w:val="none"/>
                <w:lang w:eastAsia="zh-CN"/>
              </w:rPr>
              <w:t>，</w:t>
            </w:r>
            <w:r>
              <w:rPr>
                <w:rFonts w:hint="eastAsia"/>
                <w:b w:val="0"/>
                <w:color w:val="auto"/>
                <w:kern w:val="0"/>
                <w:highlight w:val="none"/>
                <w:lang w:val="en-US" w:eastAsia="zh-CN"/>
              </w:rPr>
              <w:t>最大堆存尾矿砂量为4000t，周转周期1周。</w:t>
            </w:r>
          </w:p>
        </w:tc>
        <w:tc>
          <w:tcPr>
            <w:tcW w:w="372" w:type="pct"/>
            <w:tcBorders>
              <w:tl2br w:val="nil"/>
              <w:tr2bl w:val="nil"/>
            </w:tcBorders>
            <w:noWrap w:val="0"/>
            <w:vAlign w:val="center"/>
          </w:tcPr>
          <w:p w14:paraId="689A0294">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新建</w:t>
            </w:r>
          </w:p>
        </w:tc>
      </w:tr>
      <w:tr w14:paraId="7AD766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15899192">
            <w:pPr>
              <w:pStyle w:val="199"/>
              <w:autoSpaceDE w:val="0"/>
              <w:autoSpaceDN w:val="0"/>
              <w:spacing w:beforeLines="0" w:line="240" w:lineRule="auto"/>
              <w:jc w:val="center"/>
              <w:rPr>
                <w:rFonts w:hint="eastAsia"/>
                <w:b w:val="0"/>
                <w:color w:val="auto"/>
                <w:kern w:val="0"/>
                <w:highlight w:val="none"/>
              </w:rPr>
            </w:pPr>
          </w:p>
        </w:tc>
        <w:tc>
          <w:tcPr>
            <w:tcW w:w="772" w:type="pct"/>
            <w:gridSpan w:val="2"/>
            <w:tcBorders>
              <w:tl2br w:val="nil"/>
              <w:tr2bl w:val="nil"/>
            </w:tcBorders>
            <w:noWrap w:val="0"/>
            <w:vAlign w:val="center"/>
          </w:tcPr>
          <w:p w14:paraId="63DA15ED">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rPr>
              <w:t>精矿</w:t>
            </w:r>
            <w:r>
              <w:rPr>
                <w:rFonts w:hint="eastAsia"/>
                <w:b w:val="0"/>
                <w:color w:val="auto"/>
                <w:kern w:val="0"/>
                <w:highlight w:val="none"/>
                <w:lang w:val="en-US" w:eastAsia="zh-CN"/>
              </w:rPr>
              <w:t>贮存库</w:t>
            </w:r>
          </w:p>
        </w:tc>
        <w:tc>
          <w:tcPr>
            <w:tcW w:w="3520" w:type="pct"/>
            <w:tcBorders>
              <w:tl2br w:val="nil"/>
              <w:tr2bl w:val="nil"/>
            </w:tcBorders>
            <w:noWrap w:val="0"/>
            <w:vAlign w:val="center"/>
          </w:tcPr>
          <w:p w14:paraId="4C98E871">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lang w:val="en-US" w:eastAsia="zh-CN"/>
              </w:rPr>
              <w:t>选矿车间内南侧，占地约600m</w:t>
            </w:r>
            <w:r>
              <w:rPr>
                <w:rFonts w:hint="eastAsia"/>
                <w:b w:val="0"/>
                <w:color w:val="auto"/>
                <w:kern w:val="0"/>
                <w:highlight w:val="none"/>
                <w:vertAlign w:val="superscript"/>
                <w:lang w:val="en-US" w:eastAsia="zh-CN"/>
              </w:rPr>
              <w:t>2</w:t>
            </w:r>
            <w:r>
              <w:rPr>
                <w:rFonts w:hint="eastAsia"/>
                <w:b w:val="0"/>
                <w:color w:val="auto"/>
                <w:kern w:val="0"/>
                <w:highlight w:val="none"/>
                <w:lang w:val="en-US" w:eastAsia="zh-CN"/>
              </w:rPr>
              <w:t>，全封闭彩钢结构</w:t>
            </w:r>
            <w:r>
              <w:rPr>
                <w:rFonts w:hint="eastAsia"/>
                <w:b w:val="0"/>
                <w:color w:val="auto"/>
                <w:kern w:val="0"/>
                <w:highlight w:val="none"/>
                <w:lang w:eastAsia="zh-CN"/>
              </w:rPr>
              <w:t>，</w:t>
            </w:r>
            <w:r>
              <w:rPr>
                <w:rFonts w:hint="eastAsia"/>
                <w:b w:val="0"/>
                <w:color w:val="auto"/>
                <w:kern w:val="0"/>
                <w:highlight w:val="none"/>
                <w:lang w:val="en-US" w:eastAsia="zh-CN"/>
              </w:rPr>
              <w:t>最大堆存精矿砂量为3000t，周转周期1周。</w:t>
            </w:r>
          </w:p>
        </w:tc>
        <w:tc>
          <w:tcPr>
            <w:tcW w:w="372" w:type="pct"/>
            <w:tcBorders>
              <w:tl2br w:val="nil"/>
              <w:tr2bl w:val="nil"/>
            </w:tcBorders>
            <w:noWrap w:val="0"/>
            <w:vAlign w:val="center"/>
          </w:tcPr>
          <w:p w14:paraId="247749A3">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新建</w:t>
            </w:r>
          </w:p>
        </w:tc>
      </w:tr>
      <w:tr w14:paraId="6E6F65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0C3A3466">
            <w:pPr>
              <w:pStyle w:val="199"/>
              <w:autoSpaceDE w:val="0"/>
              <w:autoSpaceDN w:val="0"/>
              <w:spacing w:beforeLines="0" w:line="240" w:lineRule="auto"/>
              <w:jc w:val="center"/>
              <w:rPr>
                <w:rFonts w:hint="eastAsia"/>
                <w:b w:val="0"/>
                <w:color w:val="auto"/>
                <w:kern w:val="0"/>
                <w:highlight w:val="none"/>
              </w:rPr>
            </w:pPr>
          </w:p>
        </w:tc>
        <w:tc>
          <w:tcPr>
            <w:tcW w:w="772" w:type="pct"/>
            <w:gridSpan w:val="2"/>
            <w:tcBorders>
              <w:tl2br w:val="nil"/>
              <w:tr2bl w:val="nil"/>
            </w:tcBorders>
            <w:noWrap w:val="0"/>
            <w:vAlign w:val="center"/>
          </w:tcPr>
          <w:p w14:paraId="5186642A">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lang w:val="en-US" w:eastAsia="zh-CN"/>
              </w:rPr>
              <w:t>厂区</w:t>
            </w:r>
            <w:r>
              <w:rPr>
                <w:rFonts w:hint="eastAsia"/>
                <w:b w:val="0"/>
                <w:color w:val="auto"/>
                <w:kern w:val="0"/>
                <w:highlight w:val="none"/>
              </w:rPr>
              <w:t>道路</w:t>
            </w:r>
          </w:p>
        </w:tc>
        <w:tc>
          <w:tcPr>
            <w:tcW w:w="3520" w:type="pct"/>
            <w:tcBorders>
              <w:tl2br w:val="nil"/>
              <w:tr2bl w:val="nil"/>
            </w:tcBorders>
            <w:noWrap w:val="0"/>
            <w:vAlign w:val="center"/>
          </w:tcPr>
          <w:p w14:paraId="2FCBDD07">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lang w:val="en-US" w:eastAsia="zh-CN"/>
              </w:rPr>
              <w:t>厂区内道路宽4m，长约331m。</w:t>
            </w:r>
          </w:p>
        </w:tc>
        <w:tc>
          <w:tcPr>
            <w:tcW w:w="372" w:type="pct"/>
            <w:tcBorders>
              <w:tl2br w:val="nil"/>
              <w:tr2bl w:val="nil"/>
            </w:tcBorders>
            <w:noWrap w:val="0"/>
            <w:vAlign w:val="center"/>
          </w:tcPr>
          <w:p w14:paraId="0CDC04B2">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新建</w:t>
            </w:r>
          </w:p>
        </w:tc>
      </w:tr>
      <w:tr w14:paraId="109A7EA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70" w:hRule="atLeast"/>
          <w:jc w:val="center"/>
        </w:trPr>
        <w:tc>
          <w:tcPr>
            <w:tcW w:w="334" w:type="pct"/>
            <w:vMerge w:val="restart"/>
            <w:tcBorders>
              <w:tl2br w:val="nil"/>
              <w:tr2bl w:val="nil"/>
            </w:tcBorders>
            <w:noWrap w:val="0"/>
            <w:vAlign w:val="center"/>
          </w:tcPr>
          <w:p w14:paraId="7F72583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环保工程</w:t>
            </w:r>
          </w:p>
        </w:tc>
        <w:tc>
          <w:tcPr>
            <w:tcW w:w="366" w:type="pct"/>
            <w:vMerge w:val="restart"/>
            <w:tcBorders>
              <w:tl2br w:val="nil"/>
              <w:tr2bl w:val="nil"/>
            </w:tcBorders>
            <w:noWrap w:val="0"/>
            <w:vAlign w:val="center"/>
          </w:tcPr>
          <w:p w14:paraId="2B4E83AC">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大气</w:t>
            </w:r>
          </w:p>
        </w:tc>
        <w:tc>
          <w:tcPr>
            <w:tcW w:w="405" w:type="pct"/>
            <w:tcBorders>
              <w:tl2br w:val="nil"/>
              <w:tr2bl w:val="nil"/>
            </w:tcBorders>
            <w:noWrap w:val="0"/>
            <w:vAlign w:val="center"/>
          </w:tcPr>
          <w:p w14:paraId="54F39D07">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有组织</w:t>
            </w:r>
          </w:p>
        </w:tc>
        <w:tc>
          <w:tcPr>
            <w:tcW w:w="3520" w:type="pct"/>
            <w:tcBorders>
              <w:tl2br w:val="nil"/>
              <w:tr2bl w:val="nil"/>
            </w:tcBorders>
            <w:noWrap w:val="0"/>
            <w:vAlign w:val="center"/>
          </w:tcPr>
          <w:p w14:paraId="61312584">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zh-CN" w:eastAsia="zh-CN"/>
              </w:rPr>
              <w:t>袋式除尘器（</w:t>
            </w:r>
            <w:r>
              <w:rPr>
                <w:rFonts w:hint="eastAsia"/>
                <w:b w:val="0"/>
                <w:color w:val="auto"/>
                <w:kern w:val="0"/>
                <w:highlight w:val="none"/>
                <w:lang w:val="en-US" w:eastAsia="zh-CN"/>
              </w:rPr>
              <w:t>除尘效率</w:t>
            </w:r>
            <w:r>
              <w:rPr>
                <w:rFonts w:hint="eastAsia" w:ascii="Times New Roman" w:hAnsi="Times New Roman" w:eastAsia="宋体" w:cs="Times New Roman"/>
                <w:b w:val="0"/>
                <w:color w:val="auto"/>
                <w:kern w:val="0"/>
                <w:highlight w:val="none"/>
                <w:lang w:val="en-US" w:eastAsia="zh-CN"/>
              </w:rPr>
              <w:t>90%以上</w:t>
            </w:r>
            <w:r>
              <w:rPr>
                <w:rFonts w:hint="eastAsia"/>
                <w:b w:val="0"/>
                <w:color w:val="auto"/>
                <w:kern w:val="0"/>
                <w:highlight w:val="none"/>
                <w:lang w:val="zh-CN" w:eastAsia="zh-CN"/>
              </w:rPr>
              <w:t>）+15m</w:t>
            </w:r>
            <w:r>
              <w:rPr>
                <w:rFonts w:hint="eastAsia"/>
                <w:b w:val="0"/>
                <w:color w:val="auto"/>
                <w:kern w:val="0"/>
                <w:highlight w:val="none"/>
                <w:lang w:val="en-US" w:eastAsia="zh-CN"/>
              </w:rPr>
              <w:t>高DA001</w:t>
            </w:r>
            <w:r>
              <w:rPr>
                <w:rFonts w:hint="eastAsia"/>
                <w:b w:val="0"/>
                <w:color w:val="auto"/>
                <w:kern w:val="0"/>
                <w:highlight w:val="none"/>
                <w:lang w:val="zh-CN" w:eastAsia="zh-CN"/>
              </w:rPr>
              <w:t>排气筒</w:t>
            </w:r>
            <w:r>
              <w:rPr>
                <w:rFonts w:hint="eastAsia"/>
                <w:b w:val="0"/>
                <w:color w:val="auto"/>
                <w:kern w:val="0"/>
                <w:highlight w:val="none"/>
                <w:lang w:val="en-US" w:eastAsia="zh-CN"/>
              </w:rPr>
              <w:t>。</w:t>
            </w:r>
          </w:p>
        </w:tc>
        <w:tc>
          <w:tcPr>
            <w:tcW w:w="372" w:type="pct"/>
            <w:tcBorders>
              <w:tl2br w:val="nil"/>
              <w:tr2bl w:val="nil"/>
            </w:tcBorders>
            <w:noWrap w:val="0"/>
            <w:vAlign w:val="center"/>
          </w:tcPr>
          <w:p w14:paraId="511A3E8D">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新建</w:t>
            </w:r>
          </w:p>
        </w:tc>
      </w:tr>
      <w:tr w14:paraId="1DEE05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70" w:hRule="atLeast"/>
          <w:jc w:val="center"/>
        </w:trPr>
        <w:tc>
          <w:tcPr>
            <w:tcW w:w="334" w:type="pct"/>
            <w:vMerge w:val="continue"/>
            <w:tcBorders>
              <w:tl2br w:val="nil"/>
              <w:tr2bl w:val="nil"/>
            </w:tcBorders>
            <w:noWrap w:val="0"/>
            <w:vAlign w:val="center"/>
          </w:tcPr>
          <w:p w14:paraId="151B24A5">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12FC3CD8">
            <w:pPr>
              <w:pStyle w:val="199"/>
              <w:autoSpaceDE w:val="0"/>
              <w:autoSpaceDN w:val="0"/>
              <w:spacing w:beforeLines="0" w:line="240" w:lineRule="auto"/>
              <w:jc w:val="center"/>
              <w:rPr>
                <w:rFonts w:hint="eastAsia"/>
                <w:b w:val="0"/>
                <w:color w:val="auto"/>
                <w:kern w:val="0"/>
                <w:highlight w:val="none"/>
                <w:lang w:val="en-US" w:eastAsia="zh-CN"/>
              </w:rPr>
            </w:pPr>
          </w:p>
        </w:tc>
        <w:tc>
          <w:tcPr>
            <w:tcW w:w="405" w:type="pct"/>
            <w:vMerge w:val="restart"/>
            <w:tcBorders>
              <w:tl2br w:val="nil"/>
              <w:tr2bl w:val="nil"/>
            </w:tcBorders>
            <w:noWrap w:val="0"/>
            <w:vAlign w:val="center"/>
          </w:tcPr>
          <w:p w14:paraId="7CACF919">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无组织</w:t>
            </w:r>
          </w:p>
        </w:tc>
        <w:tc>
          <w:tcPr>
            <w:tcW w:w="3520" w:type="pct"/>
            <w:tcBorders>
              <w:tl2br w:val="nil"/>
              <w:tr2bl w:val="nil"/>
            </w:tcBorders>
            <w:noWrap w:val="0"/>
            <w:vAlign w:val="center"/>
          </w:tcPr>
          <w:p w14:paraId="4443E2DF">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运输道路进行硬化，采取洒水抑，车辆加盖苫布措施</w:t>
            </w:r>
            <w:r>
              <w:rPr>
                <w:rFonts w:hint="eastAsia"/>
                <w:b w:val="0"/>
                <w:color w:val="auto"/>
                <w:kern w:val="0"/>
                <w:highlight w:val="none"/>
                <w:lang w:val="zh-CN"/>
              </w:rPr>
              <w:t>。</w:t>
            </w:r>
          </w:p>
        </w:tc>
        <w:tc>
          <w:tcPr>
            <w:tcW w:w="372" w:type="pct"/>
            <w:tcBorders>
              <w:tl2br w:val="nil"/>
              <w:tr2bl w:val="nil"/>
            </w:tcBorders>
            <w:noWrap w:val="0"/>
            <w:vAlign w:val="center"/>
          </w:tcPr>
          <w:p w14:paraId="6D591A1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79EDACD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63F3C429">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1870D372">
            <w:pPr>
              <w:pStyle w:val="199"/>
              <w:autoSpaceDE w:val="0"/>
              <w:autoSpaceDN w:val="0"/>
              <w:spacing w:beforeLines="0" w:line="240" w:lineRule="auto"/>
              <w:jc w:val="center"/>
              <w:rPr>
                <w:rFonts w:hint="eastAsia"/>
                <w:b w:val="0"/>
                <w:color w:val="auto"/>
                <w:kern w:val="0"/>
                <w:highlight w:val="none"/>
              </w:rPr>
            </w:pPr>
          </w:p>
        </w:tc>
        <w:tc>
          <w:tcPr>
            <w:tcW w:w="405" w:type="pct"/>
            <w:vMerge w:val="continue"/>
            <w:tcBorders>
              <w:tl2br w:val="nil"/>
              <w:tr2bl w:val="nil"/>
            </w:tcBorders>
            <w:noWrap w:val="0"/>
            <w:vAlign w:val="center"/>
          </w:tcPr>
          <w:p w14:paraId="27CEF48E">
            <w:pPr>
              <w:pStyle w:val="199"/>
              <w:autoSpaceDE w:val="0"/>
              <w:autoSpaceDN w:val="0"/>
              <w:spacing w:beforeLines="0" w:line="240" w:lineRule="auto"/>
              <w:jc w:val="center"/>
              <w:rPr>
                <w:rFonts w:hint="eastAsia"/>
                <w:b w:val="0"/>
                <w:color w:val="auto"/>
                <w:kern w:val="0"/>
                <w:highlight w:val="none"/>
                <w:lang w:val="en-US" w:eastAsia="zh-CN"/>
              </w:rPr>
            </w:pPr>
          </w:p>
        </w:tc>
        <w:tc>
          <w:tcPr>
            <w:tcW w:w="3520" w:type="pct"/>
            <w:tcBorders>
              <w:tl2br w:val="nil"/>
              <w:tr2bl w:val="nil"/>
            </w:tcBorders>
            <w:noWrap w:val="0"/>
            <w:vAlign w:val="center"/>
          </w:tcPr>
          <w:p w14:paraId="62999C22">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lang w:val="en-US" w:eastAsia="zh-CN"/>
              </w:rPr>
              <w:t>原料装卸堆存，设置全封闭库房，采取洒水抑尘措施。</w:t>
            </w:r>
          </w:p>
        </w:tc>
        <w:tc>
          <w:tcPr>
            <w:tcW w:w="372" w:type="pct"/>
            <w:tcBorders>
              <w:tl2br w:val="nil"/>
              <w:tr2bl w:val="nil"/>
            </w:tcBorders>
            <w:noWrap w:val="0"/>
            <w:vAlign w:val="center"/>
          </w:tcPr>
          <w:p w14:paraId="449C9EA7">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新建</w:t>
            </w:r>
          </w:p>
        </w:tc>
      </w:tr>
      <w:tr w14:paraId="075ADFE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1A0216F">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04C26227">
            <w:pPr>
              <w:pStyle w:val="199"/>
              <w:autoSpaceDE w:val="0"/>
              <w:autoSpaceDN w:val="0"/>
              <w:spacing w:beforeLines="0" w:line="240" w:lineRule="auto"/>
              <w:jc w:val="center"/>
              <w:rPr>
                <w:rFonts w:hint="eastAsia"/>
                <w:b w:val="0"/>
                <w:color w:val="auto"/>
                <w:kern w:val="0"/>
                <w:highlight w:val="none"/>
              </w:rPr>
            </w:pPr>
          </w:p>
        </w:tc>
        <w:tc>
          <w:tcPr>
            <w:tcW w:w="405" w:type="pct"/>
            <w:vMerge w:val="continue"/>
            <w:tcBorders>
              <w:tl2br w:val="nil"/>
              <w:tr2bl w:val="nil"/>
            </w:tcBorders>
            <w:noWrap w:val="0"/>
            <w:vAlign w:val="center"/>
          </w:tcPr>
          <w:p w14:paraId="353BACDC">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092755F9">
            <w:pPr>
              <w:pStyle w:val="199"/>
              <w:autoSpaceDE w:val="0"/>
              <w:autoSpaceDN w:val="0"/>
              <w:spacing w:beforeLines="0" w:line="240" w:lineRule="auto"/>
              <w:jc w:val="center"/>
              <w:rPr>
                <w:rFonts w:hint="eastAsia" w:ascii="Times New Roman" w:hAnsi="Times New Roman" w:eastAsia="宋体" w:cs="Times New Roman"/>
                <w:b w:val="0"/>
                <w:color w:val="auto"/>
                <w:kern w:val="0"/>
                <w:highlight w:val="none"/>
                <w:lang w:val="en-US" w:eastAsia="zh-CN"/>
              </w:rPr>
            </w:pPr>
            <w:r>
              <w:rPr>
                <w:rFonts w:hint="eastAsia" w:ascii="Times New Roman" w:hAnsi="Times New Roman" w:eastAsia="宋体" w:cs="Times New Roman"/>
                <w:b w:val="0"/>
                <w:color w:val="auto"/>
                <w:kern w:val="0"/>
                <w:highlight w:val="none"/>
                <w:lang w:val="en-US" w:eastAsia="zh-CN"/>
              </w:rPr>
              <w:t>设置全封闭破碎筛车间；给料口采取洒水抑尘；1台粗破机，2台细破机、1台筛分机各设一套集气罩，集气效率90%以上。</w:t>
            </w:r>
          </w:p>
        </w:tc>
        <w:tc>
          <w:tcPr>
            <w:tcW w:w="372" w:type="pct"/>
            <w:tcBorders>
              <w:tl2br w:val="nil"/>
              <w:tr2bl w:val="nil"/>
            </w:tcBorders>
            <w:noWrap w:val="0"/>
            <w:vAlign w:val="center"/>
          </w:tcPr>
          <w:p w14:paraId="59FCFBCC">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新建</w:t>
            </w:r>
          </w:p>
        </w:tc>
      </w:tr>
      <w:tr w14:paraId="7A2C61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3CE15765">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63781BE8">
            <w:pPr>
              <w:pStyle w:val="199"/>
              <w:autoSpaceDE w:val="0"/>
              <w:autoSpaceDN w:val="0"/>
              <w:spacing w:beforeLines="0" w:line="240" w:lineRule="auto"/>
              <w:jc w:val="center"/>
              <w:rPr>
                <w:rFonts w:hint="eastAsia"/>
                <w:b w:val="0"/>
                <w:color w:val="auto"/>
                <w:kern w:val="0"/>
                <w:highlight w:val="none"/>
              </w:rPr>
            </w:pPr>
          </w:p>
        </w:tc>
        <w:tc>
          <w:tcPr>
            <w:tcW w:w="405" w:type="pct"/>
            <w:vMerge w:val="continue"/>
            <w:tcBorders>
              <w:tl2br w:val="nil"/>
              <w:tr2bl w:val="nil"/>
            </w:tcBorders>
            <w:noWrap w:val="0"/>
            <w:vAlign w:val="center"/>
          </w:tcPr>
          <w:p w14:paraId="367B14AA">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3217316C">
            <w:pPr>
              <w:pStyle w:val="199"/>
              <w:autoSpaceDE w:val="0"/>
              <w:autoSpaceDN w:val="0"/>
              <w:spacing w:beforeLines="0" w:line="240" w:lineRule="auto"/>
              <w:jc w:val="center"/>
              <w:rPr>
                <w:rFonts w:hint="default" w:ascii="Times New Roman" w:hAnsi="Times New Roman" w:eastAsia="宋体" w:cs="Times New Roman"/>
                <w:b w:val="0"/>
                <w:color w:val="auto"/>
                <w:kern w:val="0"/>
                <w:highlight w:val="none"/>
                <w:lang w:val="en-US" w:eastAsia="zh-CN"/>
              </w:rPr>
            </w:pPr>
            <w:r>
              <w:rPr>
                <w:rFonts w:hint="eastAsia" w:ascii="Times New Roman" w:hAnsi="Times New Roman" w:eastAsia="宋体" w:cs="Times New Roman"/>
                <w:b w:val="0"/>
                <w:color w:val="auto"/>
                <w:kern w:val="0"/>
                <w:highlight w:val="none"/>
                <w:lang w:val="en-US" w:eastAsia="zh-CN"/>
              </w:rPr>
              <w:t>精矿粉库，设置全封闭库房，采取洒水抑尘措施。</w:t>
            </w:r>
          </w:p>
        </w:tc>
        <w:tc>
          <w:tcPr>
            <w:tcW w:w="372" w:type="pct"/>
            <w:tcBorders>
              <w:tl2br w:val="nil"/>
              <w:tr2bl w:val="nil"/>
            </w:tcBorders>
            <w:noWrap w:val="0"/>
            <w:vAlign w:val="center"/>
          </w:tcPr>
          <w:p w14:paraId="71A7D12C">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新建</w:t>
            </w:r>
          </w:p>
        </w:tc>
      </w:tr>
      <w:tr w14:paraId="08C0D2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445D429">
            <w:pPr>
              <w:pStyle w:val="199"/>
              <w:autoSpaceDE w:val="0"/>
              <w:autoSpaceDN w:val="0"/>
              <w:spacing w:beforeLines="0" w:line="240" w:lineRule="auto"/>
              <w:jc w:val="center"/>
              <w:rPr>
                <w:rFonts w:hint="eastAsia"/>
                <w:b w:val="0"/>
                <w:color w:val="auto"/>
                <w:kern w:val="0"/>
                <w:highlight w:val="none"/>
              </w:rPr>
            </w:pPr>
          </w:p>
        </w:tc>
        <w:tc>
          <w:tcPr>
            <w:tcW w:w="366" w:type="pct"/>
            <w:vMerge w:val="continue"/>
            <w:tcBorders>
              <w:tl2br w:val="nil"/>
              <w:tr2bl w:val="nil"/>
            </w:tcBorders>
            <w:noWrap w:val="0"/>
            <w:vAlign w:val="center"/>
          </w:tcPr>
          <w:p w14:paraId="387796B7">
            <w:pPr>
              <w:pStyle w:val="199"/>
              <w:autoSpaceDE w:val="0"/>
              <w:autoSpaceDN w:val="0"/>
              <w:spacing w:beforeLines="0" w:line="240" w:lineRule="auto"/>
              <w:jc w:val="center"/>
              <w:rPr>
                <w:rFonts w:hint="eastAsia"/>
                <w:b w:val="0"/>
                <w:color w:val="auto"/>
                <w:kern w:val="0"/>
                <w:highlight w:val="none"/>
              </w:rPr>
            </w:pPr>
          </w:p>
        </w:tc>
        <w:tc>
          <w:tcPr>
            <w:tcW w:w="405" w:type="pct"/>
            <w:vMerge w:val="continue"/>
            <w:tcBorders>
              <w:tl2br w:val="nil"/>
              <w:tr2bl w:val="nil"/>
            </w:tcBorders>
            <w:noWrap w:val="0"/>
            <w:vAlign w:val="center"/>
          </w:tcPr>
          <w:p w14:paraId="0C49094E">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4CAEE753">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尾矿砂库</w:t>
            </w:r>
            <w:r>
              <w:rPr>
                <w:rFonts w:hint="eastAsia"/>
                <w:b w:val="0"/>
                <w:color w:val="auto"/>
                <w:kern w:val="0"/>
                <w:highlight w:val="none"/>
                <w:lang w:eastAsia="zh-CN"/>
              </w:rPr>
              <w:t>，</w:t>
            </w:r>
            <w:r>
              <w:rPr>
                <w:rFonts w:hint="eastAsia"/>
                <w:b w:val="0"/>
                <w:color w:val="auto"/>
                <w:kern w:val="0"/>
                <w:highlight w:val="none"/>
              </w:rPr>
              <w:t>设置全封闭库房，采取洒水抑尘措施。</w:t>
            </w:r>
          </w:p>
        </w:tc>
        <w:tc>
          <w:tcPr>
            <w:tcW w:w="372" w:type="pct"/>
            <w:tcBorders>
              <w:tl2br w:val="nil"/>
              <w:tr2bl w:val="nil"/>
            </w:tcBorders>
            <w:noWrap w:val="0"/>
            <w:vAlign w:val="center"/>
          </w:tcPr>
          <w:p w14:paraId="4226DEDD">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新建</w:t>
            </w:r>
          </w:p>
        </w:tc>
      </w:tr>
      <w:tr w14:paraId="50E3B3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608D892F">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restart"/>
            <w:tcBorders>
              <w:tl2br w:val="nil"/>
              <w:tr2bl w:val="nil"/>
            </w:tcBorders>
            <w:noWrap w:val="0"/>
            <w:vAlign w:val="center"/>
          </w:tcPr>
          <w:p w14:paraId="71CB32A8">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废水</w:t>
            </w:r>
          </w:p>
        </w:tc>
        <w:tc>
          <w:tcPr>
            <w:tcW w:w="3520" w:type="pct"/>
            <w:tcBorders>
              <w:tl2br w:val="nil"/>
              <w:tr2bl w:val="nil"/>
            </w:tcBorders>
            <w:noWrap w:val="0"/>
            <w:vAlign w:val="center"/>
          </w:tcPr>
          <w:p w14:paraId="7162DC84">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rPr>
              <w:t>选矿废水</w:t>
            </w:r>
            <w:r>
              <w:rPr>
                <w:rFonts w:hint="eastAsia"/>
                <w:b w:val="0"/>
                <w:color w:val="auto"/>
                <w:kern w:val="0"/>
                <w:highlight w:val="none"/>
                <w:lang w:eastAsia="zh-CN"/>
              </w:rPr>
              <w:t>：</w:t>
            </w:r>
            <w:r>
              <w:rPr>
                <w:rFonts w:hint="eastAsia"/>
                <w:b w:val="0"/>
                <w:color w:val="auto"/>
                <w:kern w:val="0"/>
                <w:highlight w:val="none"/>
              </w:rPr>
              <w:t>浓密罐沉淀的上清液以及压滤机压滤沉淀后收集于循环水池，后回用于生产，形成闭路循环，不外排。</w:t>
            </w:r>
          </w:p>
        </w:tc>
        <w:tc>
          <w:tcPr>
            <w:tcW w:w="372" w:type="pct"/>
            <w:tcBorders>
              <w:tl2br w:val="nil"/>
              <w:tr2bl w:val="nil"/>
            </w:tcBorders>
            <w:noWrap w:val="0"/>
            <w:vAlign w:val="center"/>
          </w:tcPr>
          <w:p w14:paraId="5B14708E">
            <w:pPr>
              <w:pStyle w:val="199"/>
              <w:autoSpaceDE w:val="0"/>
              <w:autoSpaceDN w:val="0"/>
              <w:spacing w:beforeLines="0" w:line="240" w:lineRule="auto"/>
              <w:jc w:val="center"/>
              <w:rPr>
                <w:rFonts w:hint="default"/>
                <w:b w:val="0"/>
                <w:color w:val="auto"/>
                <w:kern w:val="0"/>
                <w:highlight w:val="none"/>
                <w:lang w:val="en-US" w:eastAsia="zh-CN"/>
              </w:rPr>
            </w:pPr>
            <w:r>
              <w:rPr>
                <w:rFonts w:hint="eastAsia"/>
                <w:b w:val="0"/>
                <w:color w:val="auto"/>
                <w:kern w:val="0"/>
                <w:highlight w:val="none"/>
                <w:lang w:val="en-US" w:eastAsia="zh-CN"/>
              </w:rPr>
              <w:t>新建</w:t>
            </w:r>
          </w:p>
        </w:tc>
      </w:tr>
      <w:tr w14:paraId="7F35FB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AC44AB1">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203E6773">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790BB106">
            <w:pPr>
              <w:pStyle w:val="199"/>
              <w:autoSpaceDE w:val="0"/>
              <w:autoSpaceDN w:val="0"/>
              <w:spacing w:beforeLines="0" w:line="240" w:lineRule="auto"/>
              <w:jc w:val="center"/>
              <w:rPr>
                <w:rFonts w:hint="default"/>
                <w:b w:val="0"/>
                <w:color w:val="auto"/>
                <w:kern w:val="0"/>
                <w:highlight w:val="none"/>
                <w:lang w:val="en-US" w:eastAsia="zh-CN"/>
              </w:rPr>
            </w:pPr>
            <w:r>
              <w:rPr>
                <w:rFonts w:hint="eastAsia"/>
                <w:b w:val="0"/>
                <w:color w:val="auto"/>
                <w:kern w:val="0"/>
                <w:highlight w:val="none"/>
              </w:rPr>
              <w:t>生活污水</w:t>
            </w:r>
            <w:r>
              <w:rPr>
                <w:rFonts w:hint="eastAsia"/>
                <w:b w:val="0"/>
                <w:color w:val="auto"/>
                <w:kern w:val="0"/>
                <w:highlight w:val="none"/>
                <w:lang w:eastAsia="zh-CN"/>
              </w:rPr>
              <w:t>：</w:t>
            </w:r>
            <w:r>
              <w:rPr>
                <w:rFonts w:hint="eastAsia"/>
                <w:b w:val="0"/>
                <w:color w:val="auto"/>
                <w:kern w:val="0"/>
                <w:highlight w:val="none"/>
                <w:lang w:val="en-US" w:eastAsia="zh-CN"/>
              </w:rPr>
              <w:t>依托盟东水泥厂办公区现有化粪池收集处理，再定期拉运至诺尔镇污水处理厂处理。</w:t>
            </w:r>
          </w:p>
        </w:tc>
        <w:tc>
          <w:tcPr>
            <w:tcW w:w="372" w:type="pct"/>
            <w:tcBorders>
              <w:tl2br w:val="nil"/>
              <w:tr2bl w:val="nil"/>
            </w:tcBorders>
            <w:noWrap w:val="0"/>
            <w:vAlign w:val="center"/>
          </w:tcPr>
          <w:p w14:paraId="2B38AE1B">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依托</w:t>
            </w:r>
          </w:p>
        </w:tc>
      </w:tr>
      <w:tr w14:paraId="3351B9D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0373D603">
            <w:pPr>
              <w:pStyle w:val="199"/>
              <w:autoSpaceDE w:val="0"/>
              <w:autoSpaceDN w:val="0"/>
              <w:spacing w:beforeLines="0" w:line="240" w:lineRule="auto"/>
              <w:jc w:val="center"/>
              <w:rPr>
                <w:rFonts w:hint="eastAsia"/>
                <w:b w:val="0"/>
                <w:color w:val="auto"/>
                <w:kern w:val="0"/>
                <w:highlight w:val="none"/>
              </w:rPr>
            </w:pPr>
          </w:p>
        </w:tc>
        <w:tc>
          <w:tcPr>
            <w:tcW w:w="772" w:type="pct"/>
            <w:gridSpan w:val="2"/>
            <w:tcBorders>
              <w:tl2br w:val="nil"/>
              <w:tr2bl w:val="nil"/>
            </w:tcBorders>
            <w:noWrap w:val="0"/>
            <w:vAlign w:val="center"/>
          </w:tcPr>
          <w:p w14:paraId="56E64EAC">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lang w:val="en-US" w:eastAsia="zh-CN"/>
              </w:rPr>
              <w:t>噪声</w:t>
            </w:r>
          </w:p>
        </w:tc>
        <w:tc>
          <w:tcPr>
            <w:tcW w:w="3520" w:type="pct"/>
            <w:tcBorders>
              <w:tl2br w:val="nil"/>
              <w:tr2bl w:val="nil"/>
            </w:tcBorders>
            <w:noWrap w:val="0"/>
            <w:vAlign w:val="center"/>
          </w:tcPr>
          <w:p w14:paraId="7CA020DB">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zh-CN"/>
              </w:rPr>
              <w:t>封闭车间厂房隔声、设备基础减振、车间外种植植被降噪以及车辆减速慢行，禁止鸣笛</w:t>
            </w:r>
            <w:r>
              <w:rPr>
                <w:rFonts w:hint="eastAsia"/>
                <w:b w:val="0"/>
                <w:color w:val="auto"/>
                <w:kern w:val="0"/>
                <w:highlight w:val="none"/>
                <w:lang w:val="en-US" w:eastAsia="zh-CN"/>
              </w:rPr>
              <w:t>等</w:t>
            </w:r>
            <w:r>
              <w:rPr>
                <w:rFonts w:hint="eastAsia"/>
                <w:b w:val="0"/>
                <w:color w:val="auto"/>
                <w:kern w:val="0"/>
                <w:highlight w:val="none"/>
                <w:lang w:val="zh-CN"/>
              </w:rPr>
              <w:t>。</w:t>
            </w:r>
          </w:p>
        </w:tc>
        <w:tc>
          <w:tcPr>
            <w:tcW w:w="372" w:type="pct"/>
            <w:tcBorders>
              <w:tl2br w:val="nil"/>
              <w:tr2bl w:val="nil"/>
            </w:tcBorders>
            <w:noWrap w:val="0"/>
            <w:vAlign w:val="center"/>
          </w:tcPr>
          <w:p w14:paraId="0A28E222">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新建</w:t>
            </w:r>
          </w:p>
        </w:tc>
      </w:tr>
      <w:tr w14:paraId="7FD7C6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3EC39B8E">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restart"/>
            <w:tcBorders>
              <w:tl2br w:val="nil"/>
              <w:tr2bl w:val="nil"/>
            </w:tcBorders>
            <w:noWrap w:val="0"/>
            <w:vAlign w:val="center"/>
          </w:tcPr>
          <w:p w14:paraId="22F76ED4">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固废</w:t>
            </w:r>
          </w:p>
        </w:tc>
        <w:tc>
          <w:tcPr>
            <w:tcW w:w="3520" w:type="pct"/>
            <w:tcBorders>
              <w:tl2br w:val="nil"/>
              <w:tr2bl w:val="nil"/>
            </w:tcBorders>
            <w:noWrap w:val="0"/>
            <w:vAlign w:val="center"/>
          </w:tcPr>
          <w:p w14:paraId="3FC94CC2">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lang w:val="en-US" w:eastAsia="zh-CN"/>
              </w:rPr>
              <w:t>除尘灰：</w:t>
            </w:r>
            <w:r>
              <w:rPr>
                <w:rFonts w:hint="eastAsia"/>
                <w:b w:val="0"/>
                <w:color w:val="auto"/>
                <w:kern w:val="0"/>
                <w:highlight w:val="none"/>
              </w:rPr>
              <w:t>收集后全部回用于</w:t>
            </w:r>
            <w:r>
              <w:rPr>
                <w:rFonts w:hint="eastAsia"/>
                <w:b w:val="0"/>
                <w:color w:val="auto"/>
                <w:kern w:val="0"/>
                <w:highlight w:val="none"/>
                <w:lang w:val="en-US" w:eastAsia="zh-CN"/>
              </w:rPr>
              <w:t>球磨、浮现</w:t>
            </w:r>
            <w:r>
              <w:rPr>
                <w:rFonts w:hint="eastAsia"/>
                <w:b w:val="0"/>
                <w:color w:val="auto"/>
                <w:kern w:val="0"/>
                <w:highlight w:val="none"/>
              </w:rPr>
              <w:t>工序</w:t>
            </w:r>
            <w:r>
              <w:rPr>
                <w:rFonts w:hint="eastAsia"/>
                <w:b w:val="0"/>
                <w:color w:val="auto"/>
                <w:kern w:val="0"/>
                <w:highlight w:val="none"/>
                <w:lang w:eastAsia="zh-CN"/>
              </w:rPr>
              <w:t>，</w:t>
            </w:r>
            <w:r>
              <w:rPr>
                <w:rFonts w:hint="eastAsia"/>
                <w:b w:val="0"/>
                <w:color w:val="auto"/>
                <w:kern w:val="0"/>
                <w:highlight w:val="none"/>
                <w:lang w:val="en-US" w:eastAsia="zh-CN"/>
              </w:rPr>
              <w:t>资源化利用，不外排。</w:t>
            </w:r>
          </w:p>
        </w:tc>
        <w:tc>
          <w:tcPr>
            <w:tcW w:w="372" w:type="pct"/>
            <w:tcBorders>
              <w:tl2br w:val="nil"/>
              <w:tr2bl w:val="nil"/>
            </w:tcBorders>
            <w:noWrap w:val="0"/>
            <w:vAlign w:val="center"/>
          </w:tcPr>
          <w:p w14:paraId="7AB8B4E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408ABB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7BDEFCE0">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115A3E93">
            <w:pPr>
              <w:pStyle w:val="199"/>
              <w:autoSpaceDE w:val="0"/>
              <w:autoSpaceDN w:val="0"/>
              <w:spacing w:beforeLines="0" w:line="240" w:lineRule="auto"/>
              <w:jc w:val="center"/>
              <w:rPr>
                <w:rFonts w:hint="eastAsia"/>
                <w:b w:val="0"/>
                <w:color w:val="auto"/>
                <w:kern w:val="0"/>
                <w:highlight w:val="none"/>
                <w:lang w:val="en-US" w:eastAsia="zh-CN"/>
              </w:rPr>
            </w:pPr>
          </w:p>
        </w:tc>
        <w:tc>
          <w:tcPr>
            <w:tcW w:w="3520" w:type="pct"/>
            <w:tcBorders>
              <w:tl2br w:val="nil"/>
              <w:tr2bl w:val="nil"/>
            </w:tcBorders>
            <w:noWrap w:val="0"/>
            <w:vAlign w:val="center"/>
          </w:tcPr>
          <w:p w14:paraId="37756AE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废钢球：更换下废钢球不落地，供应商回收利用，不外排。</w:t>
            </w:r>
          </w:p>
        </w:tc>
        <w:tc>
          <w:tcPr>
            <w:tcW w:w="372" w:type="pct"/>
            <w:tcBorders>
              <w:tl2br w:val="nil"/>
              <w:tr2bl w:val="nil"/>
            </w:tcBorders>
            <w:noWrap w:val="0"/>
            <w:vAlign w:val="center"/>
          </w:tcPr>
          <w:p w14:paraId="7A35CE87">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新建</w:t>
            </w:r>
          </w:p>
        </w:tc>
      </w:tr>
      <w:tr w14:paraId="2CFDB7A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8EA43E4">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0EE06ABE">
            <w:pPr>
              <w:pStyle w:val="199"/>
              <w:autoSpaceDE w:val="0"/>
              <w:autoSpaceDN w:val="0"/>
              <w:spacing w:beforeLines="0" w:line="240" w:lineRule="auto"/>
              <w:jc w:val="center"/>
              <w:rPr>
                <w:rFonts w:hint="eastAsia"/>
                <w:b w:val="0"/>
                <w:color w:val="auto"/>
                <w:kern w:val="0"/>
                <w:highlight w:val="none"/>
                <w:lang w:val="en-US" w:eastAsia="zh-CN"/>
              </w:rPr>
            </w:pPr>
          </w:p>
        </w:tc>
        <w:tc>
          <w:tcPr>
            <w:tcW w:w="3520" w:type="pct"/>
            <w:tcBorders>
              <w:tl2br w:val="nil"/>
              <w:tr2bl w:val="nil"/>
            </w:tcBorders>
            <w:noWrap w:val="0"/>
            <w:vAlign w:val="center"/>
          </w:tcPr>
          <w:p w14:paraId="4E647FC9">
            <w:pPr>
              <w:pStyle w:val="199"/>
              <w:autoSpaceDE w:val="0"/>
              <w:autoSpaceDN w:val="0"/>
              <w:spacing w:beforeLines="0" w:line="240" w:lineRule="auto"/>
              <w:jc w:val="center"/>
              <w:rPr>
                <w:rFonts w:hint="default"/>
                <w:b w:val="0"/>
                <w:color w:val="auto"/>
                <w:kern w:val="0"/>
                <w:highlight w:val="none"/>
                <w:lang w:val="en-US" w:eastAsia="zh-CN"/>
              </w:rPr>
            </w:pPr>
            <w:r>
              <w:rPr>
                <w:rFonts w:hint="eastAsia"/>
                <w:b w:val="0"/>
                <w:color w:val="auto"/>
                <w:kern w:val="0"/>
                <w:highlight w:val="none"/>
                <w:lang w:val="en-US" w:eastAsia="zh-CN"/>
              </w:rPr>
              <w:t>尾矿砂：暂存于800m</w:t>
            </w:r>
            <w:r>
              <w:rPr>
                <w:rFonts w:hint="eastAsia"/>
                <w:b w:val="0"/>
                <w:color w:val="auto"/>
                <w:kern w:val="0"/>
                <w:highlight w:val="none"/>
                <w:vertAlign w:val="superscript"/>
                <w:lang w:val="en-US" w:eastAsia="zh-CN"/>
              </w:rPr>
              <w:t>2</w:t>
            </w:r>
            <w:r>
              <w:rPr>
                <w:rFonts w:hint="eastAsia"/>
                <w:b w:val="0"/>
                <w:color w:val="auto"/>
                <w:kern w:val="0"/>
                <w:highlight w:val="none"/>
                <w:vertAlign w:val="baseline"/>
                <w:lang w:val="en-US" w:eastAsia="zh-CN"/>
              </w:rPr>
              <w:t>的</w:t>
            </w:r>
            <w:r>
              <w:rPr>
                <w:rFonts w:hint="eastAsia"/>
                <w:b w:val="0"/>
                <w:color w:val="auto"/>
                <w:kern w:val="0"/>
                <w:highlight w:val="none"/>
                <w:lang w:val="en-US" w:eastAsia="zh-CN"/>
              </w:rPr>
              <w:t>尾矿砂贮存库内，供给</w:t>
            </w:r>
            <w:r>
              <w:rPr>
                <w:rFonts w:hint="default"/>
                <w:b w:val="0"/>
                <w:bCs/>
                <w:color w:val="auto"/>
                <w:highlight w:val="yellow"/>
              </w:rPr>
              <w:t>河北围场满族蒙古族自治县联玉墙体材料厂</w:t>
            </w:r>
            <w:r>
              <w:rPr>
                <w:rFonts w:hint="eastAsia"/>
                <w:b w:val="0"/>
                <w:bCs/>
                <w:color w:val="auto"/>
                <w:highlight w:val="yellow"/>
                <w:lang w:val="en-US" w:eastAsia="zh-CN"/>
              </w:rPr>
              <w:t>和隆化县皓诚新型节能砖厂</w:t>
            </w:r>
            <w:r>
              <w:rPr>
                <w:rFonts w:hint="eastAsia"/>
                <w:b w:val="0"/>
                <w:color w:val="auto"/>
                <w:kern w:val="0"/>
                <w:highlight w:val="none"/>
                <w:lang w:val="en-US" w:eastAsia="zh-CN"/>
              </w:rPr>
              <w:t>作制砖原材料，资源化综合利用。</w:t>
            </w:r>
          </w:p>
        </w:tc>
        <w:tc>
          <w:tcPr>
            <w:tcW w:w="372" w:type="pct"/>
            <w:tcBorders>
              <w:tl2br w:val="nil"/>
              <w:tr2bl w:val="nil"/>
            </w:tcBorders>
            <w:noWrap w:val="0"/>
            <w:vAlign w:val="center"/>
          </w:tcPr>
          <w:p w14:paraId="31A690A6">
            <w:pPr>
              <w:pStyle w:val="199"/>
              <w:autoSpaceDE w:val="0"/>
              <w:autoSpaceDN w:val="0"/>
              <w:spacing w:beforeLines="0" w:line="240" w:lineRule="auto"/>
              <w:jc w:val="center"/>
              <w:rPr>
                <w:rFonts w:hint="default"/>
                <w:b w:val="0"/>
                <w:color w:val="auto"/>
                <w:kern w:val="0"/>
                <w:highlight w:val="none"/>
                <w:lang w:val="en-US" w:eastAsia="zh-CN"/>
              </w:rPr>
            </w:pPr>
            <w:r>
              <w:rPr>
                <w:rFonts w:hint="eastAsia"/>
                <w:b w:val="0"/>
                <w:color w:val="auto"/>
                <w:kern w:val="0"/>
                <w:highlight w:val="none"/>
                <w:lang w:val="en-US" w:eastAsia="zh-CN"/>
              </w:rPr>
              <w:t>新建</w:t>
            </w:r>
          </w:p>
        </w:tc>
      </w:tr>
      <w:tr w14:paraId="2E1C87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507A55C9">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2145704A">
            <w:pPr>
              <w:pStyle w:val="199"/>
              <w:autoSpaceDE w:val="0"/>
              <w:autoSpaceDN w:val="0"/>
              <w:spacing w:beforeLines="0" w:line="240" w:lineRule="auto"/>
              <w:jc w:val="center"/>
              <w:rPr>
                <w:rFonts w:hint="eastAsia"/>
                <w:b w:val="0"/>
                <w:color w:val="auto"/>
                <w:kern w:val="0"/>
                <w:highlight w:val="none"/>
                <w:lang w:val="en-US" w:eastAsia="zh-CN"/>
              </w:rPr>
            </w:pPr>
          </w:p>
        </w:tc>
        <w:tc>
          <w:tcPr>
            <w:tcW w:w="3520" w:type="pct"/>
            <w:tcBorders>
              <w:tl2br w:val="nil"/>
              <w:tr2bl w:val="nil"/>
            </w:tcBorders>
            <w:noWrap w:val="0"/>
            <w:vAlign w:val="center"/>
          </w:tcPr>
          <w:p w14:paraId="2E5F7C74">
            <w:pPr>
              <w:pStyle w:val="199"/>
              <w:autoSpaceDE w:val="0"/>
              <w:autoSpaceDN w:val="0"/>
              <w:spacing w:beforeLines="0" w:line="240" w:lineRule="auto"/>
              <w:jc w:val="center"/>
              <w:rPr>
                <w:rFonts w:hint="default"/>
                <w:b w:val="0"/>
                <w:color w:val="auto"/>
                <w:kern w:val="0"/>
                <w:highlight w:val="none"/>
                <w:lang w:val="en-US" w:eastAsia="zh-CN"/>
              </w:rPr>
            </w:pPr>
            <w:r>
              <w:rPr>
                <w:rFonts w:hint="eastAsia"/>
                <w:b w:val="0"/>
                <w:color w:val="auto"/>
                <w:kern w:val="0"/>
                <w:highlight w:val="none"/>
                <w:lang w:val="en-US" w:eastAsia="zh-CN"/>
              </w:rPr>
              <w:t>循环水池底泥：经尾矿压滤机压滤后同尾矿砂一同综合利用。</w:t>
            </w:r>
          </w:p>
        </w:tc>
        <w:tc>
          <w:tcPr>
            <w:tcW w:w="372" w:type="pct"/>
            <w:tcBorders>
              <w:tl2br w:val="nil"/>
              <w:tr2bl w:val="nil"/>
            </w:tcBorders>
            <w:noWrap w:val="0"/>
            <w:vAlign w:val="center"/>
          </w:tcPr>
          <w:p w14:paraId="0EEE029B">
            <w:pPr>
              <w:pStyle w:val="199"/>
              <w:autoSpaceDE w:val="0"/>
              <w:autoSpaceDN w:val="0"/>
              <w:spacing w:beforeLines="0" w:line="240" w:lineRule="auto"/>
              <w:jc w:val="center"/>
              <w:rPr>
                <w:rFonts w:hint="eastAsia"/>
                <w:b w:val="0"/>
                <w:color w:val="auto"/>
                <w:kern w:val="0"/>
                <w:highlight w:val="none"/>
                <w:lang w:val="en-US" w:eastAsia="zh-CN"/>
              </w:rPr>
            </w:pPr>
          </w:p>
        </w:tc>
      </w:tr>
      <w:tr w14:paraId="4DCA9BE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19ADD56E">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245C0BAA">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05CBE597">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rPr>
              <w:t>废</w:t>
            </w:r>
            <w:r>
              <w:rPr>
                <w:rFonts w:hint="eastAsia"/>
                <w:b w:val="0"/>
                <w:color w:val="auto"/>
                <w:kern w:val="0"/>
                <w:highlight w:val="none"/>
                <w:lang w:val="en-US" w:eastAsia="zh-CN"/>
              </w:rPr>
              <w:t>机</w:t>
            </w:r>
            <w:r>
              <w:rPr>
                <w:rFonts w:hint="eastAsia"/>
                <w:b w:val="0"/>
                <w:color w:val="auto"/>
                <w:kern w:val="0"/>
                <w:highlight w:val="none"/>
              </w:rPr>
              <w:t>油</w:t>
            </w:r>
            <w:r>
              <w:rPr>
                <w:rFonts w:hint="eastAsia"/>
                <w:b w:val="0"/>
                <w:color w:val="auto"/>
                <w:kern w:val="0"/>
                <w:highlight w:val="none"/>
                <w:lang w:val="en-US" w:eastAsia="zh-CN"/>
              </w:rPr>
              <w:t>和废机油桶属于危险废物</w:t>
            </w:r>
            <w:r>
              <w:rPr>
                <w:rFonts w:hint="eastAsia"/>
                <w:b w:val="0"/>
                <w:color w:val="auto"/>
                <w:kern w:val="0"/>
                <w:highlight w:val="none"/>
              </w:rPr>
              <w:t>，</w:t>
            </w:r>
            <w:r>
              <w:rPr>
                <w:rFonts w:hint="eastAsia"/>
                <w:b w:val="0"/>
                <w:color w:val="auto"/>
                <w:kern w:val="0"/>
                <w:highlight w:val="none"/>
                <w:lang w:val="en-US" w:eastAsia="zh-CN"/>
              </w:rPr>
              <w:t>暂存于20m</w:t>
            </w:r>
            <w:r>
              <w:rPr>
                <w:rFonts w:hint="eastAsia"/>
                <w:b w:val="0"/>
                <w:color w:val="auto"/>
                <w:kern w:val="0"/>
                <w:highlight w:val="none"/>
                <w:vertAlign w:val="superscript"/>
                <w:lang w:val="en-US" w:eastAsia="zh-CN"/>
              </w:rPr>
              <w:t>2</w:t>
            </w:r>
            <w:r>
              <w:rPr>
                <w:rFonts w:hint="eastAsia"/>
                <w:b w:val="0"/>
                <w:color w:val="auto"/>
                <w:kern w:val="0"/>
                <w:highlight w:val="none"/>
                <w:vertAlign w:val="baseline"/>
                <w:lang w:val="en-US" w:eastAsia="zh-CN"/>
              </w:rPr>
              <w:t>的</w:t>
            </w:r>
            <w:r>
              <w:rPr>
                <w:rFonts w:hint="eastAsia"/>
                <w:b w:val="0"/>
                <w:color w:val="auto"/>
                <w:kern w:val="0"/>
                <w:highlight w:val="none"/>
                <w:lang w:val="en-US" w:eastAsia="zh-CN"/>
              </w:rPr>
              <w:t>危废暂存间内，定期交由具有危废经营许可证单位进行处置。</w:t>
            </w:r>
          </w:p>
        </w:tc>
        <w:tc>
          <w:tcPr>
            <w:tcW w:w="372" w:type="pct"/>
            <w:tcBorders>
              <w:tl2br w:val="nil"/>
              <w:tr2bl w:val="nil"/>
            </w:tcBorders>
            <w:noWrap w:val="0"/>
            <w:vAlign w:val="center"/>
          </w:tcPr>
          <w:p w14:paraId="6867D3E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16B5C3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21FA4D96">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20328B9D">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3C8AF910">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en-US" w:bidi="ar-SA"/>
              </w:rPr>
            </w:pPr>
            <w:r>
              <w:rPr>
                <w:rFonts w:hint="eastAsia"/>
                <w:b w:val="0"/>
                <w:color w:val="auto"/>
                <w:kern w:val="0"/>
                <w:highlight w:val="none"/>
              </w:rPr>
              <w:t>生活垃圾，集中收集，环卫部门清运。</w:t>
            </w:r>
          </w:p>
        </w:tc>
        <w:tc>
          <w:tcPr>
            <w:tcW w:w="372" w:type="pct"/>
            <w:tcBorders>
              <w:tl2br w:val="nil"/>
              <w:tr2bl w:val="nil"/>
            </w:tcBorders>
            <w:noWrap w:val="0"/>
            <w:vAlign w:val="center"/>
          </w:tcPr>
          <w:p w14:paraId="6BB11C54">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val="en-US" w:eastAsia="zh-CN"/>
              </w:rPr>
              <w:t>依托</w:t>
            </w:r>
          </w:p>
        </w:tc>
      </w:tr>
      <w:tr w14:paraId="0C7447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3204B00C">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restart"/>
            <w:tcBorders>
              <w:tl2br w:val="nil"/>
              <w:tr2bl w:val="nil"/>
            </w:tcBorders>
            <w:noWrap w:val="0"/>
            <w:vAlign w:val="center"/>
          </w:tcPr>
          <w:p w14:paraId="5A0B6790">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color w:val="auto"/>
                <w:kern w:val="0"/>
                <w:highlight w:val="none"/>
                <w:lang w:val="en-US" w:eastAsia="zh-CN"/>
              </w:rPr>
              <w:t>防渗</w:t>
            </w:r>
          </w:p>
        </w:tc>
        <w:tc>
          <w:tcPr>
            <w:tcW w:w="3520" w:type="pct"/>
            <w:tcBorders>
              <w:tl2br w:val="nil"/>
              <w:tr2bl w:val="nil"/>
            </w:tcBorders>
            <w:noWrap w:val="0"/>
            <w:vAlign w:val="center"/>
          </w:tcPr>
          <w:p w14:paraId="6462CDF0">
            <w:pPr>
              <w:pStyle w:val="199"/>
              <w:autoSpaceDE w:val="0"/>
              <w:autoSpaceDN w:val="0"/>
              <w:spacing w:beforeLines="0" w:line="240" w:lineRule="auto"/>
              <w:jc w:val="center"/>
              <w:rPr>
                <w:rFonts w:hint="eastAsia"/>
                <w:b w:val="0"/>
                <w:color w:val="auto"/>
                <w:kern w:val="0"/>
                <w:highlight w:val="none"/>
                <w:lang w:val="en-US" w:eastAsia="zh-CN"/>
              </w:rPr>
            </w:pPr>
            <w:r>
              <w:rPr>
                <w:rFonts w:hint="eastAsia"/>
                <w:b w:val="0"/>
                <w:bCs/>
                <w:color w:val="auto"/>
                <w:highlight w:val="none"/>
              </w:rPr>
              <w:t>危废暂存间</w:t>
            </w:r>
            <w:r>
              <w:rPr>
                <w:rFonts w:hint="eastAsia"/>
                <w:b w:val="0"/>
                <w:bCs/>
                <w:color w:val="auto"/>
                <w:highlight w:val="none"/>
                <w:lang w:val="en-US" w:eastAsia="zh-CN"/>
              </w:rPr>
              <w:t>按照</w:t>
            </w:r>
            <w:r>
              <w:rPr>
                <w:rFonts w:hint="eastAsia"/>
                <w:b w:val="0"/>
                <w:bCs/>
                <w:color w:val="auto"/>
                <w:kern w:val="0"/>
                <w:highlight w:val="none"/>
              </w:rPr>
              <w:t>《危险废物贮存污染控制标准》（GB18597-2023）</w:t>
            </w:r>
            <w:r>
              <w:rPr>
                <w:rFonts w:hint="eastAsia"/>
                <w:b w:val="0"/>
                <w:bCs/>
                <w:color w:val="auto"/>
                <w:kern w:val="0"/>
                <w:highlight w:val="none"/>
                <w:lang w:val="en-US" w:eastAsia="zh-CN"/>
              </w:rPr>
              <w:t>规定的防渗要求，</w:t>
            </w:r>
            <w:r>
              <w:rPr>
                <w:rFonts w:hint="eastAsia"/>
                <w:b w:val="0"/>
                <w:color w:val="auto"/>
                <w:kern w:val="0"/>
                <w:highlight w:val="none"/>
                <w:lang w:val="en-US" w:eastAsia="zh-CN"/>
              </w:rPr>
              <w:t xml:space="preserve">防渗层至少 1 m 厚黏土层（渗透系数不大于 10 </w:t>
            </w:r>
            <w:r>
              <w:rPr>
                <w:rFonts w:hint="eastAsia"/>
                <w:b w:val="0"/>
                <w:color w:val="auto"/>
                <w:kern w:val="0"/>
                <w:highlight w:val="none"/>
                <w:vertAlign w:val="superscript"/>
                <w:lang w:val="en-US" w:eastAsia="zh-CN"/>
              </w:rPr>
              <w:t xml:space="preserve">-7 </w:t>
            </w:r>
            <w:r>
              <w:rPr>
                <w:rFonts w:hint="eastAsia"/>
                <w:b w:val="0"/>
                <w:color w:val="auto"/>
                <w:kern w:val="0"/>
                <w:highlight w:val="none"/>
                <w:lang w:val="en-US" w:eastAsia="zh-CN"/>
              </w:rPr>
              <w:t>cm/s），或至少2 mm 厚高密度聚乙烯膜等人工防渗材料（渗透系数不大于 10</w:t>
            </w:r>
            <w:r>
              <w:rPr>
                <w:rFonts w:hint="eastAsia"/>
                <w:b w:val="0"/>
                <w:color w:val="auto"/>
                <w:kern w:val="0"/>
                <w:highlight w:val="none"/>
                <w:vertAlign w:val="superscript"/>
                <w:lang w:val="en-US" w:eastAsia="zh-CN"/>
              </w:rPr>
              <w:t xml:space="preserve"> -10 </w:t>
            </w:r>
            <w:r>
              <w:rPr>
                <w:rFonts w:hint="eastAsia"/>
                <w:b w:val="0"/>
                <w:color w:val="auto"/>
                <w:kern w:val="0"/>
                <w:highlight w:val="none"/>
                <w:lang w:val="en-US" w:eastAsia="zh-CN"/>
              </w:rPr>
              <w:t>cm/s），或其他防渗性能等效的材料</w:t>
            </w:r>
            <w:r>
              <w:rPr>
                <w:rFonts w:hint="eastAsia"/>
                <w:b w:val="0"/>
                <w:bCs/>
                <w:color w:val="auto"/>
                <w:kern w:val="0"/>
                <w:highlight w:val="none"/>
              </w:rPr>
              <w:t>。</w:t>
            </w:r>
          </w:p>
        </w:tc>
        <w:tc>
          <w:tcPr>
            <w:tcW w:w="372" w:type="pct"/>
            <w:tcBorders>
              <w:tl2br w:val="nil"/>
              <w:tr2bl w:val="nil"/>
            </w:tcBorders>
            <w:noWrap w:val="0"/>
            <w:vAlign w:val="center"/>
          </w:tcPr>
          <w:p w14:paraId="6B4069B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tr w14:paraId="1F8C1E6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136A29AA">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5A79E519">
            <w:pPr>
              <w:pStyle w:val="199"/>
              <w:autoSpaceDE w:val="0"/>
              <w:autoSpaceDN w:val="0"/>
              <w:spacing w:beforeLines="0" w:line="240" w:lineRule="auto"/>
              <w:jc w:val="center"/>
              <w:rPr>
                <w:rFonts w:hint="eastAsia"/>
                <w:b w:val="0"/>
                <w:color w:val="auto"/>
                <w:kern w:val="0"/>
                <w:highlight w:val="none"/>
                <w:lang w:val="en-US" w:eastAsia="zh-CN"/>
              </w:rPr>
            </w:pPr>
          </w:p>
        </w:tc>
        <w:tc>
          <w:tcPr>
            <w:tcW w:w="3520" w:type="pct"/>
            <w:tcBorders>
              <w:tl2br w:val="nil"/>
              <w:tr2bl w:val="nil"/>
            </w:tcBorders>
            <w:noWrap w:val="0"/>
            <w:vAlign w:val="center"/>
          </w:tcPr>
          <w:p w14:paraId="33D6FC70">
            <w:pPr>
              <w:pStyle w:val="199"/>
              <w:autoSpaceDE w:val="0"/>
              <w:autoSpaceDN w:val="0"/>
              <w:spacing w:beforeLines="0" w:line="240" w:lineRule="auto"/>
              <w:jc w:val="center"/>
              <w:rPr>
                <w:rFonts w:hint="default"/>
                <w:b w:val="0"/>
                <w:bCs/>
                <w:color w:val="auto"/>
                <w:highlight w:val="none"/>
                <w:lang w:val="en-US" w:eastAsia="zh-CN"/>
              </w:rPr>
            </w:pPr>
            <w:r>
              <w:rPr>
                <w:rFonts w:hint="eastAsia"/>
                <w:b w:val="0"/>
                <w:bCs/>
                <w:color w:val="auto"/>
                <w:highlight w:val="none"/>
                <w:lang w:val="en-US" w:eastAsia="zh-CN"/>
              </w:rPr>
              <w:t>原矿石堆存库、破碎筛分车间、浮选车间、尾矿砂贮存库、萤石精粉堆存库、选矿水循环水池等采用抗渗混凝土进行基础防渗，防渗要求满足等效黏土防渗层Mb≥1.5m，K≤1×10</w:t>
            </w:r>
            <w:r>
              <w:rPr>
                <w:rFonts w:hint="eastAsia"/>
                <w:b w:val="0"/>
                <w:bCs/>
                <w:color w:val="auto"/>
                <w:highlight w:val="none"/>
                <w:vertAlign w:val="superscript"/>
                <w:lang w:val="en-US" w:eastAsia="zh-CN"/>
              </w:rPr>
              <w:t>-7</w:t>
            </w:r>
            <w:r>
              <w:rPr>
                <w:rFonts w:hint="eastAsia"/>
                <w:b w:val="0"/>
                <w:bCs/>
                <w:color w:val="auto"/>
                <w:highlight w:val="none"/>
                <w:lang w:val="en-US" w:eastAsia="zh-CN"/>
              </w:rPr>
              <w:t>cm/s。</w:t>
            </w:r>
          </w:p>
        </w:tc>
        <w:tc>
          <w:tcPr>
            <w:tcW w:w="372" w:type="pct"/>
            <w:tcBorders>
              <w:tl2br w:val="nil"/>
              <w:tr2bl w:val="nil"/>
            </w:tcBorders>
            <w:noWrap w:val="0"/>
            <w:vAlign w:val="center"/>
          </w:tcPr>
          <w:p w14:paraId="72DD566C">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新建</w:t>
            </w:r>
          </w:p>
        </w:tc>
      </w:tr>
      <w:tr w14:paraId="1AB45D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34" w:type="pct"/>
            <w:vMerge w:val="continue"/>
            <w:tcBorders>
              <w:tl2br w:val="nil"/>
              <w:tr2bl w:val="nil"/>
            </w:tcBorders>
            <w:noWrap w:val="0"/>
            <w:vAlign w:val="center"/>
          </w:tcPr>
          <w:p w14:paraId="77D89E0B">
            <w:pPr>
              <w:pStyle w:val="199"/>
              <w:autoSpaceDE w:val="0"/>
              <w:autoSpaceDN w:val="0"/>
              <w:spacing w:beforeLines="0" w:line="240" w:lineRule="auto"/>
              <w:jc w:val="center"/>
              <w:rPr>
                <w:rFonts w:hint="eastAsia"/>
                <w:b w:val="0"/>
                <w:color w:val="auto"/>
                <w:kern w:val="0"/>
                <w:highlight w:val="none"/>
              </w:rPr>
            </w:pPr>
          </w:p>
        </w:tc>
        <w:tc>
          <w:tcPr>
            <w:tcW w:w="772" w:type="pct"/>
            <w:gridSpan w:val="2"/>
            <w:vMerge w:val="continue"/>
            <w:tcBorders>
              <w:tl2br w:val="nil"/>
              <w:tr2bl w:val="nil"/>
            </w:tcBorders>
            <w:noWrap w:val="0"/>
            <w:vAlign w:val="center"/>
          </w:tcPr>
          <w:p w14:paraId="15C2D84D">
            <w:pPr>
              <w:pStyle w:val="199"/>
              <w:autoSpaceDE w:val="0"/>
              <w:autoSpaceDN w:val="0"/>
              <w:spacing w:beforeLines="0" w:line="240" w:lineRule="auto"/>
              <w:jc w:val="center"/>
              <w:rPr>
                <w:rFonts w:hint="eastAsia"/>
                <w:b w:val="0"/>
                <w:color w:val="auto"/>
                <w:kern w:val="0"/>
                <w:highlight w:val="none"/>
              </w:rPr>
            </w:pPr>
          </w:p>
        </w:tc>
        <w:tc>
          <w:tcPr>
            <w:tcW w:w="3520" w:type="pct"/>
            <w:tcBorders>
              <w:tl2br w:val="nil"/>
              <w:tr2bl w:val="nil"/>
            </w:tcBorders>
            <w:noWrap w:val="0"/>
            <w:vAlign w:val="center"/>
          </w:tcPr>
          <w:p w14:paraId="407A81C4">
            <w:pPr>
              <w:pStyle w:val="199"/>
              <w:autoSpaceDE w:val="0"/>
              <w:autoSpaceDN w:val="0"/>
              <w:spacing w:beforeLines="0" w:line="240" w:lineRule="auto"/>
              <w:jc w:val="center"/>
              <w:rPr>
                <w:rFonts w:hint="eastAsia"/>
                <w:b w:val="0"/>
                <w:color w:val="auto"/>
                <w:kern w:val="0"/>
                <w:highlight w:val="none"/>
                <w:lang w:val="en-US" w:eastAsia="en-US"/>
              </w:rPr>
            </w:pPr>
            <w:r>
              <w:rPr>
                <w:rFonts w:hint="eastAsia"/>
                <w:b w:val="0"/>
                <w:color w:val="auto"/>
                <w:kern w:val="0"/>
                <w:highlight w:val="none"/>
                <w:lang w:val="en-US" w:eastAsia="zh-CN"/>
              </w:rPr>
              <w:t>厂区道路进行</w:t>
            </w:r>
            <w:r>
              <w:rPr>
                <w:rFonts w:hint="eastAsia"/>
                <w:b w:val="0"/>
                <w:color w:val="auto"/>
                <w:kern w:val="0"/>
                <w:highlight w:val="none"/>
              </w:rPr>
              <w:t>一般</w:t>
            </w:r>
            <w:r>
              <w:rPr>
                <w:rFonts w:hint="eastAsia"/>
                <w:b w:val="0"/>
                <w:color w:val="auto"/>
                <w:kern w:val="0"/>
                <w:highlight w:val="none"/>
                <w:lang w:val="en-US" w:eastAsia="zh-CN"/>
              </w:rPr>
              <w:t>地面</w:t>
            </w:r>
            <w:r>
              <w:rPr>
                <w:rFonts w:hint="eastAsia"/>
                <w:b w:val="0"/>
                <w:color w:val="auto"/>
                <w:kern w:val="0"/>
                <w:highlight w:val="none"/>
              </w:rPr>
              <w:t>硬化。</w:t>
            </w:r>
          </w:p>
        </w:tc>
        <w:tc>
          <w:tcPr>
            <w:tcW w:w="372" w:type="pct"/>
            <w:tcBorders>
              <w:tl2br w:val="nil"/>
              <w:tr2bl w:val="nil"/>
            </w:tcBorders>
            <w:noWrap w:val="0"/>
            <w:vAlign w:val="center"/>
          </w:tcPr>
          <w:p w14:paraId="4DAD49B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新建</w:t>
            </w:r>
          </w:p>
        </w:tc>
      </w:tr>
      <w:bookmarkEnd w:id="74"/>
      <w:bookmarkEnd w:id="75"/>
      <w:bookmarkEnd w:id="76"/>
    </w:tbl>
    <w:p w14:paraId="0B3A629F">
      <w:pPr>
        <w:pStyle w:val="4"/>
        <w:spacing w:before="120" w:after="120"/>
        <w:rPr>
          <w:rFonts w:hint="eastAsia"/>
          <w:color w:val="auto"/>
          <w:highlight w:val="none"/>
          <w:lang w:val="en-US" w:eastAsia="zh-CN"/>
        </w:rPr>
      </w:pPr>
      <w:bookmarkStart w:id="77" w:name="_Toc24447082"/>
      <w:bookmarkStart w:id="78" w:name="_Toc24072"/>
      <w:r>
        <w:rPr>
          <w:rFonts w:hint="eastAsia"/>
          <w:color w:val="auto"/>
          <w:highlight w:val="none"/>
          <w:lang w:val="en-US" w:eastAsia="zh-CN"/>
        </w:rPr>
        <w:t>生产规模及产品方案</w:t>
      </w:r>
      <w:bookmarkEnd w:id="77"/>
      <w:bookmarkEnd w:id="78"/>
    </w:p>
    <w:p w14:paraId="033EF779">
      <w:pPr>
        <w:widowControl/>
        <w:tabs>
          <w:tab w:val="left" w:pos="5925"/>
        </w:tabs>
        <w:overflowPunct w:val="0"/>
        <w:autoSpaceDE w:val="0"/>
        <w:autoSpaceDN w:val="0"/>
        <w:snapToGrid w:val="0"/>
        <w:ind w:firstLine="480"/>
        <w:jc w:val="left"/>
        <w:rPr>
          <w:color w:val="auto"/>
          <w:highlight w:val="none"/>
        </w:rPr>
      </w:pPr>
      <w:bookmarkStart w:id="79" w:name="_Toc519036223"/>
      <w:bookmarkStart w:id="80" w:name="_Toc519692367"/>
      <w:bookmarkStart w:id="81" w:name="_Toc518997389"/>
      <w:r>
        <w:rPr>
          <w:rFonts w:hint="eastAsia"/>
          <w:color w:val="auto"/>
          <w:highlight w:val="none"/>
        </w:rPr>
        <w:t>（1）生产规模</w:t>
      </w:r>
    </w:p>
    <w:p w14:paraId="1BA556AD">
      <w:pPr>
        <w:widowControl/>
        <w:tabs>
          <w:tab w:val="left" w:pos="5925"/>
        </w:tabs>
        <w:overflowPunct w:val="0"/>
        <w:autoSpaceDE w:val="0"/>
        <w:autoSpaceDN w:val="0"/>
        <w:snapToGrid w:val="0"/>
        <w:ind w:firstLine="480"/>
        <w:jc w:val="left"/>
        <w:rPr>
          <w:color w:val="auto"/>
          <w:highlight w:val="none"/>
        </w:rPr>
      </w:pPr>
      <w:r>
        <w:rPr>
          <w:rFonts w:hint="eastAsia"/>
          <w:color w:val="auto"/>
          <w:highlight w:val="none"/>
          <w:lang w:val="en-US" w:eastAsia="zh-CN"/>
        </w:rPr>
        <w:t>本项目年处理萤石矿30万吨，年产精矿（萤石粉）12.5万吨。</w:t>
      </w:r>
    </w:p>
    <w:p w14:paraId="0386B8B4">
      <w:pPr>
        <w:widowControl/>
        <w:tabs>
          <w:tab w:val="left" w:pos="5925"/>
        </w:tabs>
        <w:overflowPunct w:val="0"/>
        <w:autoSpaceDE w:val="0"/>
        <w:autoSpaceDN w:val="0"/>
        <w:snapToGrid w:val="0"/>
        <w:ind w:firstLine="480"/>
        <w:jc w:val="left"/>
        <w:rPr>
          <w:color w:val="auto"/>
          <w:highlight w:val="none"/>
        </w:rPr>
      </w:pPr>
      <w:r>
        <w:rPr>
          <w:rFonts w:hint="eastAsia"/>
          <w:color w:val="auto"/>
          <w:highlight w:val="none"/>
        </w:rPr>
        <w:t>（2）产品方案</w:t>
      </w:r>
    </w:p>
    <w:p w14:paraId="0EFA7027">
      <w:pPr>
        <w:adjustRightInd w:val="0"/>
        <w:snapToGrid w:val="0"/>
        <w:spacing w:line="480" w:lineRule="exact"/>
        <w:ind w:firstLine="482"/>
        <w:rPr>
          <w:color w:val="auto"/>
          <w:sz w:val="24"/>
          <w:szCs w:val="24"/>
          <w:highlight w:val="none"/>
        </w:rPr>
      </w:pPr>
      <w:r>
        <w:rPr>
          <w:color w:val="auto"/>
          <w:sz w:val="24"/>
          <w:szCs w:val="24"/>
          <w:highlight w:val="none"/>
        </w:rPr>
        <w:t>项目主要产品方案见表</w:t>
      </w:r>
      <w:r>
        <w:rPr>
          <w:rFonts w:hint="eastAsia"/>
          <w:color w:val="auto"/>
          <w:sz w:val="24"/>
          <w:szCs w:val="24"/>
          <w:highlight w:val="none"/>
          <w:lang w:val="en-US" w:eastAsia="zh-CN"/>
        </w:rPr>
        <w:t>3.3-1</w:t>
      </w:r>
      <w:r>
        <w:rPr>
          <w:color w:val="auto"/>
          <w:sz w:val="24"/>
          <w:szCs w:val="24"/>
          <w:highlight w:val="none"/>
        </w:rPr>
        <w:t>。</w:t>
      </w:r>
    </w:p>
    <w:p w14:paraId="36E2B105">
      <w:pPr>
        <w:pStyle w:val="199"/>
        <w:spacing w:before="120"/>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3.3-1</w:t>
      </w:r>
      <w:r>
        <w:rPr>
          <w:rFonts w:hint="eastAsia"/>
          <w:color w:val="auto"/>
          <w:sz w:val="24"/>
          <w:highlight w:val="none"/>
        </w:rPr>
        <w:t xml:space="preserve">    项目生产规模及产品方案</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313"/>
        <w:gridCol w:w="1419"/>
        <w:gridCol w:w="1420"/>
        <w:gridCol w:w="1420"/>
        <w:gridCol w:w="1421"/>
      </w:tblGrid>
      <w:tr w14:paraId="2CB13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6" w:type="dxa"/>
            <w:gridSpan w:val="2"/>
            <w:tcBorders>
              <w:tl2br w:val="nil"/>
              <w:tr2bl w:val="nil"/>
            </w:tcBorders>
            <w:noWrap w:val="0"/>
            <w:vAlign w:val="center"/>
          </w:tcPr>
          <w:p w14:paraId="033F3E7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产品名称</w:t>
            </w:r>
          </w:p>
        </w:tc>
        <w:tc>
          <w:tcPr>
            <w:tcW w:w="1419" w:type="dxa"/>
            <w:tcBorders>
              <w:tl2br w:val="nil"/>
              <w:tr2bl w:val="nil"/>
            </w:tcBorders>
            <w:noWrap w:val="0"/>
            <w:vAlign w:val="center"/>
          </w:tcPr>
          <w:p w14:paraId="1595B09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产量（万t/a）</w:t>
            </w:r>
          </w:p>
        </w:tc>
        <w:tc>
          <w:tcPr>
            <w:tcW w:w="1420" w:type="dxa"/>
            <w:tcBorders>
              <w:tl2br w:val="nil"/>
              <w:tr2bl w:val="nil"/>
            </w:tcBorders>
            <w:noWrap w:val="0"/>
            <w:vAlign w:val="center"/>
          </w:tcPr>
          <w:p w14:paraId="427748E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产率</w:t>
            </w:r>
          </w:p>
        </w:tc>
        <w:tc>
          <w:tcPr>
            <w:tcW w:w="1420" w:type="dxa"/>
            <w:tcBorders>
              <w:tl2br w:val="nil"/>
              <w:tr2bl w:val="nil"/>
            </w:tcBorders>
            <w:noWrap w:val="0"/>
            <w:vAlign w:val="center"/>
          </w:tcPr>
          <w:p w14:paraId="24CDDE2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品位</w:t>
            </w:r>
          </w:p>
        </w:tc>
        <w:tc>
          <w:tcPr>
            <w:tcW w:w="1421" w:type="dxa"/>
            <w:tcBorders>
              <w:tl2br w:val="nil"/>
              <w:tr2bl w:val="nil"/>
            </w:tcBorders>
            <w:noWrap w:val="0"/>
            <w:vAlign w:val="center"/>
          </w:tcPr>
          <w:p w14:paraId="7EEEFA4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回收率</w:t>
            </w:r>
          </w:p>
        </w:tc>
      </w:tr>
      <w:tr w14:paraId="2DEBB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3" w:type="dxa"/>
            <w:tcBorders>
              <w:tl2br w:val="nil"/>
              <w:tr2bl w:val="nil"/>
            </w:tcBorders>
            <w:noWrap w:val="0"/>
            <w:vAlign w:val="center"/>
          </w:tcPr>
          <w:p w14:paraId="3404FDE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精矿</w:t>
            </w:r>
          </w:p>
        </w:tc>
        <w:tc>
          <w:tcPr>
            <w:tcW w:w="1313" w:type="dxa"/>
            <w:tcBorders>
              <w:tl2br w:val="nil"/>
              <w:tr2bl w:val="nil"/>
            </w:tcBorders>
            <w:noWrap w:val="0"/>
            <w:vAlign w:val="center"/>
          </w:tcPr>
          <w:p w14:paraId="2B135F8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矿精粉</w:t>
            </w:r>
          </w:p>
        </w:tc>
        <w:tc>
          <w:tcPr>
            <w:tcW w:w="1419" w:type="dxa"/>
            <w:tcBorders>
              <w:tl2br w:val="nil"/>
              <w:tr2bl w:val="nil"/>
            </w:tcBorders>
            <w:noWrap w:val="0"/>
            <w:vAlign w:val="center"/>
          </w:tcPr>
          <w:p w14:paraId="7EF624EF">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12.5</w:t>
            </w:r>
          </w:p>
        </w:tc>
        <w:tc>
          <w:tcPr>
            <w:tcW w:w="1420" w:type="dxa"/>
            <w:tcBorders>
              <w:tl2br w:val="nil"/>
              <w:tr2bl w:val="nil"/>
            </w:tcBorders>
            <w:noWrap w:val="0"/>
            <w:vAlign w:val="center"/>
          </w:tcPr>
          <w:p w14:paraId="3B5C530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41.67</w:t>
            </w:r>
            <w:r>
              <w:rPr>
                <w:rFonts w:hint="eastAsia"/>
                <w:b w:val="0"/>
                <w:color w:val="auto"/>
                <w:kern w:val="0"/>
                <w:highlight w:val="none"/>
              </w:rPr>
              <w:t>%</w:t>
            </w:r>
          </w:p>
        </w:tc>
        <w:tc>
          <w:tcPr>
            <w:tcW w:w="1420" w:type="dxa"/>
            <w:tcBorders>
              <w:tl2br w:val="nil"/>
              <w:tr2bl w:val="nil"/>
            </w:tcBorders>
            <w:noWrap w:val="0"/>
            <w:vAlign w:val="center"/>
          </w:tcPr>
          <w:p w14:paraId="557525A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97.66%</w:t>
            </w:r>
          </w:p>
        </w:tc>
        <w:tc>
          <w:tcPr>
            <w:tcW w:w="1421" w:type="dxa"/>
            <w:tcBorders>
              <w:tl2br w:val="nil"/>
              <w:tr2bl w:val="nil"/>
            </w:tcBorders>
            <w:noWrap w:val="0"/>
            <w:vAlign w:val="center"/>
          </w:tcPr>
          <w:p w14:paraId="1F823D7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90.37</w:t>
            </w:r>
            <w:r>
              <w:rPr>
                <w:rFonts w:hint="eastAsia"/>
                <w:b w:val="0"/>
                <w:color w:val="auto"/>
                <w:kern w:val="0"/>
                <w:highlight w:val="none"/>
              </w:rPr>
              <w:t>%</w:t>
            </w:r>
          </w:p>
        </w:tc>
      </w:tr>
    </w:tbl>
    <w:p w14:paraId="75B6A3BF">
      <w:pPr>
        <w:adjustRightInd w:val="0"/>
        <w:snapToGrid w:val="0"/>
        <w:spacing w:line="480" w:lineRule="exact"/>
        <w:ind w:firstLine="482"/>
        <w:rPr>
          <w:color w:val="auto"/>
          <w:sz w:val="24"/>
          <w:szCs w:val="24"/>
          <w:highlight w:val="none"/>
        </w:rPr>
      </w:pPr>
      <w:r>
        <w:rPr>
          <w:color w:val="auto"/>
          <w:sz w:val="24"/>
          <w:szCs w:val="24"/>
          <w:highlight w:val="none"/>
        </w:rPr>
        <w:t>产品成分：选矿产品－萤石精矿粉的</w:t>
      </w:r>
      <w:r>
        <w:rPr>
          <w:rFonts w:hint="eastAsia"/>
          <w:color w:val="auto"/>
          <w:sz w:val="24"/>
          <w:szCs w:val="24"/>
          <w:highlight w:val="none"/>
        </w:rPr>
        <w:t>化学成分</w:t>
      </w:r>
      <w:r>
        <w:rPr>
          <w:color w:val="auto"/>
          <w:sz w:val="24"/>
          <w:szCs w:val="24"/>
          <w:highlight w:val="none"/>
        </w:rPr>
        <w:t>：CaF</w:t>
      </w:r>
      <w:r>
        <w:rPr>
          <w:color w:val="auto"/>
          <w:sz w:val="24"/>
          <w:szCs w:val="24"/>
          <w:highlight w:val="none"/>
          <w:vertAlign w:val="subscript"/>
        </w:rPr>
        <w:t>2</w:t>
      </w:r>
      <w:r>
        <w:rPr>
          <w:color w:val="auto"/>
          <w:sz w:val="24"/>
          <w:szCs w:val="24"/>
          <w:highlight w:val="none"/>
        </w:rPr>
        <w:t>≥97</w:t>
      </w:r>
      <w:r>
        <w:rPr>
          <w:rFonts w:hint="eastAsia"/>
          <w:color w:val="auto"/>
          <w:sz w:val="24"/>
          <w:szCs w:val="24"/>
          <w:highlight w:val="none"/>
          <w:lang w:val="en-US" w:eastAsia="zh-CN"/>
        </w:rPr>
        <w:t>.66</w:t>
      </w:r>
      <w:r>
        <w:rPr>
          <w:color w:val="auto"/>
          <w:sz w:val="24"/>
          <w:szCs w:val="24"/>
          <w:highlight w:val="none"/>
        </w:rPr>
        <w:t>%；SiO</w:t>
      </w:r>
      <w:r>
        <w:rPr>
          <w:color w:val="auto"/>
          <w:sz w:val="24"/>
          <w:szCs w:val="24"/>
          <w:highlight w:val="none"/>
          <w:vertAlign w:val="subscript"/>
        </w:rPr>
        <w:t>2</w:t>
      </w:r>
      <w:r>
        <w:rPr>
          <w:color w:val="auto"/>
          <w:sz w:val="24"/>
          <w:szCs w:val="24"/>
          <w:highlight w:val="none"/>
        </w:rPr>
        <w:t>≤1.2%；CaCO</w:t>
      </w:r>
      <w:r>
        <w:rPr>
          <w:color w:val="auto"/>
          <w:sz w:val="24"/>
          <w:szCs w:val="24"/>
          <w:highlight w:val="none"/>
          <w:vertAlign w:val="subscript"/>
        </w:rPr>
        <w:t>3</w:t>
      </w:r>
      <w:r>
        <w:rPr>
          <w:color w:val="auto"/>
          <w:sz w:val="24"/>
          <w:szCs w:val="24"/>
          <w:highlight w:val="none"/>
        </w:rPr>
        <w:t>≤1.</w:t>
      </w:r>
      <w:r>
        <w:rPr>
          <w:rFonts w:hint="eastAsia"/>
          <w:color w:val="auto"/>
          <w:sz w:val="24"/>
          <w:szCs w:val="24"/>
          <w:highlight w:val="none"/>
          <w:lang w:val="en-US" w:eastAsia="zh-CN"/>
        </w:rPr>
        <w:t>2</w:t>
      </w:r>
      <w:r>
        <w:rPr>
          <w:color w:val="auto"/>
          <w:sz w:val="24"/>
          <w:szCs w:val="24"/>
          <w:highlight w:val="none"/>
        </w:rPr>
        <w:t>%，达到</w:t>
      </w:r>
      <w:r>
        <w:rPr>
          <w:rFonts w:hint="eastAsia"/>
          <w:color w:val="auto"/>
          <w:highlight w:val="none"/>
          <w:lang w:eastAsia="zh-CN"/>
        </w:rPr>
        <w:t>《</w:t>
      </w:r>
      <w:r>
        <w:rPr>
          <w:rFonts w:hint="eastAsia"/>
          <w:color w:val="auto"/>
          <w:highlight w:val="none"/>
          <w:lang w:val="en-US" w:eastAsia="zh-CN"/>
        </w:rPr>
        <w:t>中华人民</w:t>
      </w:r>
      <w:bookmarkStart w:id="304" w:name="_GoBack"/>
      <w:bookmarkEnd w:id="304"/>
      <w:r>
        <w:rPr>
          <w:rFonts w:hint="eastAsia"/>
          <w:color w:val="auto"/>
          <w:highlight w:val="none"/>
          <w:lang w:val="en-US" w:eastAsia="zh-CN"/>
        </w:rPr>
        <w:t>共和国黑色冶金行业标准-萤石</w:t>
      </w:r>
      <w:r>
        <w:rPr>
          <w:rFonts w:hint="eastAsia"/>
          <w:color w:val="auto"/>
          <w:highlight w:val="none"/>
          <w:lang w:eastAsia="zh-CN"/>
        </w:rPr>
        <w:t>》</w:t>
      </w:r>
      <w:r>
        <w:rPr>
          <w:color w:val="auto"/>
          <w:sz w:val="24"/>
          <w:szCs w:val="24"/>
          <w:highlight w:val="none"/>
        </w:rPr>
        <w:t>（YB/T5217-2005）</w:t>
      </w:r>
      <w:r>
        <w:rPr>
          <w:rFonts w:hint="eastAsia"/>
          <w:color w:val="auto"/>
          <w:sz w:val="24"/>
          <w:szCs w:val="24"/>
          <w:highlight w:val="none"/>
          <w:lang w:val="en-US" w:eastAsia="zh-CN"/>
        </w:rPr>
        <w:t>萤石分矿FF-97产品标准</w:t>
      </w:r>
      <w:r>
        <w:rPr>
          <w:color w:val="auto"/>
          <w:sz w:val="24"/>
          <w:szCs w:val="24"/>
          <w:highlight w:val="none"/>
        </w:rPr>
        <w:t>的要求。</w:t>
      </w:r>
    </w:p>
    <w:p w14:paraId="3D3FEBC1">
      <w:pPr>
        <w:pStyle w:val="4"/>
        <w:spacing w:before="120" w:after="120"/>
        <w:rPr>
          <w:rFonts w:hint="eastAsia"/>
          <w:color w:val="auto"/>
          <w:highlight w:val="none"/>
          <w:lang w:val="en-US" w:eastAsia="zh-CN"/>
        </w:rPr>
      </w:pPr>
      <w:bookmarkStart w:id="82" w:name="_Toc26905"/>
      <w:r>
        <w:rPr>
          <w:rFonts w:hint="eastAsia"/>
          <w:color w:val="auto"/>
          <w:highlight w:val="none"/>
          <w:lang w:val="en-US" w:eastAsia="zh-CN"/>
        </w:rPr>
        <w:t>主要原辅材料及能源消耗</w:t>
      </w:r>
      <w:bookmarkEnd w:id="82"/>
    </w:p>
    <w:p w14:paraId="0D0D4404">
      <w:pPr>
        <w:pStyle w:val="5"/>
        <w:rPr>
          <w:rFonts w:hint="eastAsia"/>
          <w:color w:val="auto"/>
          <w:highlight w:val="none"/>
          <w:lang w:val="en-US" w:eastAsia="zh-CN"/>
        </w:rPr>
      </w:pPr>
      <w:r>
        <w:rPr>
          <w:rFonts w:hint="eastAsia"/>
          <w:color w:val="auto"/>
          <w:highlight w:val="none"/>
          <w:lang w:val="en-US" w:eastAsia="zh-CN"/>
        </w:rPr>
        <w:t>矿石来源</w:t>
      </w:r>
    </w:p>
    <w:p w14:paraId="08AD1E5A">
      <w:pPr>
        <w:adjustRightInd w:val="0"/>
        <w:snapToGrid w:val="0"/>
        <w:spacing w:line="480" w:lineRule="exact"/>
        <w:ind w:firstLine="482"/>
        <w:rPr>
          <w:color w:val="auto"/>
          <w:sz w:val="24"/>
          <w:szCs w:val="24"/>
          <w:highlight w:val="none"/>
        </w:rPr>
      </w:pPr>
      <w:r>
        <w:rPr>
          <w:rFonts w:hint="eastAsia"/>
          <w:color w:val="auto"/>
          <w:sz w:val="24"/>
          <w:szCs w:val="24"/>
          <w:highlight w:val="none"/>
          <w:lang w:val="en-US" w:eastAsia="zh-CN"/>
        </w:rPr>
        <w:t>本项目原料</w:t>
      </w:r>
      <w:r>
        <w:rPr>
          <w:color w:val="auto"/>
          <w:sz w:val="24"/>
          <w:szCs w:val="24"/>
          <w:highlight w:val="none"/>
        </w:rPr>
        <w:t>矿石</w:t>
      </w:r>
      <w:r>
        <w:rPr>
          <w:rFonts w:hint="eastAsia"/>
          <w:color w:val="auto"/>
          <w:sz w:val="24"/>
          <w:szCs w:val="24"/>
          <w:highlight w:val="none"/>
          <w:lang w:val="en-US" w:eastAsia="zh-CN"/>
        </w:rPr>
        <w:t>由公司合作开采的多伦县长仙敖包萤石矿、阜新蒙古族自治县平安地镇少冷萤石矿业有限公司、蒙古国马利萤石矿业有限责任公司三家自备矿供应</w:t>
      </w:r>
      <w:r>
        <w:rPr>
          <w:color w:val="auto"/>
          <w:sz w:val="24"/>
          <w:szCs w:val="24"/>
          <w:highlight w:val="none"/>
        </w:rPr>
        <w:t>。</w:t>
      </w:r>
    </w:p>
    <w:p w14:paraId="4204C08E">
      <w:pPr>
        <w:adjustRightInd w:val="0"/>
        <w:snapToGrid w:val="0"/>
        <w:spacing w:line="480" w:lineRule="exact"/>
        <w:ind w:firstLine="482"/>
        <w:rPr>
          <w:color w:val="auto"/>
          <w:sz w:val="24"/>
          <w:szCs w:val="24"/>
          <w:highlight w:val="none"/>
        </w:rPr>
      </w:pPr>
      <w:r>
        <w:rPr>
          <w:color w:val="auto"/>
          <w:sz w:val="24"/>
          <w:szCs w:val="24"/>
          <w:highlight w:val="none"/>
        </w:rPr>
        <w:t>（1）矿石化学成分</w:t>
      </w:r>
    </w:p>
    <w:p w14:paraId="44BD026C">
      <w:pPr>
        <w:adjustRightInd w:val="0"/>
        <w:snapToGrid w:val="0"/>
        <w:spacing w:line="480" w:lineRule="exact"/>
        <w:ind w:firstLine="482"/>
        <w:rPr>
          <w:rFonts w:hint="default" w:eastAsia="宋体"/>
          <w:color w:val="auto"/>
          <w:sz w:val="24"/>
          <w:szCs w:val="24"/>
          <w:highlight w:val="none"/>
          <w:vertAlign w:val="subscript"/>
          <w:lang w:val="en-US" w:eastAsia="zh-CN"/>
        </w:rPr>
      </w:pPr>
      <w:r>
        <w:rPr>
          <w:rFonts w:hint="eastAsia"/>
          <w:color w:val="auto"/>
          <w:sz w:val="24"/>
          <w:szCs w:val="24"/>
          <w:highlight w:val="none"/>
          <w:lang w:val="en-US" w:eastAsia="zh-CN"/>
        </w:rPr>
        <w:t>根据建设单位提供的化验报告可知，多伦县长仙敖包萤石矿原矿石</w:t>
      </w:r>
      <w:r>
        <w:rPr>
          <w:color w:val="auto"/>
          <w:sz w:val="24"/>
          <w:szCs w:val="24"/>
          <w:highlight w:val="none"/>
        </w:rPr>
        <w:t>CaF</w:t>
      </w:r>
      <w:r>
        <w:rPr>
          <w:color w:val="auto"/>
          <w:sz w:val="24"/>
          <w:szCs w:val="24"/>
          <w:highlight w:val="none"/>
          <w:vertAlign w:val="subscript"/>
        </w:rPr>
        <w:t>2</w:t>
      </w:r>
      <w:r>
        <w:rPr>
          <w:color w:val="auto"/>
          <w:sz w:val="24"/>
          <w:szCs w:val="24"/>
          <w:highlight w:val="none"/>
        </w:rPr>
        <w:t>含量为</w:t>
      </w:r>
      <w:r>
        <w:rPr>
          <w:rFonts w:hint="eastAsia"/>
          <w:color w:val="auto"/>
          <w:sz w:val="24"/>
          <w:szCs w:val="24"/>
          <w:highlight w:val="none"/>
          <w:lang w:val="en-US" w:eastAsia="zh-CN"/>
        </w:rPr>
        <w:t>47.86</w:t>
      </w:r>
      <w:r>
        <w:rPr>
          <w:color w:val="auto"/>
          <w:sz w:val="24"/>
          <w:szCs w:val="24"/>
          <w:highlight w:val="none"/>
        </w:rPr>
        <w:t>%</w:t>
      </w:r>
      <w:r>
        <w:rPr>
          <w:rFonts w:hint="eastAsia"/>
          <w:color w:val="auto"/>
          <w:sz w:val="24"/>
          <w:szCs w:val="24"/>
          <w:highlight w:val="none"/>
          <w:lang w:eastAsia="zh-CN"/>
        </w:rPr>
        <w:t>，</w:t>
      </w:r>
      <w:r>
        <w:rPr>
          <w:rFonts w:hint="eastAsia"/>
          <w:b w:val="0"/>
          <w:color w:val="auto"/>
          <w:kern w:val="0"/>
          <w:highlight w:val="none"/>
        </w:rPr>
        <w:t>Ca</w:t>
      </w:r>
      <w:r>
        <w:rPr>
          <w:rFonts w:hint="eastAsia"/>
          <w:b w:val="0"/>
          <w:color w:val="auto"/>
          <w:kern w:val="0"/>
          <w:highlight w:val="none"/>
          <w:lang w:val="en-US" w:eastAsia="zh-CN"/>
        </w:rPr>
        <w:t>C</w:t>
      </w:r>
      <w:r>
        <w:rPr>
          <w:rFonts w:hint="eastAsia"/>
          <w:b w:val="0"/>
          <w:color w:val="auto"/>
          <w:kern w:val="0"/>
          <w:highlight w:val="none"/>
        </w:rPr>
        <w:t>O</w:t>
      </w:r>
      <w:r>
        <w:rPr>
          <w:rFonts w:hint="eastAsia"/>
          <w:b w:val="0"/>
          <w:color w:val="auto"/>
          <w:kern w:val="0"/>
          <w:highlight w:val="none"/>
          <w:vertAlign w:val="subscript"/>
          <w:lang w:val="en-US" w:eastAsia="zh-CN"/>
        </w:rPr>
        <w:t>3</w:t>
      </w:r>
      <w:r>
        <w:rPr>
          <w:rFonts w:hint="eastAsia"/>
          <w:b w:val="0"/>
          <w:color w:val="auto"/>
          <w:kern w:val="0"/>
          <w:highlight w:val="none"/>
          <w:vertAlign w:val="baseline"/>
          <w:lang w:val="en-US" w:eastAsia="zh-CN"/>
        </w:rPr>
        <w:t>含量为0.73%；</w:t>
      </w:r>
      <w:r>
        <w:rPr>
          <w:rFonts w:hint="eastAsia"/>
          <w:color w:val="auto"/>
          <w:sz w:val="24"/>
          <w:szCs w:val="24"/>
          <w:highlight w:val="none"/>
          <w:lang w:val="en-US" w:eastAsia="zh-CN"/>
        </w:rPr>
        <w:t>阜新蒙古族自治县平安地镇少冷萤石矿业有限公司原矿石</w:t>
      </w:r>
      <w:r>
        <w:rPr>
          <w:color w:val="auto"/>
          <w:sz w:val="24"/>
          <w:szCs w:val="24"/>
          <w:highlight w:val="none"/>
        </w:rPr>
        <w:t>CaF</w:t>
      </w:r>
      <w:r>
        <w:rPr>
          <w:color w:val="auto"/>
          <w:sz w:val="24"/>
          <w:szCs w:val="24"/>
          <w:highlight w:val="none"/>
          <w:vertAlign w:val="subscript"/>
        </w:rPr>
        <w:t>2</w:t>
      </w:r>
      <w:r>
        <w:rPr>
          <w:color w:val="auto"/>
          <w:sz w:val="24"/>
          <w:szCs w:val="24"/>
          <w:highlight w:val="none"/>
        </w:rPr>
        <w:t>含量为</w:t>
      </w:r>
      <w:r>
        <w:rPr>
          <w:rFonts w:hint="eastAsia"/>
          <w:color w:val="auto"/>
          <w:sz w:val="24"/>
          <w:szCs w:val="24"/>
          <w:highlight w:val="none"/>
          <w:lang w:val="en-US" w:eastAsia="zh-CN"/>
        </w:rPr>
        <w:t>46.03</w:t>
      </w:r>
      <w:r>
        <w:rPr>
          <w:color w:val="auto"/>
          <w:sz w:val="24"/>
          <w:szCs w:val="24"/>
          <w:highlight w:val="none"/>
        </w:rPr>
        <w:t>%</w:t>
      </w:r>
      <w:r>
        <w:rPr>
          <w:rFonts w:hint="eastAsia"/>
          <w:color w:val="auto"/>
          <w:sz w:val="24"/>
          <w:szCs w:val="24"/>
          <w:highlight w:val="none"/>
          <w:lang w:eastAsia="zh-CN"/>
        </w:rPr>
        <w:t>，</w:t>
      </w:r>
      <w:r>
        <w:rPr>
          <w:rFonts w:hint="eastAsia"/>
          <w:b w:val="0"/>
          <w:color w:val="auto"/>
          <w:kern w:val="0"/>
          <w:highlight w:val="none"/>
        </w:rPr>
        <w:t>Ca</w:t>
      </w:r>
      <w:r>
        <w:rPr>
          <w:rFonts w:hint="eastAsia"/>
          <w:b w:val="0"/>
          <w:color w:val="auto"/>
          <w:kern w:val="0"/>
          <w:highlight w:val="none"/>
          <w:lang w:val="en-US" w:eastAsia="zh-CN"/>
        </w:rPr>
        <w:t>C</w:t>
      </w:r>
      <w:r>
        <w:rPr>
          <w:rFonts w:hint="eastAsia"/>
          <w:b w:val="0"/>
          <w:color w:val="auto"/>
          <w:kern w:val="0"/>
          <w:highlight w:val="none"/>
        </w:rPr>
        <w:t>O</w:t>
      </w:r>
      <w:r>
        <w:rPr>
          <w:rFonts w:hint="eastAsia"/>
          <w:b w:val="0"/>
          <w:color w:val="auto"/>
          <w:kern w:val="0"/>
          <w:highlight w:val="none"/>
          <w:vertAlign w:val="subscript"/>
          <w:lang w:val="en-US" w:eastAsia="zh-CN"/>
        </w:rPr>
        <w:t>3</w:t>
      </w:r>
      <w:r>
        <w:rPr>
          <w:rFonts w:hint="eastAsia"/>
          <w:b w:val="0"/>
          <w:color w:val="auto"/>
          <w:kern w:val="0"/>
          <w:highlight w:val="none"/>
          <w:vertAlign w:val="baseline"/>
          <w:lang w:val="en-US" w:eastAsia="zh-CN"/>
        </w:rPr>
        <w:t>含量为0.92%；</w:t>
      </w:r>
      <w:r>
        <w:rPr>
          <w:rFonts w:hint="eastAsia"/>
          <w:color w:val="auto"/>
          <w:sz w:val="24"/>
          <w:szCs w:val="24"/>
          <w:highlight w:val="none"/>
          <w:lang w:val="en-US" w:eastAsia="zh-CN"/>
        </w:rPr>
        <w:t>蒙古国马利萤石矿业有限责任公司原矿石</w:t>
      </w:r>
      <w:r>
        <w:rPr>
          <w:color w:val="auto"/>
          <w:sz w:val="24"/>
          <w:szCs w:val="24"/>
          <w:highlight w:val="none"/>
        </w:rPr>
        <w:t>CaF</w:t>
      </w:r>
      <w:r>
        <w:rPr>
          <w:color w:val="auto"/>
          <w:sz w:val="24"/>
          <w:szCs w:val="24"/>
          <w:highlight w:val="none"/>
          <w:vertAlign w:val="subscript"/>
        </w:rPr>
        <w:t>2</w:t>
      </w:r>
      <w:r>
        <w:rPr>
          <w:color w:val="auto"/>
          <w:sz w:val="24"/>
          <w:szCs w:val="24"/>
          <w:highlight w:val="none"/>
        </w:rPr>
        <w:t>含量为</w:t>
      </w:r>
      <w:r>
        <w:rPr>
          <w:rFonts w:hint="eastAsia"/>
          <w:color w:val="auto"/>
          <w:sz w:val="24"/>
          <w:szCs w:val="24"/>
          <w:highlight w:val="none"/>
          <w:lang w:val="en-US" w:eastAsia="zh-CN"/>
        </w:rPr>
        <w:t>53.41</w:t>
      </w:r>
      <w:r>
        <w:rPr>
          <w:color w:val="auto"/>
          <w:sz w:val="24"/>
          <w:szCs w:val="24"/>
          <w:highlight w:val="none"/>
        </w:rPr>
        <w:t>%</w:t>
      </w:r>
      <w:r>
        <w:rPr>
          <w:rFonts w:hint="eastAsia"/>
          <w:color w:val="auto"/>
          <w:sz w:val="24"/>
          <w:szCs w:val="24"/>
          <w:highlight w:val="none"/>
          <w:lang w:eastAsia="zh-CN"/>
        </w:rPr>
        <w:t>，</w:t>
      </w:r>
      <w:r>
        <w:rPr>
          <w:rFonts w:hint="eastAsia"/>
          <w:b w:val="0"/>
          <w:color w:val="auto"/>
          <w:kern w:val="0"/>
          <w:highlight w:val="none"/>
        </w:rPr>
        <w:t>Ca</w:t>
      </w:r>
      <w:r>
        <w:rPr>
          <w:rFonts w:hint="eastAsia"/>
          <w:b w:val="0"/>
          <w:color w:val="auto"/>
          <w:kern w:val="0"/>
          <w:highlight w:val="none"/>
          <w:lang w:val="en-US" w:eastAsia="zh-CN"/>
        </w:rPr>
        <w:t>C</w:t>
      </w:r>
      <w:r>
        <w:rPr>
          <w:rFonts w:hint="eastAsia"/>
          <w:b w:val="0"/>
          <w:color w:val="auto"/>
          <w:kern w:val="0"/>
          <w:highlight w:val="none"/>
        </w:rPr>
        <w:t>O</w:t>
      </w:r>
      <w:r>
        <w:rPr>
          <w:rFonts w:hint="eastAsia"/>
          <w:b w:val="0"/>
          <w:color w:val="auto"/>
          <w:kern w:val="0"/>
          <w:highlight w:val="none"/>
          <w:vertAlign w:val="subscript"/>
          <w:lang w:val="en-US" w:eastAsia="zh-CN"/>
        </w:rPr>
        <w:t>3</w:t>
      </w:r>
      <w:r>
        <w:rPr>
          <w:rFonts w:hint="eastAsia"/>
          <w:b w:val="0"/>
          <w:color w:val="auto"/>
          <w:kern w:val="0"/>
          <w:highlight w:val="none"/>
          <w:vertAlign w:val="baseline"/>
          <w:lang w:val="en-US" w:eastAsia="zh-CN"/>
        </w:rPr>
        <w:t>含量为0.55%。</w:t>
      </w:r>
    </w:p>
    <w:p w14:paraId="3989E142">
      <w:pPr>
        <w:adjustRightInd w:val="0"/>
        <w:snapToGrid w:val="0"/>
        <w:spacing w:line="480" w:lineRule="exact"/>
        <w:ind w:firstLine="482"/>
        <w:rPr>
          <w:rFonts w:hint="eastAsia"/>
          <w:color w:val="auto"/>
          <w:sz w:val="24"/>
          <w:szCs w:val="24"/>
          <w:highlight w:val="none"/>
          <w:lang w:eastAsia="zh-CN"/>
        </w:rPr>
      </w:pPr>
      <w:r>
        <w:rPr>
          <w:rFonts w:hint="eastAsia"/>
          <w:color w:val="auto"/>
          <w:sz w:val="24"/>
          <w:szCs w:val="24"/>
          <w:highlight w:val="none"/>
          <w:lang w:val="en-US" w:eastAsia="zh-CN"/>
        </w:rPr>
        <w:t>本</w:t>
      </w:r>
      <w:r>
        <w:rPr>
          <w:color w:val="auto"/>
          <w:sz w:val="24"/>
          <w:szCs w:val="24"/>
          <w:highlight w:val="none"/>
        </w:rPr>
        <w:t>项目</w:t>
      </w:r>
      <w:r>
        <w:rPr>
          <w:rFonts w:hint="eastAsia"/>
          <w:color w:val="auto"/>
          <w:sz w:val="24"/>
          <w:szCs w:val="24"/>
          <w:highlight w:val="none"/>
          <w:lang w:val="en-US" w:eastAsia="zh-CN"/>
        </w:rPr>
        <w:t>设计，混合后</w:t>
      </w:r>
      <w:r>
        <w:rPr>
          <w:color w:val="auto"/>
          <w:sz w:val="24"/>
          <w:szCs w:val="24"/>
          <w:highlight w:val="none"/>
        </w:rPr>
        <w:t>萤石矿原矿中CaF</w:t>
      </w:r>
      <w:r>
        <w:rPr>
          <w:color w:val="auto"/>
          <w:sz w:val="24"/>
          <w:szCs w:val="24"/>
          <w:highlight w:val="none"/>
          <w:vertAlign w:val="subscript"/>
        </w:rPr>
        <w:t>2</w:t>
      </w:r>
      <w:r>
        <w:rPr>
          <w:color w:val="auto"/>
          <w:sz w:val="24"/>
          <w:szCs w:val="24"/>
          <w:highlight w:val="none"/>
        </w:rPr>
        <w:t>含量</w:t>
      </w:r>
      <w:r>
        <w:rPr>
          <w:rFonts w:hint="eastAsia"/>
          <w:color w:val="auto"/>
          <w:sz w:val="24"/>
          <w:szCs w:val="24"/>
          <w:highlight w:val="none"/>
          <w:lang w:val="en-US" w:eastAsia="zh-CN"/>
        </w:rPr>
        <w:t>保守取值</w:t>
      </w:r>
      <w:r>
        <w:rPr>
          <w:color w:val="auto"/>
          <w:sz w:val="24"/>
          <w:szCs w:val="24"/>
          <w:highlight w:val="none"/>
        </w:rPr>
        <w:t>为</w:t>
      </w:r>
      <w:r>
        <w:rPr>
          <w:rFonts w:hint="eastAsia"/>
          <w:color w:val="auto"/>
          <w:sz w:val="24"/>
          <w:szCs w:val="24"/>
          <w:highlight w:val="none"/>
          <w:lang w:val="en-US" w:eastAsia="zh-CN"/>
        </w:rPr>
        <w:t>45</w:t>
      </w:r>
      <w:r>
        <w:rPr>
          <w:color w:val="auto"/>
          <w:sz w:val="24"/>
          <w:szCs w:val="24"/>
          <w:highlight w:val="none"/>
        </w:rPr>
        <w:t>%，为主要回收元素；原矿主要杂质SiO</w:t>
      </w:r>
      <w:r>
        <w:rPr>
          <w:color w:val="auto"/>
          <w:sz w:val="24"/>
          <w:szCs w:val="24"/>
          <w:highlight w:val="none"/>
          <w:vertAlign w:val="subscript"/>
        </w:rPr>
        <w:t>2</w:t>
      </w:r>
      <w:r>
        <w:rPr>
          <w:color w:val="auto"/>
          <w:sz w:val="24"/>
          <w:szCs w:val="24"/>
          <w:highlight w:val="none"/>
        </w:rPr>
        <w:t>含量为4</w:t>
      </w:r>
      <w:r>
        <w:rPr>
          <w:rFonts w:hint="eastAsia"/>
          <w:color w:val="auto"/>
          <w:sz w:val="24"/>
          <w:szCs w:val="24"/>
          <w:highlight w:val="none"/>
          <w:lang w:val="en-US" w:eastAsia="zh-CN"/>
        </w:rPr>
        <w:t>4</w:t>
      </w:r>
      <w:r>
        <w:rPr>
          <w:color w:val="auto"/>
          <w:sz w:val="24"/>
          <w:szCs w:val="24"/>
          <w:highlight w:val="none"/>
        </w:rPr>
        <w:t>.12%；有害物质主要为CaO及Al</w:t>
      </w:r>
      <w:r>
        <w:rPr>
          <w:color w:val="auto"/>
          <w:sz w:val="24"/>
          <w:szCs w:val="24"/>
          <w:highlight w:val="none"/>
          <w:vertAlign w:val="subscript"/>
        </w:rPr>
        <w:t>2</w:t>
      </w:r>
      <w:r>
        <w:rPr>
          <w:color w:val="auto"/>
          <w:sz w:val="24"/>
          <w:szCs w:val="24"/>
          <w:highlight w:val="none"/>
        </w:rPr>
        <w:t>O</w:t>
      </w:r>
      <w:r>
        <w:rPr>
          <w:color w:val="auto"/>
          <w:sz w:val="24"/>
          <w:szCs w:val="24"/>
          <w:highlight w:val="none"/>
          <w:vertAlign w:val="subscript"/>
        </w:rPr>
        <w:t>3</w:t>
      </w:r>
      <w:r>
        <w:rPr>
          <w:color w:val="auto"/>
          <w:sz w:val="24"/>
          <w:szCs w:val="24"/>
          <w:highlight w:val="none"/>
        </w:rPr>
        <w:t>，含量分别为</w:t>
      </w:r>
      <w:r>
        <w:rPr>
          <w:rFonts w:hint="eastAsia"/>
          <w:color w:val="auto"/>
          <w:sz w:val="24"/>
          <w:szCs w:val="24"/>
          <w:highlight w:val="none"/>
          <w:lang w:val="en-US" w:eastAsia="zh-CN"/>
        </w:rPr>
        <w:t>3</w:t>
      </w:r>
      <w:r>
        <w:rPr>
          <w:color w:val="auto"/>
          <w:sz w:val="24"/>
          <w:szCs w:val="24"/>
          <w:highlight w:val="none"/>
        </w:rPr>
        <w:t>.03%及</w:t>
      </w:r>
      <w:r>
        <w:rPr>
          <w:rFonts w:hint="eastAsia"/>
          <w:color w:val="auto"/>
          <w:sz w:val="24"/>
          <w:szCs w:val="24"/>
          <w:highlight w:val="none"/>
          <w:lang w:val="en-US" w:eastAsia="zh-CN"/>
        </w:rPr>
        <w:t>3</w:t>
      </w:r>
      <w:r>
        <w:rPr>
          <w:color w:val="auto"/>
          <w:sz w:val="24"/>
          <w:szCs w:val="24"/>
          <w:highlight w:val="none"/>
        </w:rPr>
        <w:t>.54%</w:t>
      </w:r>
      <w:r>
        <w:rPr>
          <w:rFonts w:hint="eastAsia"/>
          <w:color w:val="auto"/>
          <w:sz w:val="24"/>
          <w:szCs w:val="24"/>
          <w:highlight w:val="none"/>
          <w:lang w:eastAsia="zh-CN"/>
        </w:rPr>
        <w:t>。</w:t>
      </w:r>
    </w:p>
    <w:p w14:paraId="283FC217">
      <w:pPr>
        <w:adjustRightInd w:val="0"/>
        <w:snapToGrid w:val="0"/>
        <w:spacing w:line="480" w:lineRule="exact"/>
        <w:ind w:firstLine="482"/>
        <w:rPr>
          <w:color w:val="auto"/>
          <w:sz w:val="24"/>
          <w:szCs w:val="24"/>
          <w:highlight w:val="none"/>
        </w:rPr>
      </w:pPr>
      <w:r>
        <w:rPr>
          <w:rFonts w:hint="eastAsia"/>
          <w:color w:val="auto"/>
          <w:sz w:val="24"/>
          <w:szCs w:val="24"/>
          <w:highlight w:val="none"/>
          <w:lang w:val="en-US" w:eastAsia="zh-CN"/>
        </w:rPr>
        <w:t>本次评价保守采用设计提原矿石组分，原矿石</w:t>
      </w:r>
      <w:r>
        <w:rPr>
          <w:color w:val="auto"/>
          <w:sz w:val="24"/>
          <w:szCs w:val="24"/>
          <w:highlight w:val="none"/>
        </w:rPr>
        <w:t>化学多元素分析见表</w:t>
      </w:r>
      <w:r>
        <w:rPr>
          <w:rFonts w:hint="eastAsia"/>
          <w:color w:val="auto"/>
          <w:sz w:val="24"/>
          <w:szCs w:val="24"/>
          <w:highlight w:val="none"/>
          <w:lang w:val="en-US" w:eastAsia="zh-CN"/>
        </w:rPr>
        <w:t>3.4</w:t>
      </w:r>
      <w:r>
        <w:rPr>
          <w:color w:val="auto"/>
          <w:sz w:val="24"/>
          <w:szCs w:val="24"/>
          <w:highlight w:val="none"/>
        </w:rPr>
        <w:t>-1。</w:t>
      </w:r>
    </w:p>
    <w:p w14:paraId="6B4DB2AC">
      <w:pPr>
        <w:pStyle w:val="199"/>
        <w:spacing w:before="120"/>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3.4-1</w:t>
      </w:r>
      <w:r>
        <w:rPr>
          <w:rFonts w:hint="eastAsia"/>
          <w:color w:val="auto"/>
          <w:sz w:val="24"/>
          <w:highlight w:val="none"/>
        </w:rPr>
        <w:t xml:space="preserve">    矿石化学元素含量一览表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6"/>
        <w:gridCol w:w="1217"/>
        <w:gridCol w:w="1217"/>
        <w:gridCol w:w="1217"/>
        <w:gridCol w:w="1217"/>
      </w:tblGrid>
      <w:tr w14:paraId="77FFB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tcBorders>
              <w:tl2br w:val="nil"/>
              <w:tr2bl w:val="nil"/>
            </w:tcBorders>
            <w:noWrap w:val="0"/>
            <w:vAlign w:val="center"/>
          </w:tcPr>
          <w:p w14:paraId="6B024AD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元素</w:t>
            </w:r>
          </w:p>
        </w:tc>
        <w:tc>
          <w:tcPr>
            <w:tcW w:w="714" w:type="pct"/>
            <w:tcBorders>
              <w:tl2br w:val="nil"/>
              <w:tr2bl w:val="nil"/>
            </w:tcBorders>
            <w:noWrap w:val="0"/>
            <w:vAlign w:val="center"/>
          </w:tcPr>
          <w:p w14:paraId="0D85DC9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CaF</w:t>
            </w:r>
            <w:r>
              <w:rPr>
                <w:rFonts w:hint="eastAsia"/>
                <w:b w:val="0"/>
                <w:color w:val="auto"/>
                <w:kern w:val="0"/>
                <w:highlight w:val="none"/>
                <w:vertAlign w:val="subscript"/>
              </w:rPr>
              <w:t>2</w:t>
            </w:r>
          </w:p>
        </w:tc>
        <w:tc>
          <w:tcPr>
            <w:tcW w:w="714" w:type="pct"/>
            <w:tcBorders>
              <w:tl2br w:val="nil"/>
              <w:tr2bl w:val="nil"/>
            </w:tcBorders>
            <w:noWrap w:val="0"/>
            <w:vAlign w:val="center"/>
          </w:tcPr>
          <w:p w14:paraId="52D20A7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SiO</w:t>
            </w:r>
            <w:r>
              <w:rPr>
                <w:rFonts w:hint="eastAsia"/>
                <w:b w:val="0"/>
                <w:color w:val="auto"/>
                <w:kern w:val="0"/>
                <w:highlight w:val="none"/>
                <w:vertAlign w:val="subscript"/>
              </w:rPr>
              <w:t>2</w:t>
            </w:r>
          </w:p>
        </w:tc>
        <w:tc>
          <w:tcPr>
            <w:tcW w:w="714" w:type="pct"/>
            <w:tcBorders>
              <w:tl2br w:val="nil"/>
              <w:tr2bl w:val="nil"/>
            </w:tcBorders>
            <w:noWrap w:val="0"/>
            <w:vAlign w:val="center"/>
          </w:tcPr>
          <w:p w14:paraId="01789F0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CaO</w:t>
            </w:r>
          </w:p>
        </w:tc>
        <w:tc>
          <w:tcPr>
            <w:tcW w:w="714" w:type="pct"/>
            <w:tcBorders>
              <w:tl2br w:val="nil"/>
              <w:tr2bl w:val="nil"/>
            </w:tcBorders>
            <w:noWrap w:val="0"/>
            <w:vAlign w:val="center"/>
          </w:tcPr>
          <w:p w14:paraId="64F7013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MgO</w:t>
            </w:r>
          </w:p>
        </w:tc>
        <w:tc>
          <w:tcPr>
            <w:tcW w:w="714" w:type="pct"/>
            <w:tcBorders>
              <w:tl2br w:val="nil"/>
              <w:tr2bl w:val="nil"/>
            </w:tcBorders>
            <w:noWrap w:val="0"/>
            <w:vAlign w:val="center"/>
          </w:tcPr>
          <w:p w14:paraId="2AD4B4F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Al</w:t>
            </w:r>
            <w:r>
              <w:rPr>
                <w:rFonts w:hint="eastAsia"/>
                <w:b w:val="0"/>
                <w:color w:val="auto"/>
                <w:kern w:val="0"/>
                <w:highlight w:val="none"/>
                <w:vertAlign w:val="subscript"/>
              </w:rPr>
              <w:t>2</w:t>
            </w:r>
            <w:r>
              <w:rPr>
                <w:rFonts w:hint="eastAsia"/>
                <w:b w:val="0"/>
                <w:color w:val="auto"/>
                <w:kern w:val="0"/>
                <w:highlight w:val="none"/>
              </w:rPr>
              <w:t>O</w:t>
            </w:r>
            <w:r>
              <w:rPr>
                <w:rFonts w:hint="eastAsia"/>
                <w:b w:val="0"/>
                <w:color w:val="auto"/>
                <w:kern w:val="0"/>
                <w:highlight w:val="none"/>
                <w:vertAlign w:val="subscript"/>
              </w:rPr>
              <w:t>3</w:t>
            </w:r>
          </w:p>
        </w:tc>
        <w:tc>
          <w:tcPr>
            <w:tcW w:w="714" w:type="pct"/>
            <w:tcBorders>
              <w:tl2br w:val="nil"/>
              <w:tr2bl w:val="nil"/>
            </w:tcBorders>
            <w:noWrap w:val="0"/>
            <w:vAlign w:val="center"/>
          </w:tcPr>
          <w:p w14:paraId="10C1F02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Fe</w:t>
            </w:r>
            <w:r>
              <w:rPr>
                <w:rFonts w:hint="eastAsia"/>
                <w:b w:val="0"/>
                <w:color w:val="auto"/>
                <w:kern w:val="0"/>
                <w:highlight w:val="none"/>
                <w:vertAlign w:val="subscript"/>
              </w:rPr>
              <w:t>2</w:t>
            </w:r>
            <w:r>
              <w:rPr>
                <w:rFonts w:hint="eastAsia"/>
                <w:b w:val="0"/>
                <w:color w:val="auto"/>
                <w:kern w:val="0"/>
                <w:highlight w:val="none"/>
              </w:rPr>
              <w:t>O</w:t>
            </w:r>
            <w:r>
              <w:rPr>
                <w:rFonts w:hint="eastAsia"/>
                <w:b w:val="0"/>
                <w:color w:val="auto"/>
                <w:kern w:val="0"/>
                <w:highlight w:val="none"/>
                <w:vertAlign w:val="subscript"/>
              </w:rPr>
              <w:t>3</w:t>
            </w:r>
          </w:p>
        </w:tc>
      </w:tr>
      <w:tr w14:paraId="240C8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tcBorders>
              <w:tl2br w:val="nil"/>
              <w:tr2bl w:val="nil"/>
            </w:tcBorders>
            <w:noWrap w:val="0"/>
            <w:vAlign w:val="center"/>
          </w:tcPr>
          <w:p w14:paraId="29E1DFE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含量（%）</w:t>
            </w:r>
          </w:p>
        </w:tc>
        <w:tc>
          <w:tcPr>
            <w:tcW w:w="714" w:type="pct"/>
            <w:tcBorders>
              <w:tl2br w:val="nil"/>
              <w:tr2bl w:val="nil"/>
            </w:tcBorders>
            <w:noWrap w:val="0"/>
            <w:vAlign w:val="center"/>
          </w:tcPr>
          <w:p w14:paraId="159FDC58">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45</w:t>
            </w:r>
          </w:p>
        </w:tc>
        <w:tc>
          <w:tcPr>
            <w:tcW w:w="714" w:type="pct"/>
            <w:tcBorders>
              <w:tl2br w:val="nil"/>
              <w:tr2bl w:val="nil"/>
            </w:tcBorders>
            <w:noWrap w:val="0"/>
            <w:vAlign w:val="center"/>
          </w:tcPr>
          <w:p w14:paraId="2666BAE4">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44.12</w:t>
            </w:r>
          </w:p>
        </w:tc>
        <w:tc>
          <w:tcPr>
            <w:tcW w:w="714" w:type="pct"/>
            <w:tcBorders>
              <w:tl2br w:val="nil"/>
              <w:tr2bl w:val="nil"/>
            </w:tcBorders>
            <w:noWrap w:val="0"/>
            <w:vAlign w:val="center"/>
          </w:tcPr>
          <w:p w14:paraId="0F5425F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3</w:t>
            </w:r>
            <w:r>
              <w:rPr>
                <w:rFonts w:hint="eastAsia"/>
                <w:b w:val="0"/>
                <w:color w:val="auto"/>
                <w:kern w:val="0"/>
                <w:highlight w:val="none"/>
              </w:rPr>
              <w:t>.03</w:t>
            </w:r>
          </w:p>
        </w:tc>
        <w:tc>
          <w:tcPr>
            <w:tcW w:w="714" w:type="pct"/>
            <w:tcBorders>
              <w:tl2br w:val="nil"/>
              <w:tr2bl w:val="nil"/>
            </w:tcBorders>
            <w:noWrap w:val="0"/>
            <w:vAlign w:val="center"/>
          </w:tcPr>
          <w:p w14:paraId="69DB3FD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0.</w:t>
            </w:r>
            <w:r>
              <w:rPr>
                <w:rFonts w:hint="eastAsia"/>
                <w:b w:val="0"/>
                <w:color w:val="auto"/>
                <w:kern w:val="0"/>
                <w:highlight w:val="none"/>
                <w:lang w:val="en-US" w:eastAsia="zh-CN"/>
              </w:rPr>
              <w:t>3</w:t>
            </w:r>
            <w:r>
              <w:rPr>
                <w:rFonts w:hint="eastAsia"/>
                <w:b w:val="0"/>
                <w:color w:val="auto"/>
                <w:kern w:val="0"/>
                <w:highlight w:val="none"/>
              </w:rPr>
              <w:t>7</w:t>
            </w:r>
          </w:p>
        </w:tc>
        <w:tc>
          <w:tcPr>
            <w:tcW w:w="714" w:type="pct"/>
            <w:tcBorders>
              <w:tl2br w:val="nil"/>
              <w:tr2bl w:val="nil"/>
            </w:tcBorders>
            <w:noWrap w:val="0"/>
            <w:vAlign w:val="center"/>
          </w:tcPr>
          <w:p w14:paraId="25C01687">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3.54</w:t>
            </w:r>
          </w:p>
        </w:tc>
        <w:tc>
          <w:tcPr>
            <w:tcW w:w="714" w:type="pct"/>
            <w:tcBorders>
              <w:tl2br w:val="nil"/>
              <w:tr2bl w:val="nil"/>
            </w:tcBorders>
            <w:noWrap w:val="0"/>
            <w:vAlign w:val="center"/>
          </w:tcPr>
          <w:p w14:paraId="15CCE9E0">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3.94</w:t>
            </w:r>
          </w:p>
        </w:tc>
      </w:tr>
    </w:tbl>
    <w:p w14:paraId="5BF6577D">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（2）矿石结构和构造</w:t>
      </w:r>
    </w:p>
    <w:p w14:paraId="0C7A3C68">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fldChar w:fldCharType="begin"/>
      </w:r>
      <w:r>
        <w:rPr>
          <w:rFonts w:hint="eastAsia"/>
          <w:color w:val="auto"/>
          <w:sz w:val="24"/>
          <w:szCs w:val="24"/>
          <w:highlight w:val="none"/>
          <w:lang w:val="en-US" w:eastAsia="zh-CN"/>
        </w:rPr>
        <w:instrText xml:space="preserve"> = 1 \* GB3 </w:instrText>
      </w:r>
      <w:r>
        <w:rPr>
          <w:rFonts w:hint="eastAsia"/>
          <w:color w:val="auto"/>
          <w:sz w:val="24"/>
          <w:szCs w:val="24"/>
          <w:highlight w:val="none"/>
          <w:lang w:val="en-US" w:eastAsia="zh-CN"/>
        </w:rPr>
        <w:fldChar w:fldCharType="separate"/>
      </w:r>
      <w:r>
        <w:rPr>
          <w:rFonts w:hint="eastAsia"/>
          <w:color w:val="auto"/>
          <w:sz w:val="24"/>
          <w:szCs w:val="24"/>
          <w:highlight w:val="none"/>
          <w:lang w:val="en-US" w:eastAsia="zh-CN"/>
        </w:rPr>
        <w:t>①</w:t>
      </w:r>
      <w:r>
        <w:rPr>
          <w:rFonts w:hint="eastAsia"/>
          <w:color w:val="auto"/>
          <w:sz w:val="24"/>
          <w:szCs w:val="24"/>
          <w:highlight w:val="none"/>
          <w:lang w:val="en-US" w:eastAsia="zh-CN"/>
        </w:rPr>
        <w:fldChar w:fldCharType="end"/>
      </w:r>
      <w:r>
        <w:rPr>
          <w:rFonts w:hint="eastAsia"/>
          <w:color w:val="auto"/>
          <w:sz w:val="24"/>
          <w:szCs w:val="24"/>
          <w:highlight w:val="none"/>
          <w:lang w:val="en-US" w:eastAsia="zh-CN"/>
        </w:rPr>
        <w:t>结构：</w:t>
      </w:r>
    </w:p>
    <w:p w14:paraId="3ACD85F7">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矿石的结构主要为半自形-他形粒状集合体结构。半自形-自形粒状集合体结构：矿物之间彼此紧密镶嵌，粒径0.01～350mm，一般3～4mm。</w:t>
      </w:r>
    </w:p>
    <w:p w14:paraId="3E79467B">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fldChar w:fldCharType="begin"/>
      </w:r>
      <w:r>
        <w:rPr>
          <w:rFonts w:hint="eastAsia"/>
          <w:color w:val="auto"/>
          <w:sz w:val="24"/>
          <w:szCs w:val="24"/>
          <w:highlight w:val="none"/>
          <w:lang w:val="en-US" w:eastAsia="zh-CN"/>
        </w:rPr>
        <w:instrText xml:space="preserve"> = 2 \* GB3 </w:instrText>
      </w:r>
      <w:r>
        <w:rPr>
          <w:rFonts w:hint="eastAsia"/>
          <w:color w:val="auto"/>
          <w:sz w:val="24"/>
          <w:szCs w:val="24"/>
          <w:highlight w:val="none"/>
          <w:lang w:val="en-US" w:eastAsia="zh-CN"/>
        </w:rPr>
        <w:fldChar w:fldCharType="separate"/>
      </w:r>
      <w:r>
        <w:rPr>
          <w:rFonts w:hint="eastAsia"/>
          <w:color w:val="auto"/>
          <w:sz w:val="24"/>
          <w:szCs w:val="24"/>
          <w:highlight w:val="none"/>
          <w:lang w:val="en-US" w:eastAsia="zh-CN"/>
        </w:rPr>
        <w:t>②</w:t>
      </w:r>
      <w:r>
        <w:rPr>
          <w:rFonts w:hint="eastAsia"/>
          <w:color w:val="auto"/>
          <w:sz w:val="24"/>
          <w:szCs w:val="24"/>
          <w:highlight w:val="none"/>
          <w:lang w:val="en-US" w:eastAsia="zh-CN"/>
        </w:rPr>
        <w:fldChar w:fldCharType="end"/>
      </w:r>
      <w:r>
        <w:rPr>
          <w:rFonts w:hint="eastAsia"/>
          <w:color w:val="auto"/>
          <w:sz w:val="24"/>
          <w:szCs w:val="24"/>
          <w:highlight w:val="none"/>
          <w:lang w:val="en-US" w:eastAsia="zh-CN"/>
        </w:rPr>
        <w:t>构造：</w:t>
      </w:r>
    </w:p>
    <w:p w14:paraId="40665F6F">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矿石构造主要以角砾状、块状为主，次为条带状构造为主。</w:t>
      </w:r>
    </w:p>
    <w:p w14:paraId="6A7AD5FF">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角砾状构造，为断裂构造控矿的萤石矿常见控矿，含正负角砾状构造两种，主要发育在靠近矿体中心部位，颜色为灰-蓝色，矿石质量较佳。</w:t>
      </w:r>
    </w:p>
    <w:p w14:paraId="33E85939">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块状构造：由萤石在构造断裂带充填富集而成。由质量较纯的萤石组成，晶粒粗大，彼此紧密镶嵌。色调单一，其矿石质量较佳。</w:t>
      </w:r>
    </w:p>
    <w:p w14:paraId="7ACC4C61">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（3）矿石类型</w:t>
      </w:r>
    </w:p>
    <w:p w14:paraId="029E65A9">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按矿石的主要矿物组合划分：根据矿石岩矿鉴定结果，矿石以萤石为主，含有少量的石英及碳酸盐矿物等脉石矿物，该矿石类型定为石英-萤石型矿石；按矿石的构造特征划分，矿石构造以角砾状、块状构造为主；按成因类型划分属于热液充填型，品位30% ~ 47%，石英含量较少，易磨易选。</w:t>
      </w:r>
    </w:p>
    <w:p w14:paraId="5F5DC371">
      <w:pPr>
        <w:pStyle w:val="5"/>
        <w:rPr>
          <w:rFonts w:hint="eastAsia"/>
          <w:color w:val="auto"/>
          <w:highlight w:val="none"/>
          <w:lang w:val="en-US" w:eastAsia="zh-CN"/>
        </w:rPr>
      </w:pPr>
      <w:r>
        <w:rPr>
          <w:rFonts w:hint="eastAsia"/>
          <w:color w:val="auto"/>
          <w:highlight w:val="none"/>
          <w:lang w:val="en-US" w:eastAsia="zh-CN"/>
        </w:rPr>
        <w:t>原辅材料及能源消耗</w:t>
      </w:r>
    </w:p>
    <w:p w14:paraId="720F5A1A">
      <w:pPr>
        <w:adjustRightInd w:val="0"/>
        <w:snapToGrid w:val="0"/>
        <w:spacing w:line="480" w:lineRule="exact"/>
        <w:ind w:firstLine="480" w:firstLineChars="200"/>
        <w:rPr>
          <w:color w:val="auto"/>
          <w:sz w:val="24"/>
          <w:szCs w:val="24"/>
          <w:highlight w:val="none"/>
        </w:rPr>
      </w:pPr>
      <w:r>
        <w:rPr>
          <w:color w:val="auto"/>
          <w:sz w:val="24"/>
          <w:szCs w:val="24"/>
          <w:highlight w:val="none"/>
        </w:rPr>
        <w:t>根据建设单位提供资料，</w:t>
      </w:r>
      <w:r>
        <w:rPr>
          <w:rFonts w:hint="eastAsia"/>
          <w:color w:val="auto"/>
          <w:sz w:val="24"/>
          <w:szCs w:val="24"/>
          <w:highlight w:val="none"/>
          <w:lang w:val="en-US" w:eastAsia="zh-CN"/>
        </w:rPr>
        <w:t>本项目</w:t>
      </w:r>
      <w:r>
        <w:rPr>
          <w:color w:val="auto"/>
          <w:sz w:val="24"/>
          <w:szCs w:val="24"/>
          <w:highlight w:val="none"/>
        </w:rPr>
        <w:t>的原辅材料消耗见表</w:t>
      </w:r>
      <w:r>
        <w:rPr>
          <w:rFonts w:hint="eastAsia"/>
          <w:color w:val="auto"/>
          <w:sz w:val="24"/>
          <w:szCs w:val="24"/>
          <w:highlight w:val="none"/>
          <w:lang w:val="en-US" w:eastAsia="zh-CN"/>
        </w:rPr>
        <w:t>3.4-2</w:t>
      </w:r>
      <w:r>
        <w:rPr>
          <w:color w:val="auto"/>
          <w:sz w:val="24"/>
          <w:szCs w:val="24"/>
          <w:highlight w:val="none"/>
        </w:rPr>
        <w:t>。</w:t>
      </w:r>
    </w:p>
    <w:p w14:paraId="7DB78536">
      <w:pPr>
        <w:pStyle w:val="199"/>
        <w:spacing w:before="120"/>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3.4-2</w:t>
      </w:r>
      <w:r>
        <w:rPr>
          <w:rFonts w:hint="eastAsia"/>
          <w:color w:val="auto"/>
          <w:sz w:val="24"/>
          <w:highlight w:val="none"/>
        </w:rPr>
        <w:t xml:space="preserve">    项目主要原辅材料及能源消耗一览表</w:t>
      </w:r>
    </w:p>
    <w:tbl>
      <w:tblPr>
        <w:tblStyle w:val="4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595"/>
        <w:gridCol w:w="1679"/>
        <w:gridCol w:w="1679"/>
        <w:gridCol w:w="1832"/>
      </w:tblGrid>
      <w:tr w14:paraId="092CA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14:paraId="79DBF43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序号</w:t>
            </w:r>
          </w:p>
        </w:tc>
        <w:tc>
          <w:tcPr>
            <w:tcW w:w="1524" w:type="pct"/>
            <w:tcBorders>
              <w:tl2br w:val="nil"/>
              <w:tr2bl w:val="nil"/>
            </w:tcBorders>
            <w:noWrap w:val="0"/>
            <w:vAlign w:val="center"/>
          </w:tcPr>
          <w:p w14:paraId="6759D8C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名称</w:t>
            </w:r>
          </w:p>
        </w:tc>
        <w:tc>
          <w:tcPr>
            <w:tcW w:w="986" w:type="pct"/>
            <w:tcBorders>
              <w:tl2br w:val="nil"/>
              <w:tr2bl w:val="nil"/>
            </w:tcBorders>
            <w:noWrap w:val="0"/>
            <w:vAlign w:val="center"/>
          </w:tcPr>
          <w:p w14:paraId="3ACD70E2">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主要成分</w:t>
            </w:r>
          </w:p>
        </w:tc>
        <w:tc>
          <w:tcPr>
            <w:tcW w:w="986" w:type="pct"/>
            <w:tcBorders>
              <w:tl2br w:val="nil"/>
              <w:tr2bl w:val="nil"/>
            </w:tcBorders>
            <w:noWrap w:val="0"/>
            <w:vAlign w:val="center"/>
          </w:tcPr>
          <w:p w14:paraId="39952032">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rPr>
              <w:t>年</w:t>
            </w:r>
            <w:r>
              <w:rPr>
                <w:rFonts w:hint="eastAsia"/>
                <w:b w:val="0"/>
                <w:color w:val="auto"/>
                <w:kern w:val="0"/>
                <w:highlight w:val="none"/>
                <w:lang w:val="en-US" w:eastAsia="zh-CN"/>
              </w:rPr>
              <w:t>消耗</w:t>
            </w:r>
            <w:r>
              <w:rPr>
                <w:rFonts w:hint="eastAsia"/>
                <w:b w:val="0"/>
                <w:color w:val="auto"/>
                <w:kern w:val="0"/>
                <w:highlight w:val="none"/>
              </w:rPr>
              <w:t>用量</w:t>
            </w:r>
            <w:r>
              <w:rPr>
                <w:rFonts w:hint="eastAsia"/>
                <w:b w:val="0"/>
                <w:color w:val="auto"/>
                <w:kern w:val="0"/>
                <w:highlight w:val="none"/>
                <w:lang w:eastAsia="zh-CN"/>
              </w:rPr>
              <w:t>（</w:t>
            </w:r>
            <w:r>
              <w:rPr>
                <w:rFonts w:hint="eastAsia"/>
                <w:b w:val="0"/>
                <w:color w:val="auto"/>
                <w:kern w:val="0"/>
                <w:highlight w:val="none"/>
                <w:lang w:val="en-US" w:eastAsia="zh-CN"/>
              </w:rPr>
              <w:t>t/a</w:t>
            </w:r>
            <w:r>
              <w:rPr>
                <w:rFonts w:hint="eastAsia"/>
                <w:b w:val="0"/>
                <w:color w:val="auto"/>
                <w:kern w:val="0"/>
                <w:highlight w:val="none"/>
                <w:lang w:eastAsia="zh-CN"/>
              </w:rPr>
              <w:t>）</w:t>
            </w:r>
          </w:p>
        </w:tc>
        <w:tc>
          <w:tcPr>
            <w:tcW w:w="1076" w:type="pct"/>
            <w:tcBorders>
              <w:tl2br w:val="nil"/>
              <w:tr2bl w:val="nil"/>
            </w:tcBorders>
            <w:noWrap w:val="0"/>
            <w:vAlign w:val="center"/>
          </w:tcPr>
          <w:p w14:paraId="525A783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储存位置</w:t>
            </w:r>
          </w:p>
        </w:tc>
      </w:tr>
      <w:tr w14:paraId="48E37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14:paraId="3226203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1524" w:type="pct"/>
            <w:tcBorders>
              <w:tl2br w:val="nil"/>
              <w:tr2bl w:val="nil"/>
            </w:tcBorders>
            <w:noWrap w:val="0"/>
            <w:vAlign w:val="center"/>
          </w:tcPr>
          <w:p w14:paraId="203F814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原矿</w:t>
            </w:r>
          </w:p>
        </w:tc>
        <w:tc>
          <w:tcPr>
            <w:tcW w:w="986" w:type="pct"/>
            <w:tcBorders>
              <w:tl2br w:val="nil"/>
              <w:tr2bl w:val="nil"/>
            </w:tcBorders>
            <w:noWrap w:val="0"/>
            <w:vAlign w:val="center"/>
          </w:tcPr>
          <w:p w14:paraId="4C9C9AC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CaF</w:t>
            </w:r>
            <w:r>
              <w:rPr>
                <w:rFonts w:hint="eastAsia"/>
                <w:b w:val="0"/>
                <w:color w:val="auto"/>
                <w:kern w:val="0"/>
                <w:highlight w:val="none"/>
                <w:vertAlign w:val="subscript"/>
              </w:rPr>
              <w:t>2</w:t>
            </w:r>
          </w:p>
        </w:tc>
        <w:tc>
          <w:tcPr>
            <w:tcW w:w="986" w:type="pct"/>
            <w:tcBorders>
              <w:tl2br w:val="nil"/>
              <w:tr2bl w:val="nil"/>
            </w:tcBorders>
            <w:noWrap w:val="0"/>
            <w:vAlign w:val="center"/>
          </w:tcPr>
          <w:p w14:paraId="2358B22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30</w:t>
            </w:r>
            <w:r>
              <w:rPr>
                <w:rFonts w:hint="eastAsia"/>
                <w:b w:val="0"/>
                <w:color w:val="auto"/>
                <w:kern w:val="0"/>
                <w:highlight w:val="none"/>
                <w:lang w:val="en-US" w:eastAsia="zh-CN"/>
              </w:rPr>
              <w:t>.0</w:t>
            </w:r>
            <w:r>
              <w:rPr>
                <w:rFonts w:hint="eastAsia"/>
                <w:b w:val="0"/>
                <w:color w:val="auto"/>
                <w:kern w:val="0"/>
                <w:highlight w:val="none"/>
              </w:rPr>
              <w:t>×</w:t>
            </w:r>
            <w:r>
              <w:rPr>
                <w:rFonts w:hint="eastAsia"/>
                <w:b w:val="0"/>
                <w:color w:val="auto"/>
                <w:kern w:val="0"/>
                <w:highlight w:val="none"/>
                <w:lang w:val="en-US" w:eastAsia="zh-CN"/>
              </w:rPr>
              <w:t>1</w:t>
            </w:r>
            <w:r>
              <w:rPr>
                <w:rFonts w:hint="eastAsia"/>
                <w:b w:val="0"/>
                <w:color w:val="auto"/>
                <w:kern w:val="0"/>
                <w:highlight w:val="none"/>
              </w:rPr>
              <w:t>0</w:t>
            </w:r>
            <w:r>
              <w:rPr>
                <w:rFonts w:hint="eastAsia"/>
                <w:b w:val="0"/>
                <w:color w:val="auto"/>
                <w:kern w:val="0"/>
                <w:highlight w:val="none"/>
                <w:vertAlign w:val="superscript"/>
              </w:rPr>
              <w:t>4</w:t>
            </w:r>
          </w:p>
        </w:tc>
        <w:tc>
          <w:tcPr>
            <w:tcW w:w="1076" w:type="pct"/>
            <w:tcBorders>
              <w:tl2br w:val="nil"/>
              <w:tr2bl w:val="nil"/>
            </w:tcBorders>
            <w:noWrap w:val="0"/>
            <w:vAlign w:val="center"/>
          </w:tcPr>
          <w:p w14:paraId="55A02F89">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rPr>
              <w:t>原料</w:t>
            </w:r>
            <w:r>
              <w:rPr>
                <w:rFonts w:hint="eastAsia"/>
                <w:b w:val="0"/>
                <w:color w:val="auto"/>
                <w:kern w:val="0"/>
                <w:highlight w:val="none"/>
                <w:lang w:val="en-US" w:eastAsia="zh-CN"/>
              </w:rPr>
              <w:t>贮存库</w:t>
            </w:r>
          </w:p>
        </w:tc>
      </w:tr>
      <w:tr w14:paraId="16450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14:paraId="19EEBD3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w:t>
            </w:r>
          </w:p>
        </w:tc>
        <w:tc>
          <w:tcPr>
            <w:tcW w:w="1524" w:type="pct"/>
            <w:tcBorders>
              <w:tl2br w:val="nil"/>
              <w:tr2bl w:val="nil"/>
            </w:tcBorders>
            <w:noWrap w:val="0"/>
            <w:vAlign w:val="center"/>
          </w:tcPr>
          <w:p w14:paraId="49C28660">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lang w:val="en-US" w:eastAsia="zh-CN"/>
              </w:rPr>
              <w:t>捕收剂</w:t>
            </w:r>
          </w:p>
        </w:tc>
        <w:tc>
          <w:tcPr>
            <w:tcW w:w="986" w:type="pct"/>
            <w:tcBorders>
              <w:tl2br w:val="nil"/>
              <w:tr2bl w:val="nil"/>
            </w:tcBorders>
            <w:noWrap w:val="0"/>
            <w:vAlign w:val="center"/>
          </w:tcPr>
          <w:p w14:paraId="7DC43BCA">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油酸</w:t>
            </w:r>
          </w:p>
        </w:tc>
        <w:tc>
          <w:tcPr>
            <w:tcW w:w="986" w:type="pct"/>
            <w:tcBorders>
              <w:tl2br w:val="nil"/>
              <w:tr2bl w:val="nil"/>
            </w:tcBorders>
            <w:noWrap w:val="0"/>
            <w:vAlign w:val="center"/>
          </w:tcPr>
          <w:p w14:paraId="53F5E4E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 xml:space="preserve">5.0 </w:t>
            </w:r>
            <w:r>
              <w:rPr>
                <w:rFonts w:hint="eastAsia"/>
                <w:b w:val="0"/>
                <w:color w:val="auto"/>
                <w:kern w:val="0"/>
                <w:highlight w:val="none"/>
              </w:rPr>
              <w:t>t</w:t>
            </w:r>
          </w:p>
        </w:tc>
        <w:tc>
          <w:tcPr>
            <w:tcW w:w="1076" w:type="pct"/>
            <w:vMerge w:val="restart"/>
            <w:tcBorders>
              <w:tl2br w:val="nil"/>
              <w:tr2bl w:val="nil"/>
            </w:tcBorders>
            <w:noWrap w:val="0"/>
            <w:vAlign w:val="center"/>
          </w:tcPr>
          <w:p w14:paraId="2BC2FCE0">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浮选车间</w:t>
            </w:r>
          </w:p>
        </w:tc>
      </w:tr>
      <w:tr w14:paraId="4B36F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14:paraId="7B254FC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3</w:t>
            </w:r>
          </w:p>
        </w:tc>
        <w:tc>
          <w:tcPr>
            <w:tcW w:w="1524" w:type="pct"/>
            <w:tcBorders>
              <w:tl2br w:val="nil"/>
              <w:tr2bl w:val="nil"/>
            </w:tcBorders>
            <w:noWrap w:val="0"/>
            <w:vAlign w:val="center"/>
          </w:tcPr>
          <w:p w14:paraId="6AC6B98A">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lang w:val="en-US" w:eastAsia="zh-CN"/>
              </w:rPr>
              <w:t>调整剂</w:t>
            </w:r>
          </w:p>
        </w:tc>
        <w:tc>
          <w:tcPr>
            <w:tcW w:w="986" w:type="pct"/>
            <w:tcBorders>
              <w:tl2br w:val="nil"/>
              <w:tr2bl w:val="nil"/>
            </w:tcBorders>
            <w:noWrap w:val="0"/>
            <w:vAlign w:val="center"/>
          </w:tcPr>
          <w:p w14:paraId="2A066B97">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碳酸钠</w:t>
            </w:r>
          </w:p>
        </w:tc>
        <w:tc>
          <w:tcPr>
            <w:tcW w:w="986" w:type="pct"/>
            <w:tcBorders>
              <w:tl2br w:val="nil"/>
              <w:tr2bl w:val="nil"/>
            </w:tcBorders>
            <w:noWrap w:val="0"/>
            <w:vAlign w:val="center"/>
          </w:tcPr>
          <w:p w14:paraId="048F8EA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 xml:space="preserve">7.0 </w:t>
            </w:r>
            <w:r>
              <w:rPr>
                <w:rFonts w:hint="eastAsia"/>
                <w:b w:val="0"/>
                <w:color w:val="auto"/>
                <w:kern w:val="0"/>
                <w:highlight w:val="none"/>
              </w:rPr>
              <w:t>t</w:t>
            </w:r>
          </w:p>
        </w:tc>
        <w:tc>
          <w:tcPr>
            <w:tcW w:w="1076" w:type="pct"/>
            <w:vMerge w:val="continue"/>
            <w:tcBorders>
              <w:tl2br w:val="nil"/>
              <w:tr2bl w:val="nil"/>
            </w:tcBorders>
            <w:noWrap w:val="0"/>
            <w:vAlign w:val="center"/>
          </w:tcPr>
          <w:p w14:paraId="56ACDAA4">
            <w:pPr>
              <w:pStyle w:val="199"/>
              <w:autoSpaceDE w:val="0"/>
              <w:autoSpaceDN w:val="0"/>
              <w:spacing w:beforeLines="0" w:line="240" w:lineRule="auto"/>
              <w:jc w:val="center"/>
              <w:rPr>
                <w:rFonts w:hint="eastAsia"/>
                <w:b w:val="0"/>
                <w:color w:val="auto"/>
                <w:kern w:val="0"/>
                <w:highlight w:val="none"/>
              </w:rPr>
            </w:pPr>
          </w:p>
        </w:tc>
      </w:tr>
      <w:tr w14:paraId="07C34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14:paraId="2F4D4D0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4</w:t>
            </w:r>
          </w:p>
        </w:tc>
        <w:tc>
          <w:tcPr>
            <w:tcW w:w="1524" w:type="pct"/>
            <w:tcBorders>
              <w:tl2br w:val="nil"/>
              <w:tr2bl w:val="nil"/>
            </w:tcBorders>
            <w:noWrap w:val="0"/>
            <w:vAlign w:val="center"/>
          </w:tcPr>
          <w:p w14:paraId="6601512F">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lang w:val="en-US" w:eastAsia="zh-CN"/>
              </w:rPr>
              <w:t>抑制剂</w:t>
            </w:r>
          </w:p>
        </w:tc>
        <w:tc>
          <w:tcPr>
            <w:tcW w:w="986" w:type="pct"/>
            <w:tcBorders>
              <w:tl2br w:val="nil"/>
              <w:tr2bl w:val="nil"/>
            </w:tcBorders>
            <w:noWrap w:val="0"/>
            <w:vAlign w:val="center"/>
          </w:tcPr>
          <w:p w14:paraId="77403022">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水玻璃</w:t>
            </w:r>
          </w:p>
        </w:tc>
        <w:tc>
          <w:tcPr>
            <w:tcW w:w="986" w:type="pct"/>
            <w:tcBorders>
              <w:tl2br w:val="nil"/>
              <w:tr2bl w:val="nil"/>
            </w:tcBorders>
            <w:noWrap w:val="0"/>
            <w:vAlign w:val="center"/>
          </w:tcPr>
          <w:p w14:paraId="06DF634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 xml:space="preserve">5.0 </w:t>
            </w:r>
            <w:r>
              <w:rPr>
                <w:rFonts w:hint="eastAsia"/>
                <w:b w:val="0"/>
                <w:color w:val="auto"/>
                <w:kern w:val="0"/>
                <w:highlight w:val="none"/>
              </w:rPr>
              <w:t>t</w:t>
            </w:r>
          </w:p>
        </w:tc>
        <w:tc>
          <w:tcPr>
            <w:tcW w:w="1076" w:type="pct"/>
            <w:vMerge w:val="continue"/>
            <w:tcBorders>
              <w:tl2br w:val="nil"/>
              <w:tr2bl w:val="nil"/>
            </w:tcBorders>
            <w:noWrap w:val="0"/>
            <w:vAlign w:val="center"/>
          </w:tcPr>
          <w:p w14:paraId="6CF8AB7F">
            <w:pPr>
              <w:pStyle w:val="199"/>
              <w:autoSpaceDE w:val="0"/>
              <w:autoSpaceDN w:val="0"/>
              <w:spacing w:beforeLines="0" w:line="240" w:lineRule="auto"/>
              <w:jc w:val="center"/>
              <w:rPr>
                <w:rFonts w:hint="eastAsia"/>
                <w:b w:val="0"/>
                <w:color w:val="auto"/>
                <w:kern w:val="0"/>
                <w:highlight w:val="none"/>
              </w:rPr>
            </w:pPr>
          </w:p>
        </w:tc>
      </w:tr>
      <w:tr w14:paraId="729EB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tcBorders>
              <w:tl2br w:val="nil"/>
              <w:tr2bl w:val="nil"/>
            </w:tcBorders>
            <w:noWrap w:val="0"/>
            <w:vAlign w:val="center"/>
          </w:tcPr>
          <w:p w14:paraId="0FE8CAF9">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lang w:val="en-US" w:eastAsia="zh-CN"/>
              </w:rPr>
              <w:t>5</w:t>
            </w:r>
          </w:p>
        </w:tc>
        <w:tc>
          <w:tcPr>
            <w:tcW w:w="1524" w:type="pct"/>
            <w:tcBorders>
              <w:tl2br w:val="nil"/>
              <w:tr2bl w:val="nil"/>
            </w:tcBorders>
            <w:noWrap w:val="0"/>
            <w:vAlign w:val="center"/>
          </w:tcPr>
          <w:p w14:paraId="7301CC4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电</w:t>
            </w:r>
          </w:p>
        </w:tc>
        <w:tc>
          <w:tcPr>
            <w:tcW w:w="986" w:type="pct"/>
            <w:tcBorders>
              <w:tl2br w:val="nil"/>
              <w:tr2bl w:val="nil"/>
            </w:tcBorders>
            <w:noWrap w:val="0"/>
            <w:vAlign w:val="center"/>
          </w:tcPr>
          <w:p w14:paraId="77393E24">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lang w:val="en-US" w:eastAsia="zh-CN"/>
              </w:rPr>
              <w:t>/</w:t>
            </w:r>
          </w:p>
        </w:tc>
        <w:tc>
          <w:tcPr>
            <w:tcW w:w="986" w:type="pct"/>
            <w:tcBorders>
              <w:tl2br w:val="nil"/>
              <w:tr2bl w:val="nil"/>
            </w:tcBorders>
            <w:noWrap w:val="0"/>
            <w:vAlign w:val="center"/>
          </w:tcPr>
          <w:p w14:paraId="4E3BF32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769</w:t>
            </w:r>
            <w:r>
              <w:rPr>
                <w:rFonts w:hint="eastAsia"/>
                <w:b w:val="0"/>
                <w:color w:val="auto"/>
                <w:kern w:val="0"/>
                <w:highlight w:val="none"/>
              </w:rPr>
              <w:t>×</w:t>
            </w:r>
            <w:r>
              <w:rPr>
                <w:rFonts w:hint="eastAsia"/>
                <w:b w:val="0"/>
                <w:color w:val="auto"/>
                <w:kern w:val="0"/>
                <w:highlight w:val="none"/>
                <w:lang w:val="en-US" w:eastAsia="zh-CN"/>
              </w:rPr>
              <w:t>1</w:t>
            </w:r>
            <w:r>
              <w:rPr>
                <w:rFonts w:hint="eastAsia"/>
                <w:b w:val="0"/>
                <w:color w:val="auto"/>
                <w:kern w:val="0"/>
                <w:highlight w:val="none"/>
              </w:rPr>
              <w:t>0</w:t>
            </w:r>
            <w:r>
              <w:rPr>
                <w:rFonts w:hint="eastAsia"/>
                <w:b w:val="0"/>
                <w:color w:val="auto"/>
                <w:kern w:val="0"/>
                <w:highlight w:val="none"/>
                <w:vertAlign w:val="superscript"/>
              </w:rPr>
              <w:t>4</w:t>
            </w:r>
            <w:r>
              <w:rPr>
                <w:rFonts w:hint="eastAsia"/>
                <w:b w:val="0"/>
                <w:color w:val="auto"/>
                <w:kern w:val="0"/>
                <w:highlight w:val="none"/>
              </w:rPr>
              <w:t>kwh</w:t>
            </w:r>
          </w:p>
        </w:tc>
        <w:tc>
          <w:tcPr>
            <w:tcW w:w="1076" w:type="pct"/>
            <w:tcBorders>
              <w:tl2br w:val="nil"/>
              <w:tr2bl w:val="nil"/>
            </w:tcBorders>
            <w:noWrap w:val="0"/>
            <w:vAlign w:val="center"/>
          </w:tcPr>
          <w:p w14:paraId="41878B7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lang w:val="en-US" w:eastAsia="zh-CN"/>
              </w:rPr>
              <w:t>多伦县变电站蒙东水泥专线</w:t>
            </w:r>
          </w:p>
        </w:tc>
      </w:tr>
    </w:tbl>
    <w:p w14:paraId="3231CBB6">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①捕收剂-油酸</w:t>
      </w:r>
    </w:p>
    <w:p w14:paraId="40628970">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油酸(Oleicacid)是一种单不饱和Omega-9脂肪酸，存在于动植物体内。纯油酸为无色油状液体，有动物油或植物油气味，久置空气中颜色逐渐变深，工业品为黄色到红色油状液体，有猪油气味。油酸的钠盐或钾盐是肥皂的成分之一。纯的油酸钠具有良好的去污能力。油酸用于项目浮选工序作为起泡剂和捕收剂。</w:t>
      </w:r>
    </w:p>
    <w:p w14:paraId="2656183D">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②调整剂-碳酸钠（Na</w:t>
      </w:r>
      <w:r>
        <w:rPr>
          <w:rFonts w:hint="eastAsia"/>
          <w:color w:val="auto"/>
          <w:sz w:val="24"/>
          <w:szCs w:val="24"/>
          <w:highlight w:val="none"/>
          <w:vertAlign w:val="subscript"/>
          <w:lang w:val="en-US" w:eastAsia="zh-CN"/>
        </w:rPr>
        <w:t>2</w:t>
      </w:r>
      <w:r>
        <w:rPr>
          <w:rFonts w:hint="eastAsia"/>
          <w:color w:val="auto"/>
          <w:sz w:val="24"/>
          <w:szCs w:val="24"/>
          <w:highlight w:val="none"/>
          <w:lang w:val="en-US" w:eastAsia="zh-CN"/>
        </w:rPr>
        <w:t>CO</w:t>
      </w:r>
      <w:r>
        <w:rPr>
          <w:rFonts w:hint="eastAsia"/>
          <w:color w:val="auto"/>
          <w:sz w:val="24"/>
          <w:szCs w:val="24"/>
          <w:highlight w:val="none"/>
          <w:vertAlign w:val="subscript"/>
          <w:lang w:val="en-US" w:eastAsia="zh-CN"/>
        </w:rPr>
        <w:t>3</w:t>
      </w:r>
      <w:r>
        <w:rPr>
          <w:rFonts w:hint="eastAsia"/>
          <w:color w:val="auto"/>
          <w:sz w:val="24"/>
          <w:szCs w:val="24"/>
          <w:highlight w:val="none"/>
          <w:lang w:val="en-US" w:eastAsia="zh-CN"/>
        </w:rPr>
        <w:t>）</w:t>
      </w:r>
    </w:p>
    <w:p w14:paraId="256F487C">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碳酸钠常温下为白色粉末或颗粒、无气味，是强碱弱酸盐，有吸水性。露置空气中逐渐吸收1mol/L水分（约15%），遇酸分解并泡腾；溶于水和甘油，微溶于无水乙醇；水溶液呈强碱性，pH11.6，相对密度(25℃)2.53，熔点851℃。碳酸钠是重要的化工原料之一，广泛应用于轻工日化、建材、化学工业、食品工业、冶金、纺织、石油、国防、医药等领域，用作制造其他化学品的原料、清洗剂、洗涤剂，也用于照相术和分析领域。纯碱用于项目浮选工序调节pH。</w:t>
      </w:r>
    </w:p>
    <w:p w14:paraId="5B238E49">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③抑制剂-水玻璃</w:t>
      </w:r>
    </w:p>
    <w:p w14:paraId="188017C0">
      <w:pPr>
        <w:adjustRightInd w:val="0"/>
        <w:snapToGrid w:val="0"/>
        <w:spacing w:line="480" w:lineRule="exact"/>
        <w:ind w:firstLine="482"/>
        <w:rPr>
          <w:rFonts w:hint="eastAsia"/>
          <w:color w:val="auto"/>
          <w:sz w:val="24"/>
          <w:szCs w:val="24"/>
          <w:highlight w:val="none"/>
          <w:lang w:val="en-US" w:eastAsia="zh-CN"/>
        </w:rPr>
      </w:pPr>
      <w:r>
        <w:rPr>
          <w:rFonts w:hint="eastAsia"/>
          <w:color w:val="auto"/>
          <w:sz w:val="24"/>
          <w:szCs w:val="24"/>
          <w:highlight w:val="none"/>
          <w:lang w:val="en-US" w:eastAsia="zh-CN"/>
        </w:rPr>
        <w:t>硅酸钠(Sodiumsilicate)，化学物质，化学式为Na</w:t>
      </w:r>
      <w:r>
        <w:rPr>
          <w:rFonts w:hint="eastAsia"/>
          <w:color w:val="auto"/>
          <w:sz w:val="24"/>
          <w:szCs w:val="24"/>
          <w:highlight w:val="none"/>
          <w:vertAlign w:val="subscript"/>
          <w:lang w:val="en-US" w:eastAsia="zh-CN"/>
        </w:rPr>
        <w:t>2</w:t>
      </w:r>
      <w:r>
        <w:rPr>
          <w:rFonts w:hint="eastAsia"/>
          <w:color w:val="auto"/>
          <w:sz w:val="24"/>
          <w:szCs w:val="24"/>
          <w:highlight w:val="none"/>
          <w:lang w:val="en-US" w:eastAsia="zh-CN"/>
        </w:rPr>
        <w:t>SiO</w:t>
      </w:r>
      <w:r>
        <w:rPr>
          <w:rFonts w:hint="eastAsia"/>
          <w:color w:val="auto"/>
          <w:sz w:val="24"/>
          <w:szCs w:val="24"/>
          <w:highlight w:val="none"/>
          <w:vertAlign w:val="subscript"/>
          <w:lang w:val="en-US" w:eastAsia="zh-CN"/>
        </w:rPr>
        <w:t>3</w:t>
      </w:r>
      <w:r>
        <w:rPr>
          <w:rFonts w:hint="eastAsia"/>
          <w:color w:val="auto"/>
          <w:sz w:val="24"/>
          <w:szCs w:val="24"/>
          <w:highlight w:val="none"/>
          <w:lang w:val="en-US" w:eastAsia="zh-CN"/>
        </w:rPr>
        <w:t>·9H</w:t>
      </w:r>
      <w:r>
        <w:rPr>
          <w:rFonts w:hint="eastAsia"/>
          <w:color w:val="auto"/>
          <w:sz w:val="24"/>
          <w:szCs w:val="24"/>
          <w:highlight w:val="none"/>
          <w:vertAlign w:val="subscript"/>
          <w:lang w:val="en-US" w:eastAsia="zh-CN"/>
        </w:rPr>
        <w:t>2</w:t>
      </w:r>
      <w:r>
        <w:rPr>
          <w:rFonts w:hint="eastAsia"/>
          <w:color w:val="auto"/>
          <w:sz w:val="24"/>
          <w:szCs w:val="24"/>
          <w:highlight w:val="none"/>
          <w:lang w:val="en-US" w:eastAsia="zh-CN"/>
        </w:rPr>
        <w:t>O，呈无色正交双锥结晶或白色至灰白色块状物或粉末状，是一种水溶性硅酸盐，其水溶液俗称水玻璃，是一种矿黏合剂，在100℃时失去6分子结晶水，易溶于水，溶于稀氢氧化钠溶液，不溶于乙醇和酸。硅酸钠粘结力强、强度较高，耐酸性、耐热性好，耐碱性和耐水性差，建筑上常用的水玻璃是硅酸钠的水溶液。水玻璃用于项目浮选工序作为抑制杂质二氧化硅。</w:t>
      </w:r>
    </w:p>
    <w:p w14:paraId="0650BFBA">
      <w:pPr>
        <w:pStyle w:val="4"/>
        <w:spacing w:before="120" w:after="120"/>
        <w:rPr>
          <w:color w:val="auto"/>
          <w:highlight w:val="none"/>
        </w:rPr>
      </w:pPr>
      <w:bookmarkStart w:id="83" w:name="_Toc7976"/>
      <w:bookmarkStart w:id="84" w:name="_Toc24447610"/>
      <w:bookmarkStart w:id="85" w:name="_Toc24447088"/>
      <w:bookmarkStart w:id="86" w:name="_Toc24340215"/>
      <w:r>
        <w:rPr>
          <w:rFonts w:hint="eastAsia"/>
          <w:color w:val="auto"/>
          <w:highlight w:val="none"/>
        </w:rPr>
        <w:t>主要生产设备</w:t>
      </w:r>
      <w:bookmarkEnd w:id="83"/>
      <w:bookmarkEnd w:id="84"/>
      <w:bookmarkEnd w:id="85"/>
      <w:bookmarkEnd w:id="86"/>
    </w:p>
    <w:p w14:paraId="477C921B">
      <w:pPr>
        <w:adjustRightInd w:val="0"/>
        <w:snapToGrid w:val="0"/>
        <w:spacing w:line="480" w:lineRule="exact"/>
        <w:ind w:firstLine="482"/>
        <w:rPr>
          <w:rFonts w:hint="default"/>
          <w:color w:val="auto"/>
          <w:sz w:val="24"/>
          <w:szCs w:val="24"/>
          <w:highlight w:val="none"/>
          <w:lang w:val="en-US" w:eastAsia="zh-CN"/>
        </w:rPr>
      </w:pPr>
      <w:r>
        <w:rPr>
          <w:rFonts w:hint="eastAsia"/>
          <w:color w:val="auto"/>
          <w:sz w:val="24"/>
          <w:szCs w:val="24"/>
          <w:highlight w:val="none"/>
          <w:lang w:val="en-US" w:eastAsia="zh-CN"/>
        </w:rPr>
        <w:t>本项目主要设备详见表</w:t>
      </w:r>
      <w:r>
        <w:rPr>
          <w:rFonts w:hint="default"/>
          <w:color w:val="auto"/>
          <w:sz w:val="24"/>
          <w:szCs w:val="24"/>
          <w:highlight w:val="none"/>
          <w:lang w:val="en-US" w:eastAsia="zh-CN"/>
        </w:rPr>
        <w:t>3.</w:t>
      </w:r>
      <w:r>
        <w:rPr>
          <w:rFonts w:hint="eastAsia"/>
          <w:color w:val="auto"/>
          <w:sz w:val="24"/>
          <w:szCs w:val="24"/>
          <w:highlight w:val="none"/>
          <w:lang w:val="en-US" w:eastAsia="zh-CN"/>
        </w:rPr>
        <w:t>5</w:t>
      </w:r>
      <w:r>
        <w:rPr>
          <w:rFonts w:hint="default"/>
          <w:color w:val="auto"/>
          <w:sz w:val="24"/>
          <w:szCs w:val="24"/>
          <w:highlight w:val="none"/>
          <w:lang w:val="en-US" w:eastAsia="zh-CN"/>
        </w:rPr>
        <w:t>-</w:t>
      </w:r>
      <w:r>
        <w:rPr>
          <w:rFonts w:hint="eastAsia"/>
          <w:color w:val="auto"/>
          <w:sz w:val="24"/>
          <w:szCs w:val="24"/>
          <w:highlight w:val="none"/>
          <w:lang w:val="en-US" w:eastAsia="zh-CN"/>
        </w:rPr>
        <w:t>1</w:t>
      </w:r>
      <w:r>
        <w:rPr>
          <w:rFonts w:hint="default"/>
          <w:color w:val="auto"/>
          <w:sz w:val="24"/>
          <w:szCs w:val="24"/>
          <w:highlight w:val="none"/>
          <w:lang w:val="en-US" w:eastAsia="zh-CN"/>
        </w:rPr>
        <w:t>。</w:t>
      </w:r>
    </w:p>
    <w:p w14:paraId="711EBAA3">
      <w:pPr>
        <w:pStyle w:val="199"/>
        <w:spacing w:before="120"/>
        <w:rPr>
          <w:rFonts w:hint="eastAsia"/>
          <w:color w:val="auto"/>
          <w:sz w:val="24"/>
          <w:highlight w:val="none"/>
        </w:rPr>
      </w:pPr>
      <w:r>
        <w:rPr>
          <w:rFonts w:hint="default"/>
          <w:color w:val="auto"/>
          <w:sz w:val="24"/>
          <w:highlight w:val="none"/>
        </w:rPr>
        <w:t>表</w:t>
      </w:r>
      <w:r>
        <w:rPr>
          <w:rFonts w:hint="default"/>
          <w:color w:val="auto"/>
          <w:sz w:val="24"/>
          <w:highlight w:val="none"/>
          <w:lang w:val="en-US" w:eastAsia="zh-CN"/>
        </w:rPr>
        <w:t>3.</w:t>
      </w:r>
      <w:r>
        <w:rPr>
          <w:rFonts w:hint="eastAsia"/>
          <w:color w:val="auto"/>
          <w:sz w:val="24"/>
          <w:highlight w:val="none"/>
          <w:lang w:val="en-US" w:eastAsia="zh-CN"/>
        </w:rPr>
        <w:t>5</w:t>
      </w:r>
      <w:r>
        <w:rPr>
          <w:rFonts w:hint="default"/>
          <w:color w:val="auto"/>
          <w:sz w:val="24"/>
          <w:highlight w:val="none"/>
          <w:lang w:val="en-US" w:eastAsia="zh-CN"/>
        </w:rPr>
        <w:t>-</w:t>
      </w:r>
      <w:r>
        <w:rPr>
          <w:rFonts w:hint="eastAsia"/>
          <w:color w:val="auto"/>
          <w:sz w:val="24"/>
          <w:highlight w:val="none"/>
          <w:lang w:val="en-US" w:eastAsia="zh-CN"/>
        </w:rPr>
        <w:t>1</w:t>
      </w:r>
      <w:r>
        <w:rPr>
          <w:rFonts w:hint="eastAsia"/>
          <w:color w:val="auto"/>
          <w:sz w:val="24"/>
          <w:highlight w:val="none"/>
        </w:rPr>
        <w:t xml:space="preserve">  本项目主要生产设备表</w:t>
      </w:r>
    </w:p>
    <w:tbl>
      <w:tblPr>
        <w:tblStyle w:val="297"/>
        <w:tblW w:w="502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1"/>
        <w:gridCol w:w="2802"/>
        <w:gridCol w:w="2113"/>
        <w:gridCol w:w="621"/>
        <w:gridCol w:w="735"/>
        <w:gridCol w:w="1453"/>
      </w:tblGrid>
      <w:tr w14:paraId="53A54D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01DE954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序号</w:t>
            </w:r>
          </w:p>
        </w:tc>
        <w:tc>
          <w:tcPr>
            <w:tcW w:w="1678" w:type="pct"/>
            <w:tcBorders>
              <w:tl2br w:val="nil"/>
              <w:tr2bl w:val="nil"/>
            </w:tcBorders>
            <w:noWrap w:val="0"/>
            <w:vAlign w:val="center"/>
          </w:tcPr>
          <w:p w14:paraId="0D56312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设备名称</w:t>
            </w:r>
          </w:p>
        </w:tc>
        <w:tc>
          <w:tcPr>
            <w:tcW w:w="1265" w:type="pct"/>
            <w:tcBorders>
              <w:tl2br w:val="nil"/>
              <w:tr2bl w:val="nil"/>
            </w:tcBorders>
            <w:noWrap w:val="0"/>
            <w:vAlign w:val="center"/>
          </w:tcPr>
          <w:p w14:paraId="4D03776F">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设备型号</w:t>
            </w:r>
          </w:p>
        </w:tc>
        <w:tc>
          <w:tcPr>
            <w:tcW w:w="372" w:type="pct"/>
            <w:tcBorders>
              <w:tl2br w:val="nil"/>
              <w:tr2bl w:val="nil"/>
            </w:tcBorders>
            <w:noWrap w:val="0"/>
            <w:vAlign w:val="center"/>
          </w:tcPr>
          <w:p w14:paraId="25BA0A7B">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单位</w:t>
            </w:r>
          </w:p>
        </w:tc>
        <w:tc>
          <w:tcPr>
            <w:tcW w:w="440" w:type="pct"/>
            <w:tcBorders>
              <w:tl2br w:val="nil"/>
              <w:tr2bl w:val="nil"/>
            </w:tcBorders>
            <w:noWrap w:val="0"/>
            <w:vAlign w:val="center"/>
          </w:tcPr>
          <w:p w14:paraId="7C6B9CF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数量</w:t>
            </w:r>
          </w:p>
        </w:tc>
        <w:tc>
          <w:tcPr>
            <w:tcW w:w="870" w:type="pct"/>
            <w:tcBorders>
              <w:tl2br w:val="nil"/>
              <w:tr2bl w:val="nil"/>
            </w:tcBorders>
            <w:noWrap w:val="0"/>
            <w:vAlign w:val="center"/>
          </w:tcPr>
          <w:p w14:paraId="527B34A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备注</w:t>
            </w:r>
          </w:p>
        </w:tc>
      </w:tr>
      <w:tr w14:paraId="347A67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3E17796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1678" w:type="pct"/>
            <w:tcBorders>
              <w:tl2br w:val="nil"/>
              <w:tr2bl w:val="nil"/>
            </w:tcBorders>
            <w:noWrap w:val="0"/>
            <w:vAlign w:val="center"/>
          </w:tcPr>
          <w:p w14:paraId="487B3B3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槽式给矿机</w:t>
            </w:r>
          </w:p>
        </w:tc>
        <w:tc>
          <w:tcPr>
            <w:tcW w:w="1265" w:type="pct"/>
            <w:tcBorders>
              <w:tl2br w:val="nil"/>
              <w:tr2bl w:val="nil"/>
            </w:tcBorders>
            <w:noWrap w:val="0"/>
            <w:vAlign w:val="center"/>
          </w:tcPr>
          <w:p w14:paraId="6E127D4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980</w:t>
            </w:r>
            <w:r>
              <w:rPr>
                <w:color w:val="auto"/>
                <w:highlight w:val="none"/>
              </w:rPr>
              <w:t>×</w:t>
            </w:r>
            <w:r>
              <w:rPr>
                <w:rFonts w:hint="eastAsia"/>
                <w:b w:val="0"/>
                <w:color w:val="auto"/>
                <w:kern w:val="0"/>
                <w:highlight w:val="none"/>
              </w:rPr>
              <w:t>1240</w:t>
            </w:r>
          </w:p>
        </w:tc>
        <w:tc>
          <w:tcPr>
            <w:tcW w:w="372" w:type="pct"/>
            <w:tcBorders>
              <w:tl2br w:val="nil"/>
              <w:tr2bl w:val="nil"/>
            </w:tcBorders>
            <w:noWrap w:val="0"/>
            <w:vAlign w:val="center"/>
          </w:tcPr>
          <w:p w14:paraId="73012D4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74F148F3">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eastAsia="zh-CN"/>
              </w:rPr>
              <w:t>1</w:t>
            </w:r>
          </w:p>
        </w:tc>
        <w:tc>
          <w:tcPr>
            <w:tcW w:w="870" w:type="pct"/>
            <w:tcBorders>
              <w:tl2br w:val="nil"/>
              <w:tr2bl w:val="nil"/>
            </w:tcBorders>
            <w:noWrap w:val="0"/>
            <w:vAlign w:val="center"/>
          </w:tcPr>
          <w:p w14:paraId="61298E56">
            <w:pPr>
              <w:pStyle w:val="199"/>
              <w:autoSpaceDE w:val="0"/>
              <w:autoSpaceDN w:val="0"/>
              <w:spacing w:beforeLines="0" w:line="240" w:lineRule="auto"/>
              <w:jc w:val="center"/>
              <w:rPr>
                <w:rFonts w:hint="eastAsia"/>
                <w:b w:val="0"/>
                <w:color w:val="auto"/>
                <w:kern w:val="0"/>
                <w:highlight w:val="none"/>
                <w:lang w:eastAsia="zh-CN"/>
              </w:rPr>
            </w:pPr>
          </w:p>
        </w:tc>
      </w:tr>
      <w:tr w14:paraId="0CFBD9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05076CC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w:t>
            </w:r>
          </w:p>
        </w:tc>
        <w:tc>
          <w:tcPr>
            <w:tcW w:w="1678" w:type="pct"/>
            <w:tcBorders>
              <w:tl2br w:val="nil"/>
              <w:tr2bl w:val="nil"/>
            </w:tcBorders>
            <w:noWrap w:val="0"/>
            <w:vAlign w:val="center"/>
          </w:tcPr>
          <w:p w14:paraId="4FBCA8A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破碎机</w:t>
            </w:r>
          </w:p>
        </w:tc>
        <w:tc>
          <w:tcPr>
            <w:tcW w:w="1265" w:type="pct"/>
            <w:tcBorders>
              <w:tl2br w:val="nil"/>
              <w:tr2bl w:val="nil"/>
            </w:tcBorders>
            <w:noWrap w:val="0"/>
            <w:vAlign w:val="center"/>
          </w:tcPr>
          <w:p w14:paraId="197AFE6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PE</w:t>
            </w:r>
            <w:r>
              <w:rPr>
                <w:rFonts w:hint="eastAsia"/>
                <w:b w:val="0"/>
                <w:color w:val="auto"/>
                <w:kern w:val="0"/>
                <w:highlight w:val="none"/>
                <w:lang w:eastAsia="zh-CN"/>
              </w:rPr>
              <w:t>6</w:t>
            </w:r>
            <w:r>
              <w:rPr>
                <w:rFonts w:hint="eastAsia"/>
                <w:b w:val="0"/>
                <w:color w:val="auto"/>
                <w:kern w:val="0"/>
                <w:highlight w:val="none"/>
              </w:rPr>
              <w:t>00</w:t>
            </w:r>
            <w:r>
              <w:rPr>
                <w:color w:val="auto"/>
                <w:highlight w:val="none"/>
              </w:rPr>
              <w:t>×</w:t>
            </w:r>
            <w:r>
              <w:rPr>
                <w:rFonts w:hint="eastAsia"/>
                <w:b w:val="0"/>
                <w:color w:val="auto"/>
                <w:kern w:val="0"/>
                <w:highlight w:val="none"/>
                <w:lang w:eastAsia="zh-CN"/>
              </w:rPr>
              <w:t>9</w:t>
            </w:r>
            <w:r>
              <w:rPr>
                <w:rFonts w:hint="eastAsia"/>
                <w:b w:val="0"/>
                <w:color w:val="auto"/>
                <w:kern w:val="0"/>
                <w:highlight w:val="none"/>
              </w:rPr>
              <w:t>00</w:t>
            </w:r>
          </w:p>
        </w:tc>
        <w:tc>
          <w:tcPr>
            <w:tcW w:w="372" w:type="pct"/>
            <w:tcBorders>
              <w:tl2br w:val="nil"/>
              <w:tr2bl w:val="nil"/>
            </w:tcBorders>
            <w:noWrap w:val="0"/>
            <w:vAlign w:val="center"/>
          </w:tcPr>
          <w:p w14:paraId="0C223CE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1682C9C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870" w:type="pct"/>
            <w:tcBorders>
              <w:tl2br w:val="nil"/>
              <w:tr2bl w:val="nil"/>
            </w:tcBorders>
            <w:noWrap w:val="0"/>
            <w:vAlign w:val="center"/>
          </w:tcPr>
          <w:p w14:paraId="010643D4">
            <w:pPr>
              <w:pStyle w:val="199"/>
              <w:autoSpaceDE w:val="0"/>
              <w:autoSpaceDN w:val="0"/>
              <w:spacing w:beforeLines="0" w:line="240" w:lineRule="auto"/>
              <w:jc w:val="center"/>
              <w:rPr>
                <w:rFonts w:hint="eastAsia"/>
                <w:b w:val="0"/>
                <w:color w:val="auto"/>
                <w:kern w:val="0"/>
                <w:highlight w:val="none"/>
                <w:lang w:eastAsia="zh-CN"/>
              </w:rPr>
            </w:pPr>
          </w:p>
        </w:tc>
      </w:tr>
      <w:tr w14:paraId="2D3E1C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3E000CE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3</w:t>
            </w:r>
          </w:p>
        </w:tc>
        <w:tc>
          <w:tcPr>
            <w:tcW w:w="1678" w:type="pct"/>
            <w:tcBorders>
              <w:tl2br w:val="nil"/>
              <w:tr2bl w:val="nil"/>
            </w:tcBorders>
            <w:noWrap w:val="0"/>
            <w:vAlign w:val="center"/>
          </w:tcPr>
          <w:p w14:paraId="06E2BC3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破碎机</w:t>
            </w:r>
          </w:p>
        </w:tc>
        <w:tc>
          <w:tcPr>
            <w:tcW w:w="1265" w:type="pct"/>
            <w:tcBorders>
              <w:tl2br w:val="nil"/>
              <w:tr2bl w:val="nil"/>
            </w:tcBorders>
            <w:noWrap w:val="0"/>
            <w:vAlign w:val="center"/>
          </w:tcPr>
          <w:p w14:paraId="32D9A42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PC</w:t>
            </w:r>
            <w:r>
              <w:rPr>
                <w:rFonts w:hint="eastAsia"/>
                <w:b w:val="0"/>
                <w:color w:val="auto"/>
                <w:kern w:val="0"/>
                <w:highlight w:val="none"/>
                <w:lang w:eastAsia="zh-CN"/>
              </w:rPr>
              <w:t>25</w:t>
            </w:r>
            <w:r>
              <w:rPr>
                <w:rFonts w:hint="eastAsia"/>
                <w:b w:val="0"/>
                <w:color w:val="auto"/>
                <w:kern w:val="0"/>
                <w:highlight w:val="none"/>
              </w:rPr>
              <w:t>0</w:t>
            </w:r>
            <w:r>
              <w:rPr>
                <w:color w:val="auto"/>
                <w:highlight w:val="none"/>
              </w:rPr>
              <w:t>×</w:t>
            </w:r>
            <w:r>
              <w:rPr>
                <w:rFonts w:hint="eastAsia"/>
                <w:b w:val="0"/>
                <w:color w:val="auto"/>
                <w:kern w:val="0"/>
                <w:highlight w:val="none"/>
              </w:rPr>
              <w:t>1</w:t>
            </w:r>
            <w:r>
              <w:rPr>
                <w:rFonts w:hint="eastAsia"/>
                <w:b w:val="0"/>
                <w:color w:val="auto"/>
                <w:kern w:val="0"/>
                <w:highlight w:val="none"/>
                <w:lang w:eastAsia="zh-CN"/>
              </w:rPr>
              <w:t>2</w:t>
            </w:r>
            <w:r>
              <w:rPr>
                <w:rFonts w:hint="eastAsia"/>
                <w:b w:val="0"/>
                <w:color w:val="auto"/>
                <w:kern w:val="0"/>
                <w:highlight w:val="none"/>
              </w:rPr>
              <w:t>00</w:t>
            </w:r>
          </w:p>
        </w:tc>
        <w:tc>
          <w:tcPr>
            <w:tcW w:w="372" w:type="pct"/>
            <w:tcBorders>
              <w:tl2br w:val="nil"/>
              <w:tr2bl w:val="nil"/>
            </w:tcBorders>
            <w:noWrap w:val="0"/>
            <w:vAlign w:val="center"/>
          </w:tcPr>
          <w:p w14:paraId="1BD5092B">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2621423F">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870" w:type="pct"/>
            <w:tcBorders>
              <w:tl2br w:val="nil"/>
              <w:tr2bl w:val="nil"/>
            </w:tcBorders>
            <w:noWrap w:val="0"/>
            <w:vAlign w:val="center"/>
          </w:tcPr>
          <w:p w14:paraId="58322A04">
            <w:pPr>
              <w:pStyle w:val="199"/>
              <w:autoSpaceDE w:val="0"/>
              <w:autoSpaceDN w:val="0"/>
              <w:spacing w:beforeLines="0" w:line="240" w:lineRule="auto"/>
              <w:jc w:val="center"/>
              <w:rPr>
                <w:rFonts w:hint="eastAsia"/>
                <w:b w:val="0"/>
                <w:color w:val="auto"/>
                <w:kern w:val="0"/>
                <w:highlight w:val="none"/>
                <w:lang w:eastAsia="zh-CN"/>
              </w:rPr>
            </w:pPr>
          </w:p>
        </w:tc>
      </w:tr>
      <w:tr w14:paraId="4749F0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68AF808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4</w:t>
            </w:r>
          </w:p>
        </w:tc>
        <w:tc>
          <w:tcPr>
            <w:tcW w:w="1678" w:type="pct"/>
            <w:tcBorders>
              <w:tl2br w:val="nil"/>
              <w:tr2bl w:val="nil"/>
            </w:tcBorders>
            <w:noWrap w:val="0"/>
            <w:vAlign w:val="center"/>
          </w:tcPr>
          <w:p w14:paraId="2AEDA98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输送机</w:t>
            </w:r>
          </w:p>
        </w:tc>
        <w:tc>
          <w:tcPr>
            <w:tcW w:w="1265" w:type="pct"/>
            <w:tcBorders>
              <w:tl2br w:val="nil"/>
              <w:tr2bl w:val="nil"/>
            </w:tcBorders>
            <w:noWrap w:val="0"/>
            <w:vAlign w:val="center"/>
          </w:tcPr>
          <w:p w14:paraId="058A503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B:600</w:t>
            </w:r>
            <w:r>
              <w:rPr>
                <w:rFonts w:hint="eastAsia"/>
                <w:b w:val="0"/>
                <w:color w:val="auto"/>
                <w:kern w:val="0"/>
                <w:highlight w:val="none"/>
                <w:lang w:eastAsia="zh-CN"/>
              </w:rPr>
              <w:t>，</w:t>
            </w:r>
            <w:r>
              <w:rPr>
                <w:rFonts w:hint="eastAsia"/>
                <w:b w:val="0"/>
                <w:color w:val="auto"/>
                <w:kern w:val="0"/>
                <w:highlight w:val="none"/>
              </w:rPr>
              <w:t>L=27m</w:t>
            </w:r>
          </w:p>
        </w:tc>
        <w:tc>
          <w:tcPr>
            <w:tcW w:w="372" w:type="pct"/>
            <w:tcBorders>
              <w:tl2br w:val="nil"/>
              <w:tr2bl w:val="nil"/>
            </w:tcBorders>
            <w:noWrap w:val="0"/>
            <w:vAlign w:val="center"/>
          </w:tcPr>
          <w:p w14:paraId="7E58D16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12D8606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870" w:type="pct"/>
            <w:tcBorders>
              <w:tl2br w:val="nil"/>
              <w:tr2bl w:val="nil"/>
            </w:tcBorders>
            <w:noWrap w:val="0"/>
            <w:vAlign w:val="center"/>
          </w:tcPr>
          <w:p w14:paraId="443AF3B8">
            <w:pPr>
              <w:pStyle w:val="199"/>
              <w:autoSpaceDE w:val="0"/>
              <w:autoSpaceDN w:val="0"/>
              <w:spacing w:beforeLines="0" w:line="240" w:lineRule="auto"/>
              <w:jc w:val="center"/>
              <w:rPr>
                <w:rFonts w:hint="eastAsia"/>
                <w:b w:val="0"/>
                <w:color w:val="auto"/>
                <w:kern w:val="0"/>
                <w:highlight w:val="none"/>
                <w:lang w:eastAsia="zh-CN"/>
              </w:rPr>
            </w:pPr>
          </w:p>
        </w:tc>
      </w:tr>
      <w:tr w14:paraId="3D3D3E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0E8EA3FF">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5</w:t>
            </w:r>
          </w:p>
        </w:tc>
        <w:tc>
          <w:tcPr>
            <w:tcW w:w="1678" w:type="pct"/>
            <w:tcBorders>
              <w:tl2br w:val="nil"/>
              <w:tr2bl w:val="nil"/>
            </w:tcBorders>
            <w:noWrap w:val="0"/>
            <w:vAlign w:val="center"/>
          </w:tcPr>
          <w:p w14:paraId="00304F9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输送机</w:t>
            </w:r>
          </w:p>
        </w:tc>
        <w:tc>
          <w:tcPr>
            <w:tcW w:w="1265" w:type="pct"/>
            <w:tcBorders>
              <w:tl2br w:val="nil"/>
              <w:tr2bl w:val="nil"/>
            </w:tcBorders>
            <w:noWrap w:val="0"/>
            <w:vAlign w:val="center"/>
          </w:tcPr>
          <w:p w14:paraId="213ACE1B">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B:600</w:t>
            </w:r>
            <w:r>
              <w:rPr>
                <w:rFonts w:hint="eastAsia"/>
                <w:b w:val="0"/>
                <w:color w:val="auto"/>
                <w:kern w:val="0"/>
                <w:highlight w:val="none"/>
                <w:lang w:eastAsia="zh-CN"/>
              </w:rPr>
              <w:t>，</w:t>
            </w:r>
            <w:r>
              <w:rPr>
                <w:rFonts w:hint="eastAsia"/>
                <w:b w:val="0"/>
                <w:color w:val="auto"/>
                <w:kern w:val="0"/>
                <w:highlight w:val="none"/>
              </w:rPr>
              <w:t>L=6m</w:t>
            </w:r>
          </w:p>
        </w:tc>
        <w:tc>
          <w:tcPr>
            <w:tcW w:w="372" w:type="pct"/>
            <w:tcBorders>
              <w:tl2br w:val="nil"/>
              <w:tr2bl w:val="nil"/>
            </w:tcBorders>
            <w:noWrap w:val="0"/>
            <w:vAlign w:val="center"/>
          </w:tcPr>
          <w:p w14:paraId="3295ED4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6E0860B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w:t>
            </w:r>
          </w:p>
        </w:tc>
        <w:tc>
          <w:tcPr>
            <w:tcW w:w="870" w:type="pct"/>
            <w:tcBorders>
              <w:tl2br w:val="nil"/>
              <w:tr2bl w:val="nil"/>
            </w:tcBorders>
            <w:noWrap w:val="0"/>
            <w:vAlign w:val="center"/>
          </w:tcPr>
          <w:p w14:paraId="23729BAA">
            <w:pPr>
              <w:pStyle w:val="199"/>
              <w:autoSpaceDE w:val="0"/>
              <w:autoSpaceDN w:val="0"/>
              <w:spacing w:beforeLines="0" w:line="240" w:lineRule="auto"/>
              <w:jc w:val="center"/>
              <w:rPr>
                <w:rFonts w:hint="eastAsia"/>
                <w:b w:val="0"/>
                <w:color w:val="auto"/>
                <w:kern w:val="0"/>
                <w:highlight w:val="none"/>
                <w:lang w:eastAsia="zh-CN"/>
              </w:rPr>
            </w:pPr>
          </w:p>
        </w:tc>
      </w:tr>
      <w:tr w14:paraId="0065AA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33DCE241">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6</w:t>
            </w:r>
          </w:p>
        </w:tc>
        <w:tc>
          <w:tcPr>
            <w:tcW w:w="1678" w:type="pct"/>
            <w:tcBorders>
              <w:tl2br w:val="nil"/>
              <w:tr2bl w:val="nil"/>
            </w:tcBorders>
            <w:noWrap w:val="0"/>
            <w:vAlign w:val="center"/>
          </w:tcPr>
          <w:p w14:paraId="6CAE8AFE">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eastAsia="zh-CN"/>
              </w:rPr>
              <w:t>锤式破碎机</w:t>
            </w:r>
          </w:p>
        </w:tc>
        <w:tc>
          <w:tcPr>
            <w:tcW w:w="1265" w:type="pct"/>
            <w:tcBorders>
              <w:tl2br w:val="nil"/>
              <w:tr2bl w:val="nil"/>
            </w:tcBorders>
            <w:noWrap w:val="0"/>
            <w:vAlign w:val="center"/>
          </w:tcPr>
          <w:p w14:paraId="316CE9D9">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eastAsia="zh-CN"/>
              </w:rPr>
              <w:t>155</w:t>
            </w:r>
          </w:p>
        </w:tc>
        <w:tc>
          <w:tcPr>
            <w:tcW w:w="372" w:type="pct"/>
            <w:tcBorders>
              <w:tl2br w:val="nil"/>
              <w:tr2bl w:val="nil"/>
            </w:tcBorders>
            <w:noWrap w:val="0"/>
            <w:vAlign w:val="center"/>
          </w:tcPr>
          <w:p w14:paraId="215D52E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42974FB5">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eastAsia="zh-CN"/>
              </w:rPr>
              <w:t>1</w:t>
            </w:r>
          </w:p>
        </w:tc>
        <w:tc>
          <w:tcPr>
            <w:tcW w:w="870" w:type="pct"/>
            <w:tcBorders>
              <w:tl2br w:val="nil"/>
              <w:tr2bl w:val="nil"/>
            </w:tcBorders>
            <w:noWrap w:val="0"/>
            <w:vAlign w:val="center"/>
          </w:tcPr>
          <w:p w14:paraId="41782D89">
            <w:pPr>
              <w:pStyle w:val="199"/>
              <w:autoSpaceDE w:val="0"/>
              <w:autoSpaceDN w:val="0"/>
              <w:spacing w:beforeLines="0" w:line="240" w:lineRule="auto"/>
              <w:jc w:val="center"/>
              <w:rPr>
                <w:rFonts w:hint="eastAsia"/>
                <w:b w:val="0"/>
                <w:color w:val="auto"/>
                <w:kern w:val="0"/>
                <w:highlight w:val="none"/>
                <w:lang w:eastAsia="zh-CN"/>
              </w:rPr>
            </w:pPr>
          </w:p>
        </w:tc>
      </w:tr>
      <w:tr w14:paraId="619D58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5C6897D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7</w:t>
            </w:r>
          </w:p>
        </w:tc>
        <w:tc>
          <w:tcPr>
            <w:tcW w:w="1678" w:type="pct"/>
            <w:tcBorders>
              <w:tl2br w:val="nil"/>
              <w:tr2bl w:val="nil"/>
            </w:tcBorders>
            <w:noWrap w:val="0"/>
            <w:vAlign w:val="center"/>
          </w:tcPr>
          <w:p w14:paraId="51D2C46B">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球磨机</w:t>
            </w:r>
          </w:p>
        </w:tc>
        <w:tc>
          <w:tcPr>
            <w:tcW w:w="1265" w:type="pct"/>
            <w:tcBorders>
              <w:tl2br w:val="nil"/>
              <w:tr2bl w:val="nil"/>
            </w:tcBorders>
            <w:noWrap w:val="0"/>
            <w:vAlign w:val="center"/>
          </w:tcPr>
          <w:p w14:paraId="20F74121">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eastAsia="zh-CN"/>
              </w:rPr>
              <w:t>24</w:t>
            </w:r>
            <w:r>
              <w:rPr>
                <w:rFonts w:hint="eastAsia"/>
                <w:b w:val="0"/>
                <w:color w:val="auto"/>
                <w:kern w:val="0"/>
                <w:highlight w:val="none"/>
              </w:rPr>
              <w:t>00</w:t>
            </w:r>
            <w:r>
              <w:rPr>
                <w:color w:val="auto"/>
                <w:highlight w:val="none"/>
              </w:rPr>
              <w:t>×</w:t>
            </w:r>
            <w:r>
              <w:rPr>
                <w:rFonts w:hint="eastAsia"/>
                <w:b w:val="0"/>
                <w:color w:val="auto"/>
                <w:kern w:val="0"/>
                <w:highlight w:val="none"/>
              </w:rPr>
              <w:t>600</w:t>
            </w:r>
            <w:r>
              <w:rPr>
                <w:rFonts w:hint="eastAsia"/>
                <w:b w:val="0"/>
                <w:color w:val="auto"/>
                <w:kern w:val="0"/>
                <w:highlight w:val="none"/>
                <w:lang w:eastAsia="zh-CN"/>
              </w:rPr>
              <w:t>0</w:t>
            </w:r>
          </w:p>
        </w:tc>
        <w:tc>
          <w:tcPr>
            <w:tcW w:w="372" w:type="pct"/>
            <w:tcBorders>
              <w:tl2br w:val="nil"/>
              <w:tr2bl w:val="nil"/>
            </w:tcBorders>
            <w:noWrap w:val="0"/>
            <w:vAlign w:val="center"/>
          </w:tcPr>
          <w:p w14:paraId="1234795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2C09885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870" w:type="pct"/>
            <w:tcBorders>
              <w:tl2br w:val="nil"/>
              <w:tr2bl w:val="nil"/>
            </w:tcBorders>
            <w:noWrap w:val="0"/>
            <w:vAlign w:val="center"/>
          </w:tcPr>
          <w:p w14:paraId="2C6D6F5C">
            <w:pPr>
              <w:pStyle w:val="199"/>
              <w:autoSpaceDE w:val="0"/>
              <w:autoSpaceDN w:val="0"/>
              <w:spacing w:beforeLines="0" w:line="240" w:lineRule="auto"/>
              <w:jc w:val="center"/>
              <w:rPr>
                <w:rFonts w:hint="eastAsia"/>
                <w:b w:val="0"/>
                <w:color w:val="auto"/>
                <w:kern w:val="0"/>
                <w:highlight w:val="none"/>
                <w:lang w:eastAsia="zh-CN"/>
              </w:rPr>
            </w:pPr>
          </w:p>
        </w:tc>
      </w:tr>
      <w:tr w14:paraId="407B61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4DC538D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8</w:t>
            </w:r>
          </w:p>
        </w:tc>
        <w:tc>
          <w:tcPr>
            <w:tcW w:w="1678" w:type="pct"/>
            <w:tcBorders>
              <w:tl2br w:val="nil"/>
              <w:tr2bl w:val="nil"/>
            </w:tcBorders>
            <w:noWrap w:val="0"/>
            <w:vAlign w:val="center"/>
          </w:tcPr>
          <w:p w14:paraId="337615E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球磨机</w:t>
            </w:r>
          </w:p>
        </w:tc>
        <w:tc>
          <w:tcPr>
            <w:tcW w:w="1265" w:type="pct"/>
            <w:tcBorders>
              <w:tl2br w:val="nil"/>
              <w:tr2bl w:val="nil"/>
            </w:tcBorders>
            <w:noWrap w:val="0"/>
            <w:vAlign w:val="center"/>
          </w:tcPr>
          <w:p w14:paraId="51577667">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eastAsia="zh-CN"/>
              </w:rPr>
              <w:t>183</w:t>
            </w:r>
            <w:r>
              <w:rPr>
                <w:rFonts w:hint="eastAsia"/>
                <w:b w:val="0"/>
                <w:color w:val="auto"/>
                <w:kern w:val="0"/>
                <w:highlight w:val="none"/>
              </w:rPr>
              <w:t>0</w:t>
            </w:r>
            <w:r>
              <w:rPr>
                <w:color w:val="auto"/>
                <w:highlight w:val="none"/>
              </w:rPr>
              <w:t>×</w:t>
            </w:r>
            <w:r>
              <w:rPr>
                <w:rFonts w:hint="eastAsia"/>
                <w:b w:val="0"/>
                <w:color w:val="auto"/>
                <w:kern w:val="0"/>
                <w:highlight w:val="none"/>
                <w:lang w:eastAsia="zh-CN"/>
              </w:rPr>
              <w:t>7</w:t>
            </w:r>
            <w:r>
              <w:rPr>
                <w:rFonts w:hint="eastAsia"/>
                <w:b w:val="0"/>
                <w:color w:val="auto"/>
                <w:kern w:val="0"/>
                <w:highlight w:val="none"/>
              </w:rPr>
              <w:t>00</w:t>
            </w:r>
            <w:r>
              <w:rPr>
                <w:rFonts w:hint="eastAsia"/>
                <w:b w:val="0"/>
                <w:color w:val="auto"/>
                <w:kern w:val="0"/>
                <w:highlight w:val="none"/>
                <w:lang w:eastAsia="zh-CN"/>
              </w:rPr>
              <w:t>0</w:t>
            </w:r>
          </w:p>
        </w:tc>
        <w:tc>
          <w:tcPr>
            <w:tcW w:w="372" w:type="pct"/>
            <w:tcBorders>
              <w:tl2br w:val="nil"/>
              <w:tr2bl w:val="nil"/>
            </w:tcBorders>
            <w:noWrap w:val="0"/>
            <w:vAlign w:val="center"/>
          </w:tcPr>
          <w:p w14:paraId="6246AB4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1F622E6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870" w:type="pct"/>
            <w:tcBorders>
              <w:tl2br w:val="nil"/>
              <w:tr2bl w:val="nil"/>
            </w:tcBorders>
            <w:noWrap w:val="0"/>
            <w:vAlign w:val="center"/>
          </w:tcPr>
          <w:p w14:paraId="51CA6165">
            <w:pPr>
              <w:pStyle w:val="199"/>
              <w:autoSpaceDE w:val="0"/>
              <w:autoSpaceDN w:val="0"/>
              <w:spacing w:beforeLines="0" w:line="240" w:lineRule="auto"/>
              <w:jc w:val="center"/>
              <w:rPr>
                <w:rFonts w:hint="eastAsia"/>
                <w:b w:val="0"/>
                <w:color w:val="auto"/>
                <w:kern w:val="0"/>
                <w:highlight w:val="none"/>
                <w:lang w:eastAsia="zh-CN"/>
              </w:rPr>
            </w:pPr>
          </w:p>
        </w:tc>
      </w:tr>
      <w:tr w14:paraId="5CF142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686BDC6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9</w:t>
            </w:r>
          </w:p>
        </w:tc>
        <w:tc>
          <w:tcPr>
            <w:tcW w:w="1678" w:type="pct"/>
            <w:tcBorders>
              <w:tl2br w:val="nil"/>
              <w:tr2bl w:val="nil"/>
            </w:tcBorders>
            <w:noWrap w:val="0"/>
            <w:vAlign w:val="center"/>
          </w:tcPr>
          <w:p w14:paraId="24A9D5E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高堰式分级机</w:t>
            </w:r>
          </w:p>
        </w:tc>
        <w:tc>
          <w:tcPr>
            <w:tcW w:w="1265" w:type="pct"/>
            <w:tcBorders>
              <w:tl2br w:val="nil"/>
              <w:tr2bl w:val="nil"/>
            </w:tcBorders>
            <w:noWrap w:val="0"/>
            <w:vAlign w:val="center"/>
          </w:tcPr>
          <w:p w14:paraId="3E2DFE9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FG-φ2</w:t>
            </w:r>
            <w:r>
              <w:rPr>
                <w:rFonts w:hint="eastAsia"/>
                <w:b w:val="0"/>
                <w:color w:val="auto"/>
                <w:kern w:val="0"/>
                <w:highlight w:val="none"/>
                <w:lang w:eastAsia="zh-CN"/>
              </w:rPr>
              <w:t>4</w:t>
            </w:r>
            <w:r>
              <w:rPr>
                <w:rFonts w:hint="eastAsia"/>
                <w:b w:val="0"/>
                <w:color w:val="auto"/>
                <w:kern w:val="0"/>
                <w:highlight w:val="none"/>
              </w:rPr>
              <w:t>00</w:t>
            </w:r>
          </w:p>
        </w:tc>
        <w:tc>
          <w:tcPr>
            <w:tcW w:w="372" w:type="pct"/>
            <w:tcBorders>
              <w:tl2br w:val="nil"/>
              <w:tr2bl w:val="nil"/>
            </w:tcBorders>
            <w:noWrap w:val="0"/>
            <w:vAlign w:val="center"/>
          </w:tcPr>
          <w:p w14:paraId="7AA8179E">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1FAA175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870" w:type="pct"/>
            <w:tcBorders>
              <w:tl2br w:val="nil"/>
              <w:tr2bl w:val="nil"/>
            </w:tcBorders>
            <w:noWrap w:val="0"/>
            <w:vAlign w:val="center"/>
          </w:tcPr>
          <w:p w14:paraId="1A6B1675">
            <w:pPr>
              <w:pStyle w:val="199"/>
              <w:autoSpaceDE w:val="0"/>
              <w:autoSpaceDN w:val="0"/>
              <w:spacing w:beforeLines="0" w:line="240" w:lineRule="auto"/>
              <w:jc w:val="center"/>
              <w:rPr>
                <w:rFonts w:hint="eastAsia"/>
                <w:b w:val="0"/>
                <w:color w:val="auto"/>
                <w:kern w:val="0"/>
                <w:highlight w:val="none"/>
                <w:lang w:eastAsia="zh-CN"/>
              </w:rPr>
            </w:pPr>
          </w:p>
        </w:tc>
      </w:tr>
      <w:tr w14:paraId="1FE79A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22BC1C1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10</w:t>
            </w:r>
          </w:p>
        </w:tc>
        <w:tc>
          <w:tcPr>
            <w:tcW w:w="1678" w:type="pct"/>
            <w:tcBorders>
              <w:tl2br w:val="nil"/>
              <w:tr2bl w:val="nil"/>
            </w:tcBorders>
            <w:noWrap w:val="0"/>
            <w:vAlign w:val="center"/>
          </w:tcPr>
          <w:p w14:paraId="354AD6A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搅拌桶</w:t>
            </w:r>
          </w:p>
        </w:tc>
        <w:tc>
          <w:tcPr>
            <w:tcW w:w="1265" w:type="pct"/>
            <w:tcBorders>
              <w:tl2br w:val="nil"/>
              <w:tr2bl w:val="nil"/>
            </w:tcBorders>
            <w:noWrap w:val="0"/>
            <w:vAlign w:val="center"/>
          </w:tcPr>
          <w:p w14:paraId="459B218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XB-2</w:t>
            </w:r>
            <w:r>
              <w:rPr>
                <w:rFonts w:hint="eastAsia"/>
                <w:b w:val="0"/>
                <w:color w:val="auto"/>
                <w:kern w:val="0"/>
                <w:highlight w:val="none"/>
                <w:lang w:eastAsia="zh-CN"/>
              </w:rPr>
              <w:t>5</w:t>
            </w:r>
            <w:r>
              <w:rPr>
                <w:rFonts w:hint="eastAsia"/>
                <w:b w:val="0"/>
                <w:color w:val="auto"/>
                <w:kern w:val="0"/>
                <w:highlight w:val="none"/>
              </w:rPr>
              <w:t>00</w:t>
            </w:r>
          </w:p>
        </w:tc>
        <w:tc>
          <w:tcPr>
            <w:tcW w:w="372" w:type="pct"/>
            <w:tcBorders>
              <w:tl2br w:val="nil"/>
              <w:tr2bl w:val="nil"/>
            </w:tcBorders>
            <w:noWrap w:val="0"/>
            <w:vAlign w:val="center"/>
          </w:tcPr>
          <w:p w14:paraId="4F1C9BC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1317AFE9">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lang w:val="en-US" w:eastAsia="zh-CN"/>
              </w:rPr>
              <w:t>3</w:t>
            </w:r>
          </w:p>
        </w:tc>
        <w:tc>
          <w:tcPr>
            <w:tcW w:w="870" w:type="pct"/>
            <w:tcBorders>
              <w:tl2br w:val="nil"/>
              <w:tr2bl w:val="nil"/>
            </w:tcBorders>
            <w:noWrap w:val="0"/>
            <w:vAlign w:val="center"/>
          </w:tcPr>
          <w:p w14:paraId="3E1CFD25">
            <w:pPr>
              <w:pStyle w:val="199"/>
              <w:autoSpaceDE w:val="0"/>
              <w:autoSpaceDN w:val="0"/>
              <w:spacing w:beforeLines="0" w:line="240" w:lineRule="auto"/>
              <w:jc w:val="center"/>
              <w:rPr>
                <w:rFonts w:hint="eastAsia"/>
                <w:b w:val="0"/>
                <w:color w:val="auto"/>
                <w:kern w:val="0"/>
                <w:highlight w:val="none"/>
                <w:lang w:eastAsia="zh-CN"/>
              </w:rPr>
            </w:pPr>
          </w:p>
        </w:tc>
      </w:tr>
      <w:tr w14:paraId="78A90A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4DD12B1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11</w:t>
            </w:r>
          </w:p>
        </w:tc>
        <w:tc>
          <w:tcPr>
            <w:tcW w:w="1678" w:type="pct"/>
            <w:tcBorders>
              <w:tl2br w:val="nil"/>
              <w:tr2bl w:val="nil"/>
            </w:tcBorders>
            <w:noWrap w:val="0"/>
            <w:vAlign w:val="center"/>
          </w:tcPr>
          <w:p w14:paraId="3703277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浮选机</w:t>
            </w:r>
          </w:p>
        </w:tc>
        <w:tc>
          <w:tcPr>
            <w:tcW w:w="1265" w:type="pct"/>
            <w:tcBorders>
              <w:tl2br w:val="nil"/>
              <w:tr2bl w:val="nil"/>
            </w:tcBorders>
            <w:noWrap w:val="0"/>
            <w:vAlign w:val="center"/>
          </w:tcPr>
          <w:p w14:paraId="464E7EE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XTK-2.8(6A)</w:t>
            </w:r>
          </w:p>
        </w:tc>
        <w:tc>
          <w:tcPr>
            <w:tcW w:w="372" w:type="pct"/>
            <w:tcBorders>
              <w:tl2br w:val="nil"/>
              <w:tr2bl w:val="nil"/>
            </w:tcBorders>
            <w:noWrap w:val="0"/>
            <w:vAlign w:val="center"/>
          </w:tcPr>
          <w:p w14:paraId="6D4A532A">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槽</w:t>
            </w:r>
          </w:p>
        </w:tc>
        <w:tc>
          <w:tcPr>
            <w:tcW w:w="440" w:type="pct"/>
            <w:tcBorders>
              <w:tl2br w:val="nil"/>
              <w:tr2bl w:val="nil"/>
            </w:tcBorders>
            <w:noWrap w:val="0"/>
            <w:vAlign w:val="center"/>
          </w:tcPr>
          <w:p w14:paraId="30951C79">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43</w:t>
            </w:r>
          </w:p>
        </w:tc>
        <w:tc>
          <w:tcPr>
            <w:tcW w:w="870" w:type="pct"/>
            <w:tcBorders>
              <w:tl2br w:val="nil"/>
              <w:tr2bl w:val="nil"/>
            </w:tcBorders>
            <w:noWrap w:val="0"/>
            <w:vAlign w:val="center"/>
          </w:tcPr>
          <w:p w14:paraId="5DF73A78">
            <w:pPr>
              <w:pStyle w:val="199"/>
              <w:autoSpaceDE w:val="0"/>
              <w:autoSpaceDN w:val="0"/>
              <w:spacing w:beforeLines="0" w:line="240" w:lineRule="auto"/>
              <w:jc w:val="center"/>
              <w:rPr>
                <w:rFonts w:hint="eastAsia"/>
                <w:b w:val="0"/>
                <w:color w:val="auto"/>
                <w:kern w:val="0"/>
                <w:highlight w:val="none"/>
                <w:lang w:eastAsia="zh-CN"/>
              </w:rPr>
            </w:pPr>
          </w:p>
        </w:tc>
      </w:tr>
      <w:tr w14:paraId="2F0207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7A68A6A6">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12</w:t>
            </w:r>
          </w:p>
        </w:tc>
        <w:tc>
          <w:tcPr>
            <w:tcW w:w="1678" w:type="pct"/>
            <w:tcBorders>
              <w:tl2br w:val="nil"/>
              <w:tr2bl w:val="nil"/>
            </w:tcBorders>
            <w:noWrap w:val="0"/>
            <w:vAlign w:val="center"/>
          </w:tcPr>
          <w:p w14:paraId="1C01977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液下泵</w:t>
            </w:r>
          </w:p>
        </w:tc>
        <w:tc>
          <w:tcPr>
            <w:tcW w:w="1265" w:type="pct"/>
            <w:tcBorders>
              <w:tl2br w:val="nil"/>
              <w:tr2bl w:val="nil"/>
            </w:tcBorders>
            <w:noWrap w:val="0"/>
            <w:vAlign w:val="center"/>
          </w:tcPr>
          <w:p w14:paraId="065530D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1.5PW</w:t>
            </w:r>
          </w:p>
        </w:tc>
        <w:tc>
          <w:tcPr>
            <w:tcW w:w="372" w:type="pct"/>
            <w:tcBorders>
              <w:tl2br w:val="nil"/>
              <w:tr2bl w:val="nil"/>
            </w:tcBorders>
            <w:noWrap w:val="0"/>
            <w:vAlign w:val="center"/>
          </w:tcPr>
          <w:p w14:paraId="4511871F">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7B963CA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6</w:t>
            </w:r>
          </w:p>
        </w:tc>
        <w:tc>
          <w:tcPr>
            <w:tcW w:w="870" w:type="pct"/>
            <w:tcBorders>
              <w:tl2br w:val="nil"/>
              <w:tr2bl w:val="nil"/>
            </w:tcBorders>
            <w:noWrap w:val="0"/>
            <w:vAlign w:val="center"/>
          </w:tcPr>
          <w:p w14:paraId="0EEBB69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2台备用</w:t>
            </w:r>
          </w:p>
        </w:tc>
      </w:tr>
      <w:tr w14:paraId="0A6A38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6B274EC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13</w:t>
            </w:r>
          </w:p>
        </w:tc>
        <w:tc>
          <w:tcPr>
            <w:tcW w:w="1678" w:type="pct"/>
            <w:tcBorders>
              <w:tl2br w:val="nil"/>
              <w:tr2bl w:val="nil"/>
            </w:tcBorders>
            <w:noWrap w:val="0"/>
            <w:vAlign w:val="center"/>
          </w:tcPr>
          <w:p w14:paraId="13E0E15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浓缩机</w:t>
            </w:r>
          </w:p>
        </w:tc>
        <w:tc>
          <w:tcPr>
            <w:tcW w:w="1265" w:type="pct"/>
            <w:tcBorders>
              <w:tl2br w:val="nil"/>
              <w:tr2bl w:val="nil"/>
            </w:tcBorders>
            <w:noWrap w:val="0"/>
            <w:vAlign w:val="center"/>
          </w:tcPr>
          <w:p w14:paraId="147956A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NE-</w:t>
            </w:r>
            <w:r>
              <w:rPr>
                <w:rFonts w:hint="eastAsia"/>
                <w:b w:val="0"/>
                <w:color w:val="auto"/>
                <w:kern w:val="0"/>
                <w:highlight w:val="none"/>
                <w:lang w:eastAsia="zh-CN"/>
              </w:rPr>
              <w:t>12</w:t>
            </w:r>
            <w:r>
              <w:rPr>
                <w:rFonts w:hint="eastAsia"/>
                <w:b w:val="0"/>
                <w:color w:val="auto"/>
                <w:kern w:val="0"/>
                <w:highlight w:val="none"/>
              </w:rPr>
              <w:t>m</w:t>
            </w:r>
          </w:p>
        </w:tc>
        <w:tc>
          <w:tcPr>
            <w:tcW w:w="372" w:type="pct"/>
            <w:tcBorders>
              <w:tl2br w:val="nil"/>
              <w:tr2bl w:val="nil"/>
            </w:tcBorders>
            <w:noWrap w:val="0"/>
            <w:vAlign w:val="center"/>
          </w:tcPr>
          <w:p w14:paraId="72E4E81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0E35E56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870" w:type="pct"/>
            <w:tcBorders>
              <w:tl2br w:val="nil"/>
              <w:tr2bl w:val="nil"/>
            </w:tcBorders>
            <w:noWrap w:val="0"/>
            <w:vAlign w:val="center"/>
          </w:tcPr>
          <w:p w14:paraId="4631D94D">
            <w:pPr>
              <w:pStyle w:val="199"/>
              <w:autoSpaceDE w:val="0"/>
              <w:autoSpaceDN w:val="0"/>
              <w:spacing w:beforeLines="0" w:line="240" w:lineRule="auto"/>
              <w:jc w:val="center"/>
              <w:rPr>
                <w:rFonts w:hint="eastAsia"/>
                <w:b w:val="0"/>
                <w:color w:val="auto"/>
                <w:kern w:val="0"/>
                <w:highlight w:val="none"/>
                <w:lang w:eastAsia="zh-CN"/>
              </w:rPr>
            </w:pPr>
          </w:p>
        </w:tc>
      </w:tr>
      <w:tr w14:paraId="4D725D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5F48FAA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14</w:t>
            </w:r>
          </w:p>
        </w:tc>
        <w:tc>
          <w:tcPr>
            <w:tcW w:w="1678" w:type="pct"/>
            <w:tcBorders>
              <w:tl2br w:val="nil"/>
              <w:tr2bl w:val="nil"/>
            </w:tcBorders>
            <w:noWrap w:val="0"/>
            <w:vAlign w:val="center"/>
          </w:tcPr>
          <w:p w14:paraId="76616F7D">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圆盘真空过滤机</w:t>
            </w:r>
          </w:p>
        </w:tc>
        <w:tc>
          <w:tcPr>
            <w:tcW w:w="1265" w:type="pct"/>
            <w:tcBorders>
              <w:tl2br w:val="nil"/>
              <w:tr2bl w:val="nil"/>
            </w:tcBorders>
            <w:noWrap w:val="0"/>
            <w:vAlign w:val="center"/>
          </w:tcPr>
          <w:p w14:paraId="41C4DB39">
            <w:pPr>
              <w:pStyle w:val="199"/>
              <w:autoSpaceDE w:val="0"/>
              <w:autoSpaceDN w:val="0"/>
              <w:spacing w:beforeLines="0" w:line="240" w:lineRule="auto"/>
              <w:jc w:val="center"/>
              <w:rPr>
                <w:rFonts w:hint="eastAsia"/>
                <w:b w:val="0"/>
                <w:color w:val="auto"/>
                <w:kern w:val="0"/>
                <w:highlight w:val="none"/>
                <w:lang w:eastAsia="zh-CN"/>
              </w:rPr>
            </w:pPr>
            <w:r>
              <w:rPr>
                <w:rFonts w:hint="eastAsia"/>
                <w:b w:val="0"/>
                <w:color w:val="auto"/>
                <w:kern w:val="0"/>
                <w:highlight w:val="none"/>
                <w:lang w:eastAsia="zh-CN"/>
              </w:rPr>
              <w:t>40平方</w:t>
            </w:r>
          </w:p>
        </w:tc>
        <w:tc>
          <w:tcPr>
            <w:tcW w:w="372" w:type="pct"/>
            <w:tcBorders>
              <w:tl2br w:val="nil"/>
              <w:tr2bl w:val="nil"/>
            </w:tcBorders>
            <w:noWrap w:val="0"/>
            <w:vAlign w:val="center"/>
          </w:tcPr>
          <w:p w14:paraId="65B8A73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63F27080">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w:t>
            </w:r>
          </w:p>
        </w:tc>
        <w:tc>
          <w:tcPr>
            <w:tcW w:w="870" w:type="pct"/>
            <w:tcBorders>
              <w:tl2br w:val="nil"/>
              <w:tr2bl w:val="nil"/>
            </w:tcBorders>
            <w:noWrap w:val="0"/>
            <w:vAlign w:val="center"/>
          </w:tcPr>
          <w:p w14:paraId="14131249">
            <w:pPr>
              <w:pStyle w:val="199"/>
              <w:autoSpaceDE w:val="0"/>
              <w:autoSpaceDN w:val="0"/>
              <w:spacing w:beforeLines="0" w:line="240" w:lineRule="auto"/>
              <w:jc w:val="center"/>
              <w:rPr>
                <w:rFonts w:hint="eastAsia"/>
                <w:b w:val="0"/>
                <w:color w:val="auto"/>
                <w:kern w:val="0"/>
                <w:highlight w:val="none"/>
                <w:lang w:eastAsia="zh-CN"/>
              </w:rPr>
            </w:pPr>
          </w:p>
        </w:tc>
      </w:tr>
      <w:tr w14:paraId="5FE6FD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69C7D57B">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15</w:t>
            </w:r>
          </w:p>
        </w:tc>
        <w:tc>
          <w:tcPr>
            <w:tcW w:w="1678" w:type="pct"/>
            <w:tcBorders>
              <w:tl2br w:val="nil"/>
              <w:tr2bl w:val="nil"/>
            </w:tcBorders>
            <w:noWrap w:val="0"/>
            <w:vAlign w:val="center"/>
          </w:tcPr>
          <w:p w14:paraId="28813FC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行车</w:t>
            </w:r>
          </w:p>
        </w:tc>
        <w:tc>
          <w:tcPr>
            <w:tcW w:w="1265" w:type="pct"/>
            <w:tcBorders>
              <w:tl2br w:val="nil"/>
              <w:tr2bl w:val="nil"/>
            </w:tcBorders>
            <w:noWrap w:val="0"/>
            <w:vAlign w:val="center"/>
          </w:tcPr>
          <w:p w14:paraId="1EC62C1A">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2T</w:t>
            </w:r>
          </w:p>
        </w:tc>
        <w:tc>
          <w:tcPr>
            <w:tcW w:w="372" w:type="pct"/>
            <w:tcBorders>
              <w:tl2br w:val="nil"/>
              <w:tr2bl w:val="nil"/>
            </w:tcBorders>
            <w:noWrap w:val="0"/>
            <w:vAlign w:val="center"/>
          </w:tcPr>
          <w:p w14:paraId="725BE9B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台</w:t>
            </w:r>
          </w:p>
        </w:tc>
        <w:tc>
          <w:tcPr>
            <w:tcW w:w="440" w:type="pct"/>
            <w:tcBorders>
              <w:tl2br w:val="nil"/>
              <w:tr2bl w:val="nil"/>
            </w:tcBorders>
            <w:noWrap w:val="0"/>
            <w:vAlign w:val="center"/>
          </w:tcPr>
          <w:p w14:paraId="789A2622">
            <w:pPr>
              <w:pStyle w:val="199"/>
              <w:autoSpaceDE w:val="0"/>
              <w:autoSpaceDN w:val="0"/>
              <w:spacing w:beforeLines="0" w:line="240" w:lineRule="auto"/>
              <w:jc w:val="center"/>
              <w:rPr>
                <w:rFonts w:hint="default"/>
                <w:b w:val="0"/>
                <w:color w:val="auto"/>
                <w:kern w:val="0"/>
                <w:highlight w:val="none"/>
                <w:lang w:val="en-US" w:eastAsia="zh-CN"/>
              </w:rPr>
            </w:pPr>
            <w:r>
              <w:rPr>
                <w:rFonts w:hint="eastAsia"/>
                <w:b w:val="0"/>
                <w:color w:val="auto"/>
                <w:kern w:val="0"/>
                <w:highlight w:val="none"/>
                <w:lang w:val="en-US" w:eastAsia="zh-CN"/>
              </w:rPr>
              <w:t>1</w:t>
            </w:r>
          </w:p>
        </w:tc>
        <w:tc>
          <w:tcPr>
            <w:tcW w:w="870" w:type="pct"/>
            <w:tcBorders>
              <w:tl2br w:val="nil"/>
              <w:tr2bl w:val="nil"/>
            </w:tcBorders>
            <w:noWrap w:val="0"/>
            <w:vAlign w:val="center"/>
          </w:tcPr>
          <w:p w14:paraId="69490025">
            <w:pPr>
              <w:pStyle w:val="199"/>
              <w:autoSpaceDE w:val="0"/>
              <w:autoSpaceDN w:val="0"/>
              <w:spacing w:beforeLines="0" w:line="240" w:lineRule="auto"/>
              <w:jc w:val="center"/>
              <w:rPr>
                <w:rFonts w:hint="eastAsia"/>
                <w:b w:val="0"/>
                <w:color w:val="auto"/>
                <w:kern w:val="0"/>
                <w:highlight w:val="none"/>
                <w:lang w:eastAsia="zh-CN"/>
              </w:rPr>
            </w:pPr>
          </w:p>
        </w:tc>
      </w:tr>
      <w:tr w14:paraId="596214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47109E8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16</w:t>
            </w:r>
          </w:p>
        </w:tc>
        <w:tc>
          <w:tcPr>
            <w:tcW w:w="1678" w:type="pct"/>
            <w:tcBorders>
              <w:tl2br w:val="nil"/>
              <w:tr2bl w:val="nil"/>
            </w:tcBorders>
            <w:noWrap w:val="0"/>
            <w:vAlign w:val="center"/>
          </w:tcPr>
          <w:p w14:paraId="6C543B28">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潜水泵</w:t>
            </w:r>
          </w:p>
        </w:tc>
        <w:tc>
          <w:tcPr>
            <w:tcW w:w="1265" w:type="pct"/>
            <w:tcBorders>
              <w:tl2br w:val="nil"/>
              <w:tr2bl w:val="nil"/>
            </w:tcBorders>
            <w:noWrap w:val="0"/>
            <w:vAlign w:val="center"/>
          </w:tcPr>
          <w:p w14:paraId="363E6F0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18</w:t>
            </w:r>
            <w:r>
              <w:rPr>
                <w:color w:val="auto"/>
                <w:highlight w:val="none"/>
              </w:rPr>
              <w:t>×</w:t>
            </w:r>
            <w:r>
              <w:rPr>
                <w:rFonts w:hint="eastAsia"/>
                <w:b w:val="0"/>
                <w:color w:val="auto"/>
                <w:kern w:val="0"/>
                <w:highlight w:val="none"/>
              </w:rPr>
              <w:t>80</w:t>
            </w:r>
          </w:p>
        </w:tc>
        <w:tc>
          <w:tcPr>
            <w:tcW w:w="372" w:type="pct"/>
            <w:tcBorders>
              <w:tl2br w:val="nil"/>
              <w:tr2bl w:val="nil"/>
            </w:tcBorders>
            <w:noWrap w:val="0"/>
            <w:vAlign w:val="center"/>
          </w:tcPr>
          <w:p w14:paraId="6B4D721D">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台</w:t>
            </w:r>
          </w:p>
        </w:tc>
        <w:tc>
          <w:tcPr>
            <w:tcW w:w="440" w:type="pct"/>
            <w:tcBorders>
              <w:tl2br w:val="nil"/>
              <w:tr2bl w:val="nil"/>
            </w:tcBorders>
            <w:noWrap w:val="0"/>
            <w:vAlign w:val="center"/>
          </w:tcPr>
          <w:p w14:paraId="5ABCC92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2</w:t>
            </w:r>
          </w:p>
        </w:tc>
        <w:tc>
          <w:tcPr>
            <w:tcW w:w="870" w:type="pct"/>
            <w:tcBorders>
              <w:tl2br w:val="nil"/>
              <w:tr2bl w:val="nil"/>
            </w:tcBorders>
            <w:noWrap w:val="0"/>
            <w:vAlign w:val="center"/>
          </w:tcPr>
          <w:p w14:paraId="05D9BCAE">
            <w:pPr>
              <w:pStyle w:val="199"/>
              <w:autoSpaceDE w:val="0"/>
              <w:autoSpaceDN w:val="0"/>
              <w:spacing w:beforeLines="0" w:line="240" w:lineRule="auto"/>
              <w:jc w:val="center"/>
              <w:rPr>
                <w:rFonts w:hint="eastAsia"/>
                <w:b w:val="0"/>
                <w:color w:val="auto"/>
                <w:kern w:val="0"/>
                <w:highlight w:val="none"/>
                <w:lang w:eastAsia="zh-CN"/>
              </w:rPr>
            </w:pPr>
          </w:p>
        </w:tc>
      </w:tr>
      <w:tr w14:paraId="797296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2984FA88">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17</w:t>
            </w:r>
          </w:p>
        </w:tc>
        <w:tc>
          <w:tcPr>
            <w:tcW w:w="1678" w:type="pct"/>
            <w:tcBorders>
              <w:tl2br w:val="nil"/>
              <w:tr2bl w:val="nil"/>
            </w:tcBorders>
            <w:noWrap w:val="0"/>
            <w:vAlign w:val="center"/>
          </w:tcPr>
          <w:p w14:paraId="54A9057B">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交流弧焊机</w:t>
            </w:r>
          </w:p>
        </w:tc>
        <w:tc>
          <w:tcPr>
            <w:tcW w:w="1265" w:type="pct"/>
            <w:tcBorders>
              <w:tl2br w:val="nil"/>
              <w:tr2bl w:val="nil"/>
            </w:tcBorders>
            <w:noWrap w:val="0"/>
            <w:vAlign w:val="center"/>
          </w:tcPr>
          <w:p w14:paraId="1F87D1C4">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BX-500-1</w:t>
            </w:r>
          </w:p>
        </w:tc>
        <w:tc>
          <w:tcPr>
            <w:tcW w:w="372" w:type="pct"/>
            <w:tcBorders>
              <w:tl2br w:val="nil"/>
              <w:tr2bl w:val="nil"/>
            </w:tcBorders>
            <w:noWrap w:val="0"/>
            <w:vAlign w:val="center"/>
          </w:tcPr>
          <w:p w14:paraId="7269FDC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台</w:t>
            </w:r>
          </w:p>
        </w:tc>
        <w:tc>
          <w:tcPr>
            <w:tcW w:w="440" w:type="pct"/>
            <w:tcBorders>
              <w:tl2br w:val="nil"/>
              <w:tr2bl w:val="nil"/>
            </w:tcBorders>
            <w:noWrap w:val="0"/>
            <w:vAlign w:val="center"/>
          </w:tcPr>
          <w:p w14:paraId="0D7FD973">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2</w:t>
            </w:r>
          </w:p>
        </w:tc>
        <w:tc>
          <w:tcPr>
            <w:tcW w:w="870" w:type="pct"/>
            <w:tcBorders>
              <w:tl2br w:val="nil"/>
              <w:tr2bl w:val="nil"/>
            </w:tcBorders>
            <w:noWrap w:val="0"/>
            <w:vAlign w:val="center"/>
          </w:tcPr>
          <w:p w14:paraId="4AFEEDA4">
            <w:pPr>
              <w:pStyle w:val="199"/>
              <w:autoSpaceDE w:val="0"/>
              <w:autoSpaceDN w:val="0"/>
              <w:spacing w:beforeLines="0" w:line="240" w:lineRule="auto"/>
              <w:jc w:val="center"/>
              <w:rPr>
                <w:rFonts w:hint="eastAsia"/>
                <w:b w:val="0"/>
                <w:color w:val="auto"/>
                <w:kern w:val="0"/>
                <w:highlight w:val="none"/>
                <w:lang w:eastAsia="zh-CN"/>
              </w:rPr>
            </w:pPr>
          </w:p>
        </w:tc>
      </w:tr>
      <w:tr w14:paraId="549955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7B50967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18</w:t>
            </w:r>
          </w:p>
        </w:tc>
        <w:tc>
          <w:tcPr>
            <w:tcW w:w="1678" w:type="pct"/>
            <w:tcBorders>
              <w:tl2br w:val="nil"/>
              <w:tr2bl w:val="nil"/>
            </w:tcBorders>
            <w:noWrap w:val="0"/>
            <w:vAlign w:val="center"/>
          </w:tcPr>
          <w:p w14:paraId="0CD9AB0D">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板框压滤机</w:t>
            </w:r>
          </w:p>
        </w:tc>
        <w:tc>
          <w:tcPr>
            <w:tcW w:w="1265" w:type="pct"/>
            <w:tcBorders>
              <w:tl2br w:val="nil"/>
              <w:tr2bl w:val="nil"/>
            </w:tcBorders>
            <w:noWrap w:val="0"/>
            <w:vAlign w:val="center"/>
          </w:tcPr>
          <w:p w14:paraId="3960BBB7">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600平方</w:t>
            </w:r>
          </w:p>
        </w:tc>
        <w:tc>
          <w:tcPr>
            <w:tcW w:w="372" w:type="pct"/>
            <w:tcBorders>
              <w:tl2br w:val="nil"/>
              <w:tr2bl w:val="nil"/>
            </w:tcBorders>
            <w:noWrap w:val="0"/>
            <w:vAlign w:val="center"/>
          </w:tcPr>
          <w:p w14:paraId="6EBA0FD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台</w:t>
            </w:r>
          </w:p>
        </w:tc>
        <w:tc>
          <w:tcPr>
            <w:tcW w:w="440" w:type="pct"/>
            <w:tcBorders>
              <w:tl2br w:val="nil"/>
              <w:tr2bl w:val="nil"/>
            </w:tcBorders>
            <w:noWrap w:val="0"/>
            <w:vAlign w:val="center"/>
          </w:tcPr>
          <w:p w14:paraId="56770753">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1</w:t>
            </w:r>
          </w:p>
        </w:tc>
        <w:tc>
          <w:tcPr>
            <w:tcW w:w="870" w:type="pct"/>
            <w:tcBorders>
              <w:tl2br w:val="nil"/>
              <w:tr2bl w:val="nil"/>
            </w:tcBorders>
            <w:noWrap w:val="0"/>
            <w:vAlign w:val="center"/>
          </w:tcPr>
          <w:p w14:paraId="258088F6">
            <w:pPr>
              <w:pStyle w:val="199"/>
              <w:autoSpaceDE w:val="0"/>
              <w:autoSpaceDN w:val="0"/>
              <w:spacing w:beforeLines="0" w:line="240" w:lineRule="auto"/>
              <w:jc w:val="center"/>
              <w:rPr>
                <w:rFonts w:hint="eastAsia"/>
                <w:b w:val="0"/>
                <w:color w:val="auto"/>
                <w:kern w:val="0"/>
                <w:highlight w:val="none"/>
                <w:lang w:eastAsia="zh-CN"/>
              </w:rPr>
            </w:pPr>
          </w:p>
        </w:tc>
      </w:tr>
      <w:tr w14:paraId="51B427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09A5DFB5">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19</w:t>
            </w:r>
          </w:p>
        </w:tc>
        <w:tc>
          <w:tcPr>
            <w:tcW w:w="1678" w:type="pct"/>
            <w:tcBorders>
              <w:tl2br w:val="nil"/>
              <w:tr2bl w:val="nil"/>
            </w:tcBorders>
            <w:noWrap w:val="0"/>
            <w:vAlign w:val="center"/>
          </w:tcPr>
          <w:p w14:paraId="4F7B12B6">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泡沫泵</w:t>
            </w:r>
          </w:p>
        </w:tc>
        <w:tc>
          <w:tcPr>
            <w:tcW w:w="1265" w:type="pct"/>
            <w:tcBorders>
              <w:tl2br w:val="nil"/>
              <w:tr2bl w:val="nil"/>
            </w:tcBorders>
            <w:noWrap w:val="0"/>
            <w:vAlign w:val="center"/>
          </w:tcPr>
          <w:p w14:paraId="4EE108AB">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cs="Times New Roman"/>
                <w:b w:val="0"/>
                <w:color w:val="auto"/>
                <w:kern w:val="0"/>
                <w:sz w:val="21"/>
                <w:szCs w:val="24"/>
                <w:highlight w:val="none"/>
                <w:lang w:val="en-US" w:eastAsia="zh-CN" w:bidi="ar-SA"/>
              </w:rPr>
              <w:t>/</w:t>
            </w:r>
          </w:p>
        </w:tc>
        <w:tc>
          <w:tcPr>
            <w:tcW w:w="372" w:type="pct"/>
            <w:tcBorders>
              <w:tl2br w:val="nil"/>
              <w:tr2bl w:val="nil"/>
            </w:tcBorders>
            <w:noWrap w:val="0"/>
            <w:vAlign w:val="center"/>
          </w:tcPr>
          <w:p w14:paraId="46516A20">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台</w:t>
            </w:r>
          </w:p>
        </w:tc>
        <w:tc>
          <w:tcPr>
            <w:tcW w:w="440" w:type="pct"/>
            <w:tcBorders>
              <w:tl2br w:val="nil"/>
              <w:tr2bl w:val="nil"/>
            </w:tcBorders>
            <w:noWrap w:val="0"/>
            <w:vAlign w:val="center"/>
          </w:tcPr>
          <w:p w14:paraId="55EEAFD4">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2</w:t>
            </w:r>
          </w:p>
        </w:tc>
        <w:tc>
          <w:tcPr>
            <w:tcW w:w="870" w:type="pct"/>
            <w:tcBorders>
              <w:tl2br w:val="nil"/>
              <w:tr2bl w:val="nil"/>
            </w:tcBorders>
            <w:noWrap w:val="0"/>
            <w:vAlign w:val="center"/>
          </w:tcPr>
          <w:p w14:paraId="5A25EA72">
            <w:pPr>
              <w:pStyle w:val="199"/>
              <w:autoSpaceDE w:val="0"/>
              <w:autoSpaceDN w:val="0"/>
              <w:spacing w:beforeLines="0" w:line="240" w:lineRule="auto"/>
              <w:jc w:val="center"/>
              <w:rPr>
                <w:rFonts w:hint="eastAsia"/>
                <w:b w:val="0"/>
                <w:color w:val="auto"/>
                <w:kern w:val="0"/>
                <w:highlight w:val="none"/>
                <w:lang w:eastAsia="zh-CN"/>
              </w:rPr>
            </w:pPr>
          </w:p>
        </w:tc>
      </w:tr>
      <w:tr w14:paraId="5C7AE4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6A5DA014">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20</w:t>
            </w:r>
          </w:p>
        </w:tc>
        <w:tc>
          <w:tcPr>
            <w:tcW w:w="1678" w:type="pct"/>
            <w:tcBorders>
              <w:tl2br w:val="nil"/>
              <w:tr2bl w:val="nil"/>
            </w:tcBorders>
            <w:noWrap w:val="0"/>
            <w:vAlign w:val="center"/>
          </w:tcPr>
          <w:p w14:paraId="517FCD33">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渣浆泵</w:t>
            </w:r>
          </w:p>
        </w:tc>
        <w:tc>
          <w:tcPr>
            <w:tcW w:w="1265" w:type="pct"/>
            <w:tcBorders>
              <w:tl2br w:val="nil"/>
              <w:tr2bl w:val="nil"/>
            </w:tcBorders>
            <w:noWrap w:val="0"/>
            <w:vAlign w:val="center"/>
          </w:tcPr>
          <w:p w14:paraId="2B54618D">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cs="Times New Roman"/>
                <w:b w:val="0"/>
                <w:color w:val="auto"/>
                <w:kern w:val="0"/>
                <w:sz w:val="21"/>
                <w:szCs w:val="24"/>
                <w:highlight w:val="none"/>
                <w:lang w:val="en-US" w:eastAsia="zh-CN" w:bidi="ar-SA"/>
              </w:rPr>
              <w:t>/</w:t>
            </w:r>
          </w:p>
        </w:tc>
        <w:tc>
          <w:tcPr>
            <w:tcW w:w="372" w:type="pct"/>
            <w:tcBorders>
              <w:tl2br w:val="nil"/>
              <w:tr2bl w:val="nil"/>
            </w:tcBorders>
            <w:noWrap w:val="0"/>
            <w:vAlign w:val="center"/>
          </w:tcPr>
          <w:p w14:paraId="52C59E7B">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台</w:t>
            </w:r>
          </w:p>
        </w:tc>
        <w:tc>
          <w:tcPr>
            <w:tcW w:w="440" w:type="pct"/>
            <w:tcBorders>
              <w:tl2br w:val="nil"/>
              <w:tr2bl w:val="nil"/>
            </w:tcBorders>
            <w:noWrap w:val="0"/>
            <w:vAlign w:val="center"/>
          </w:tcPr>
          <w:p w14:paraId="26C549FE">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3</w:t>
            </w:r>
          </w:p>
        </w:tc>
        <w:tc>
          <w:tcPr>
            <w:tcW w:w="870" w:type="pct"/>
            <w:tcBorders>
              <w:tl2br w:val="nil"/>
              <w:tr2bl w:val="nil"/>
            </w:tcBorders>
            <w:noWrap w:val="0"/>
            <w:vAlign w:val="center"/>
          </w:tcPr>
          <w:p w14:paraId="79007475">
            <w:pPr>
              <w:pStyle w:val="199"/>
              <w:autoSpaceDE w:val="0"/>
              <w:autoSpaceDN w:val="0"/>
              <w:spacing w:beforeLines="0" w:line="240" w:lineRule="auto"/>
              <w:jc w:val="center"/>
              <w:rPr>
                <w:rFonts w:hint="eastAsia"/>
                <w:b w:val="0"/>
                <w:color w:val="auto"/>
                <w:kern w:val="0"/>
                <w:highlight w:val="none"/>
                <w:lang w:eastAsia="zh-CN"/>
              </w:rPr>
            </w:pPr>
          </w:p>
        </w:tc>
      </w:tr>
      <w:tr w14:paraId="77859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32B58393">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21</w:t>
            </w:r>
          </w:p>
        </w:tc>
        <w:tc>
          <w:tcPr>
            <w:tcW w:w="1678" w:type="pct"/>
            <w:tcBorders>
              <w:tl2br w:val="nil"/>
              <w:tr2bl w:val="nil"/>
            </w:tcBorders>
            <w:noWrap w:val="0"/>
            <w:vAlign w:val="center"/>
          </w:tcPr>
          <w:p w14:paraId="166645F8">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轮胎式</w:t>
            </w:r>
            <w:r>
              <w:rPr>
                <w:rFonts w:hint="eastAsia"/>
                <w:b w:val="0"/>
                <w:color w:val="auto"/>
                <w:kern w:val="0"/>
                <w:highlight w:val="none"/>
                <w:lang w:eastAsia="zh-CN"/>
              </w:rPr>
              <w:t>装</w:t>
            </w:r>
            <w:r>
              <w:rPr>
                <w:rFonts w:hint="eastAsia"/>
                <w:b w:val="0"/>
                <w:color w:val="auto"/>
                <w:kern w:val="0"/>
                <w:highlight w:val="none"/>
              </w:rPr>
              <w:t>载机</w:t>
            </w:r>
          </w:p>
        </w:tc>
        <w:tc>
          <w:tcPr>
            <w:tcW w:w="1265" w:type="pct"/>
            <w:tcBorders>
              <w:tl2br w:val="nil"/>
              <w:tr2bl w:val="nil"/>
            </w:tcBorders>
            <w:noWrap w:val="0"/>
            <w:vAlign w:val="center"/>
          </w:tcPr>
          <w:p w14:paraId="7E7B836B">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L955F</w:t>
            </w:r>
          </w:p>
        </w:tc>
        <w:tc>
          <w:tcPr>
            <w:tcW w:w="372" w:type="pct"/>
            <w:tcBorders>
              <w:tl2br w:val="nil"/>
              <w:tr2bl w:val="nil"/>
            </w:tcBorders>
            <w:noWrap w:val="0"/>
            <w:vAlign w:val="center"/>
          </w:tcPr>
          <w:p w14:paraId="6BA0E606">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辆</w:t>
            </w:r>
          </w:p>
        </w:tc>
        <w:tc>
          <w:tcPr>
            <w:tcW w:w="440" w:type="pct"/>
            <w:tcBorders>
              <w:tl2br w:val="nil"/>
              <w:tr2bl w:val="nil"/>
            </w:tcBorders>
            <w:noWrap w:val="0"/>
            <w:vAlign w:val="center"/>
          </w:tcPr>
          <w:p w14:paraId="58A6F875">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w:t>
            </w:r>
          </w:p>
        </w:tc>
        <w:tc>
          <w:tcPr>
            <w:tcW w:w="870" w:type="pct"/>
            <w:tcBorders>
              <w:tl2br w:val="nil"/>
              <w:tr2bl w:val="nil"/>
            </w:tcBorders>
            <w:noWrap w:val="0"/>
            <w:vAlign w:val="center"/>
          </w:tcPr>
          <w:p w14:paraId="4CFC8C42">
            <w:pPr>
              <w:pStyle w:val="199"/>
              <w:autoSpaceDE w:val="0"/>
              <w:autoSpaceDN w:val="0"/>
              <w:spacing w:beforeLines="0" w:line="240" w:lineRule="auto"/>
              <w:jc w:val="center"/>
              <w:rPr>
                <w:rFonts w:hint="eastAsia"/>
                <w:b w:val="0"/>
                <w:color w:val="auto"/>
                <w:kern w:val="0"/>
                <w:highlight w:val="none"/>
                <w:lang w:eastAsia="zh-CN"/>
              </w:rPr>
            </w:pPr>
          </w:p>
        </w:tc>
      </w:tr>
      <w:tr w14:paraId="678DF5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7BB0B192">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22</w:t>
            </w:r>
          </w:p>
        </w:tc>
        <w:tc>
          <w:tcPr>
            <w:tcW w:w="1678" w:type="pct"/>
            <w:tcBorders>
              <w:tl2br w:val="nil"/>
              <w:tr2bl w:val="nil"/>
            </w:tcBorders>
            <w:noWrap w:val="0"/>
            <w:vAlign w:val="center"/>
          </w:tcPr>
          <w:p w14:paraId="2D1A73E2">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轮胎式</w:t>
            </w:r>
            <w:r>
              <w:rPr>
                <w:rFonts w:hint="eastAsia"/>
                <w:b w:val="0"/>
                <w:color w:val="auto"/>
                <w:kern w:val="0"/>
                <w:highlight w:val="none"/>
                <w:lang w:eastAsia="zh-CN"/>
              </w:rPr>
              <w:t>装</w:t>
            </w:r>
            <w:r>
              <w:rPr>
                <w:rFonts w:hint="eastAsia"/>
                <w:b w:val="0"/>
                <w:color w:val="auto"/>
                <w:kern w:val="0"/>
                <w:highlight w:val="none"/>
              </w:rPr>
              <w:t>载机</w:t>
            </w:r>
          </w:p>
        </w:tc>
        <w:tc>
          <w:tcPr>
            <w:tcW w:w="1265" w:type="pct"/>
            <w:tcBorders>
              <w:tl2br w:val="nil"/>
              <w:tr2bl w:val="nil"/>
            </w:tcBorders>
            <w:noWrap w:val="0"/>
            <w:vAlign w:val="center"/>
          </w:tcPr>
          <w:p w14:paraId="2692B759">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ZL50E</w:t>
            </w:r>
          </w:p>
        </w:tc>
        <w:tc>
          <w:tcPr>
            <w:tcW w:w="372" w:type="pct"/>
            <w:tcBorders>
              <w:tl2br w:val="nil"/>
              <w:tr2bl w:val="nil"/>
            </w:tcBorders>
            <w:noWrap w:val="0"/>
            <w:vAlign w:val="center"/>
          </w:tcPr>
          <w:p w14:paraId="0108663B">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辆</w:t>
            </w:r>
          </w:p>
        </w:tc>
        <w:tc>
          <w:tcPr>
            <w:tcW w:w="440" w:type="pct"/>
            <w:tcBorders>
              <w:tl2br w:val="nil"/>
              <w:tr2bl w:val="nil"/>
            </w:tcBorders>
            <w:noWrap w:val="0"/>
            <w:vAlign w:val="center"/>
          </w:tcPr>
          <w:p w14:paraId="2C8787B4">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w:t>
            </w:r>
          </w:p>
        </w:tc>
        <w:tc>
          <w:tcPr>
            <w:tcW w:w="870" w:type="pct"/>
            <w:tcBorders>
              <w:tl2br w:val="nil"/>
              <w:tr2bl w:val="nil"/>
            </w:tcBorders>
            <w:noWrap w:val="0"/>
            <w:vAlign w:val="center"/>
          </w:tcPr>
          <w:p w14:paraId="0E992118">
            <w:pPr>
              <w:pStyle w:val="199"/>
              <w:autoSpaceDE w:val="0"/>
              <w:autoSpaceDN w:val="0"/>
              <w:spacing w:beforeLines="0" w:line="240" w:lineRule="auto"/>
              <w:jc w:val="center"/>
              <w:rPr>
                <w:rFonts w:hint="eastAsia"/>
                <w:b w:val="0"/>
                <w:color w:val="auto"/>
                <w:kern w:val="0"/>
                <w:highlight w:val="none"/>
                <w:lang w:eastAsia="zh-CN"/>
              </w:rPr>
            </w:pPr>
          </w:p>
        </w:tc>
      </w:tr>
      <w:tr w14:paraId="752E82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7C8AD949">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23</w:t>
            </w:r>
          </w:p>
        </w:tc>
        <w:tc>
          <w:tcPr>
            <w:tcW w:w="1678" w:type="pct"/>
            <w:tcBorders>
              <w:tl2br w:val="nil"/>
              <w:tr2bl w:val="nil"/>
            </w:tcBorders>
            <w:noWrap w:val="0"/>
            <w:vAlign w:val="center"/>
          </w:tcPr>
          <w:p w14:paraId="1FCBA65E">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轮胎式</w:t>
            </w:r>
            <w:r>
              <w:rPr>
                <w:rFonts w:hint="eastAsia"/>
                <w:b w:val="0"/>
                <w:color w:val="auto"/>
                <w:kern w:val="0"/>
                <w:highlight w:val="none"/>
                <w:lang w:eastAsia="zh-CN"/>
              </w:rPr>
              <w:t>装</w:t>
            </w:r>
            <w:r>
              <w:rPr>
                <w:rFonts w:hint="eastAsia"/>
                <w:b w:val="0"/>
                <w:color w:val="auto"/>
                <w:kern w:val="0"/>
                <w:highlight w:val="none"/>
              </w:rPr>
              <w:t>载机</w:t>
            </w:r>
          </w:p>
        </w:tc>
        <w:tc>
          <w:tcPr>
            <w:tcW w:w="1265" w:type="pct"/>
            <w:tcBorders>
              <w:tl2br w:val="nil"/>
              <w:tr2bl w:val="nil"/>
            </w:tcBorders>
            <w:noWrap w:val="0"/>
            <w:vAlign w:val="center"/>
          </w:tcPr>
          <w:p w14:paraId="5967C575">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LG953</w:t>
            </w:r>
          </w:p>
        </w:tc>
        <w:tc>
          <w:tcPr>
            <w:tcW w:w="372" w:type="pct"/>
            <w:tcBorders>
              <w:tl2br w:val="nil"/>
              <w:tr2bl w:val="nil"/>
            </w:tcBorders>
            <w:noWrap w:val="0"/>
            <w:vAlign w:val="center"/>
          </w:tcPr>
          <w:p w14:paraId="4A8951CE">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辆</w:t>
            </w:r>
          </w:p>
        </w:tc>
        <w:tc>
          <w:tcPr>
            <w:tcW w:w="440" w:type="pct"/>
            <w:tcBorders>
              <w:tl2br w:val="nil"/>
              <w:tr2bl w:val="nil"/>
            </w:tcBorders>
            <w:noWrap w:val="0"/>
            <w:vAlign w:val="center"/>
          </w:tcPr>
          <w:p w14:paraId="23FE75B5">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w:t>
            </w:r>
          </w:p>
        </w:tc>
        <w:tc>
          <w:tcPr>
            <w:tcW w:w="870" w:type="pct"/>
            <w:tcBorders>
              <w:tl2br w:val="nil"/>
              <w:tr2bl w:val="nil"/>
            </w:tcBorders>
            <w:noWrap w:val="0"/>
            <w:vAlign w:val="center"/>
          </w:tcPr>
          <w:p w14:paraId="62193F4E">
            <w:pPr>
              <w:pStyle w:val="199"/>
              <w:autoSpaceDE w:val="0"/>
              <w:autoSpaceDN w:val="0"/>
              <w:spacing w:beforeLines="0" w:line="240" w:lineRule="auto"/>
              <w:jc w:val="center"/>
              <w:rPr>
                <w:rFonts w:hint="eastAsia"/>
                <w:b w:val="0"/>
                <w:color w:val="auto"/>
                <w:kern w:val="0"/>
                <w:highlight w:val="none"/>
                <w:lang w:eastAsia="zh-CN"/>
              </w:rPr>
            </w:pPr>
          </w:p>
        </w:tc>
      </w:tr>
      <w:tr w14:paraId="4A059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1E20A867">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24</w:t>
            </w:r>
          </w:p>
        </w:tc>
        <w:tc>
          <w:tcPr>
            <w:tcW w:w="1678" w:type="pct"/>
            <w:tcBorders>
              <w:tl2br w:val="nil"/>
              <w:tr2bl w:val="nil"/>
            </w:tcBorders>
            <w:noWrap w:val="0"/>
            <w:vAlign w:val="center"/>
          </w:tcPr>
          <w:p w14:paraId="573DDF4E">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变压器</w:t>
            </w:r>
          </w:p>
        </w:tc>
        <w:tc>
          <w:tcPr>
            <w:tcW w:w="1265" w:type="pct"/>
            <w:tcBorders>
              <w:tl2br w:val="nil"/>
              <w:tr2bl w:val="nil"/>
            </w:tcBorders>
            <w:noWrap w:val="0"/>
            <w:vAlign w:val="center"/>
          </w:tcPr>
          <w:p w14:paraId="442BA3B3">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16</w:t>
            </w:r>
            <w:r>
              <w:rPr>
                <w:rFonts w:hint="eastAsia"/>
                <w:b w:val="0"/>
                <w:color w:val="auto"/>
                <w:kern w:val="0"/>
                <w:highlight w:val="none"/>
              </w:rPr>
              <w:t>00KVA</w:t>
            </w:r>
          </w:p>
        </w:tc>
        <w:tc>
          <w:tcPr>
            <w:tcW w:w="372" w:type="pct"/>
            <w:tcBorders>
              <w:tl2br w:val="nil"/>
              <w:tr2bl w:val="nil"/>
            </w:tcBorders>
            <w:noWrap w:val="0"/>
            <w:vAlign w:val="center"/>
          </w:tcPr>
          <w:p w14:paraId="67D0D9AB">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val="en-US" w:eastAsia="zh-CN"/>
              </w:rPr>
              <w:t>座</w:t>
            </w:r>
          </w:p>
        </w:tc>
        <w:tc>
          <w:tcPr>
            <w:tcW w:w="440" w:type="pct"/>
            <w:tcBorders>
              <w:tl2br w:val="nil"/>
              <w:tr2bl w:val="nil"/>
            </w:tcBorders>
            <w:noWrap w:val="0"/>
            <w:vAlign w:val="center"/>
          </w:tcPr>
          <w:p w14:paraId="4B1F7515">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w:t>
            </w:r>
          </w:p>
        </w:tc>
        <w:tc>
          <w:tcPr>
            <w:tcW w:w="870" w:type="pct"/>
            <w:tcBorders>
              <w:tl2br w:val="nil"/>
              <w:tr2bl w:val="nil"/>
            </w:tcBorders>
            <w:noWrap w:val="0"/>
            <w:vAlign w:val="center"/>
          </w:tcPr>
          <w:p w14:paraId="72E5B427">
            <w:pPr>
              <w:pStyle w:val="199"/>
              <w:autoSpaceDE w:val="0"/>
              <w:autoSpaceDN w:val="0"/>
              <w:spacing w:beforeLines="0" w:line="240" w:lineRule="auto"/>
              <w:jc w:val="center"/>
              <w:rPr>
                <w:rFonts w:hint="eastAsia"/>
                <w:b w:val="0"/>
                <w:color w:val="auto"/>
                <w:kern w:val="0"/>
                <w:highlight w:val="none"/>
                <w:lang w:eastAsia="zh-CN"/>
              </w:rPr>
            </w:pPr>
          </w:p>
        </w:tc>
      </w:tr>
      <w:tr w14:paraId="718406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3CA9D71C">
            <w:pPr>
              <w:pStyle w:val="199"/>
              <w:autoSpaceDE w:val="0"/>
              <w:autoSpaceDN w:val="0"/>
              <w:spacing w:beforeLines="0" w:line="240" w:lineRule="auto"/>
              <w:jc w:val="center"/>
              <w:rPr>
                <w:rFonts w:hint="eastAsia"/>
                <w:b w:val="0"/>
                <w:color w:val="auto"/>
                <w:kern w:val="0"/>
                <w:highlight w:val="none"/>
              </w:rPr>
            </w:pPr>
            <w:r>
              <w:rPr>
                <w:rFonts w:hint="eastAsia"/>
                <w:b w:val="0"/>
                <w:color w:val="auto"/>
                <w:kern w:val="0"/>
                <w:highlight w:val="none"/>
              </w:rPr>
              <w:t>25</w:t>
            </w:r>
          </w:p>
        </w:tc>
        <w:tc>
          <w:tcPr>
            <w:tcW w:w="1678" w:type="pct"/>
            <w:tcBorders>
              <w:tl2br w:val="nil"/>
              <w:tr2bl w:val="nil"/>
            </w:tcBorders>
            <w:noWrap w:val="0"/>
            <w:vAlign w:val="center"/>
          </w:tcPr>
          <w:p w14:paraId="12629DC4">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变压器</w:t>
            </w:r>
          </w:p>
        </w:tc>
        <w:tc>
          <w:tcPr>
            <w:tcW w:w="1265" w:type="pct"/>
            <w:tcBorders>
              <w:tl2br w:val="nil"/>
              <w:tr2bl w:val="nil"/>
            </w:tcBorders>
            <w:noWrap w:val="0"/>
            <w:vAlign w:val="center"/>
          </w:tcPr>
          <w:p w14:paraId="3EF68592">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16</w:t>
            </w:r>
            <w:r>
              <w:rPr>
                <w:rFonts w:hint="eastAsia"/>
                <w:b w:val="0"/>
                <w:color w:val="auto"/>
                <w:kern w:val="0"/>
                <w:highlight w:val="none"/>
              </w:rPr>
              <w:t>00KVA</w:t>
            </w:r>
          </w:p>
        </w:tc>
        <w:tc>
          <w:tcPr>
            <w:tcW w:w="372" w:type="pct"/>
            <w:tcBorders>
              <w:tl2br w:val="nil"/>
              <w:tr2bl w:val="nil"/>
            </w:tcBorders>
            <w:noWrap w:val="0"/>
            <w:vAlign w:val="center"/>
          </w:tcPr>
          <w:p w14:paraId="3DD6D9C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val="en-US" w:eastAsia="zh-CN"/>
              </w:rPr>
              <w:t>座</w:t>
            </w:r>
          </w:p>
        </w:tc>
        <w:tc>
          <w:tcPr>
            <w:tcW w:w="440" w:type="pct"/>
            <w:tcBorders>
              <w:tl2br w:val="nil"/>
              <w:tr2bl w:val="nil"/>
            </w:tcBorders>
            <w:noWrap w:val="0"/>
            <w:vAlign w:val="center"/>
          </w:tcPr>
          <w:p w14:paraId="02328373">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w:t>
            </w:r>
          </w:p>
        </w:tc>
        <w:tc>
          <w:tcPr>
            <w:tcW w:w="870" w:type="pct"/>
            <w:tcBorders>
              <w:tl2br w:val="nil"/>
              <w:tr2bl w:val="nil"/>
            </w:tcBorders>
            <w:noWrap w:val="0"/>
            <w:vAlign w:val="center"/>
          </w:tcPr>
          <w:p w14:paraId="5F515FB5">
            <w:pPr>
              <w:pStyle w:val="199"/>
              <w:autoSpaceDE w:val="0"/>
              <w:autoSpaceDN w:val="0"/>
              <w:spacing w:beforeLines="0" w:line="240" w:lineRule="auto"/>
              <w:jc w:val="center"/>
              <w:rPr>
                <w:rFonts w:hint="eastAsia"/>
                <w:b w:val="0"/>
                <w:color w:val="auto"/>
                <w:kern w:val="0"/>
                <w:highlight w:val="none"/>
                <w:lang w:eastAsia="zh-CN"/>
              </w:rPr>
            </w:pPr>
          </w:p>
        </w:tc>
      </w:tr>
      <w:tr w14:paraId="27579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4D57A911">
            <w:pPr>
              <w:pStyle w:val="199"/>
              <w:autoSpaceDE w:val="0"/>
              <w:autoSpaceDN w:val="0"/>
              <w:spacing w:beforeLines="0" w:line="240" w:lineRule="auto"/>
              <w:jc w:val="center"/>
              <w:rPr>
                <w:rFonts w:hint="eastAsia" w:eastAsia="宋体"/>
                <w:b w:val="0"/>
                <w:color w:val="auto"/>
                <w:kern w:val="0"/>
                <w:highlight w:val="none"/>
                <w:lang w:eastAsia="zh-CN"/>
              </w:rPr>
            </w:pPr>
            <w:r>
              <w:rPr>
                <w:rFonts w:hint="eastAsia"/>
                <w:b w:val="0"/>
                <w:color w:val="auto"/>
                <w:kern w:val="0"/>
                <w:highlight w:val="none"/>
              </w:rPr>
              <w:t>2</w:t>
            </w:r>
            <w:r>
              <w:rPr>
                <w:rFonts w:hint="eastAsia"/>
                <w:b w:val="0"/>
                <w:color w:val="auto"/>
                <w:kern w:val="0"/>
                <w:highlight w:val="none"/>
                <w:lang w:val="en-US" w:eastAsia="zh-CN"/>
              </w:rPr>
              <w:t>6</w:t>
            </w:r>
          </w:p>
        </w:tc>
        <w:tc>
          <w:tcPr>
            <w:tcW w:w="1678" w:type="pct"/>
            <w:tcBorders>
              <w:tl2br w:val="nil"/>
              <w:tr2bl w:val="nil"/>
            </w:tcBorders>
            <w:noWrap w:val="0"/>
            <w:vAlign w:val="center"/>
          </w:tcPr>
          <w:p w14:paraId="1376456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浓密机</w:t>
            </w:r>
          </w:p>
        </w:tc>
        <w:tc>
          <w:tcPr>
            <w:tcW w:w="1265" w:type="pct"/>
            <w:tcBorders>
              <w:tl2br w:val="nil"/>
              <w:tr2bl w:val="nil"/>
            </w:tcBorders>
            <w:noWrap w:val="0"/>
            <w:vAlign w:val="center"/>
          </w:tcPr>
          <w:p w14:paraId="54C9F21B">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NZX</w:t>
            </w:r>
            <w:r>
              <w:rPr>
                <w:rFonts w:hint="eastAsia"/>
                <w:b w:val="0"/>
                <w:color w:val="auto"/>
                <w:kern w:val="0"/>
                <w:highlight w:val="none"/>
                <w:lang w:eastAsia="zh-CN"/>
              </w:rPr>
              <w:t>18</w:t>
            </w:r>
          </w:p>
        </w:tc>
        <w:tc>
          <w:tcPr>
            <w:tcW w:w="372" w:type="pct"/>
            <w:tcBorders>
              <w:tl2br w:val="nil"/>
              <w:tr2bl w:val="nil"/>
            </w:tcBorders>
            <w:noWrap w:val="0"/>
            <w:vAlign w:val="center"/>
          </w:tcPr>
          <w:p w14:paraId="53EDB8E0">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台</w:t>
            </w:r>
          </w:p>
        </w:tc>
        <w:tc>
          <w:tcPr>
            <w:tcW w:w="440" w:type="pct"/>
            <w:tcBorders>
              <w:tl2br w:val="nil"/>
              <w:tr2bl w:val="nil"/>
            </w:tcBorders>
            <w:noWrap w:val="0"/>
            <w:vAlign w:val="center"/>
          </w:tcPr>
          <w:p w14:paraId="2BA2C808">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w:t>
            </w:r>
          </w:p>
        </w:tc>
        <w:tc>
          <w:tcPr>
            <w:tcW w:w="870" w:type="pct"/>
            <w:tcBorders>
              <w:tl2br w:val="nil"/>
              <w:tr2bl w:val="nil"/>
            </w:tcBorders>
            <w:noWrap w:val="0"/>
            <w:vAlign w:val="center"/>
          </w:tcPr>
          <w:p w14:paraId="099FC937">
            <w:pPr>
              <w:pStyle w:val="199"/>
              <w:autoSpaceDE w:val="0"/>
              <w:autoSpaceDN w:val="0"/>
              <w:spacing w:beforeLines="0" w:line="240" w:lineRule="auto"/>
              <w:jc w:val="center"/>
              <w:rPr>
                <w:rFonts w:hint="eastAsia"/>
                <w:b w:val="0"/>
                <w:color w:val="auto"/>
                <w:kern w:val="0"/>
                <w:highlight w:val="none"/>
              </w:rPr>
            </w:pPr>
          </w:p>
        </w:tc>
      </w:tr>
      <w:tr w14:paraId="2C267F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4F3C9494">
            <w:pPr>
              <w:pStyle w:val="199"/>
              <w:autoSpaceDE w:val="0"/>
              <w:autoSpaceDN w:val="0"/>
              <w:spacing w:beforeLines="0" w:line="240" w:lineRule="auto"/>
              <w:jc w:val="center"/>
              <w:rPr>
                <w:rFonts w:hint="default"/>
                <w:b w:val="0"/>
                <w:color w:val="auto"/>
                <w:kern w:val="0"/>
                <w:highlight w:val="none"/>
                <w:lang w:val="en-US"/>
              </w:rPr>
            </w:pPr>
            <w:r>
              <w:rPr>
                <w:rFonts w:hint="eastAsia"/>
                <w:b w:val="0"/>
                <w:color w:val="auto"/>
                <w:kern w:val="0"/>
                <w:highlight w:val="none"/>
                <w:lang w:val="en-US" w:eastAsia="zh-CN"/>
              </w:rPr>
              <w:t>27</w:t>
            </w:r>
          </w:p>
        </w:tc>
        <w:tc>
          <w:tcPr>
            <w:tcW w:w="1678" w:type="pct"/>
            <w:tcBorders>
              <w:tl2br w:val="nil"/>
              <w:tr2bl w:val="nil"/>
            </w:tcBorders>
            <w:noWrap w:val="0"/>
            <w:vAlign w:val="center"/>
          </w:tcPr>
          <w:p w14:paraId="278E1E08">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药剂桶</w:t>
            </w:r>
          </w:p>
        </w:tc>
        <w:tc>
          <w:tcPr>
            <w:tcW w:w="1265" w:type="pct"/>
            <w:tcBorders>
              <w:tl2br w:val="nil"/>
              <w:tr2bl w:val="nil"/>
            </w:tcBorders>
            <w:noWrap w:val="0"/>
            <w:vAlign w:val="center"/>
          </w:tcPr>
          <w:p w14:paraId="28CAF53D">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φ2000</w:t>
            </w:r>
          </w:p>
        </w:tc>
        <w:tc>
          <w:tcPr>
            <w:tcW w:w="372" w:type="pct"/>
            <w:tcBorders>
              <w:tl2br w:val="nil"/>
              <w:tr2bl w:val="nil"/>
            </w:tcBorders>
            <w:noWrap w:val="0"/>
            <w:vAlign w:val="center"/>
          </w:tcPr>
          <w:p w14:paraId="237FA59A">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个</w:t>
            </w:r>
          </w:p>
        </w:tc>
        <w:tc>
          <w:tcPr>
            <w:tcW w:w="440" w:type="pct"/>
            <w:tcBorders>
              <w:tl2br w:val="nil"/>
              <w:tr2bl w:val="nil"/>
            </w:tcBorders>
            <w:noWrap w:val="0"/>
            <w:vAlign w:val="center"/>
          </w:tcPr>
          <w:p w14:paraId="44C134D9">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2</w:t>
            </w:r>
          </w:p>
        </w:tc>
        <w:tc>
          <w:tcPr>
            <w:tcW w:w="870" w:type="pct"/>
            <w:tcBorders>
              <w:tl2br w:val="nil"/>
              <w:tr2bl w:val="nil"/>
            </w:tcBorders>
            <w:noWrap w:val="0"/>
            <w:vAlign w:val="center"/>
          </w:tcPr>
          <w:p w14:paraId="72CC2BF9">
            <w:pPr>
              <w:pStyle w:val="199"/>
              <w:autoSpaceDE w:val="0"/>
              <w:autoSpaceDN w:val="0"/>
              <w:spacing w:beforeLines="0" w:line="240" w:lineRule="auto"/>
              <w:jc w:val="center"/>
              <w:rPr>
                <w:rFonts w:hint="eastAsia"/>
                <w:b w:val="0"/>
                <w:color w:val="auto"/>
                <w:kern w:val="0"/>
                <w:highlight w:val="none"/>
              </w:rPr>
            </w:pPr>
          </w:p>
        </w:tc>
      </w:tr>
      <w:tr w14:paraId="6AF0E7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185D2CDD">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rPr>
              <w:t>2</w:t>
            </w:r>
            <w:r>
              <w:rPr>
                <w:rFonts w:hint="eastAsia"/>
                <w:b w:val="0"/>
                <w:color w:val="auto"/>
                <w:kern w:val="0"/>
                <w:highlight w:val="none"/>
                <w:lang w:val="en-US" w:eastAsia="zh-CN"/>
              </w:rPr>
              <w:t>8</w:t>
            </w:r>
          </w:p>
        </w:tc>
        <w:tc>
          <w:tcPr>
            <w:tcW w:w="1678" w:type="pct"/>
            <w:tcBorders>
              <w:tl2br w:val="nil"/>
              <w:tr2bl w:val="nil"/>
            </w:tcBorders>
            <w:noWrap w:val="0"/>
            <w:vAlign w:val="center"/>
          </w:tcPr>
          <w:p w14:paraId="69321EF0">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矿浆槽</w:t>
            </w:r>
          </w:p>
        </w:tc>
        <w:tc>
          <w:tcPr>
            <w:tcW w:w="1265" w:type="pct"/>
            <w:tcBorders>
              <w:tl2br w:val="nil"/>
              <w:tr2bl w:val="nil"/>
            </w:tcBorders>
            <w:noWrap w:val="0"/>
            <w:vAlign w:val="center"/>
          </w:tcPr>
          <w:p w14:paraId="72727AA4">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w:t>
            </w:r>
          </w:p>
        </w:tc>
        <w:tc>
          <w:tcPr>
            <w:tcW w:w="372" w:type="pct"/>
            <w:tcBorders>
              <w:tl2br w:val="nil"/>
              <w:tr2bl w:val="nil"/>
            </w:tcBorders>
            <w:noWrap w:val="0"/>
            <w:vAlign w:val="center"/>
          </w:tcPr>
          <w:p w14:paraId="794BE090">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个</w:t>
            </w:r>
          </w:p>
        </w:tc>
        <w:tc>
          <w:tcPr>
            <w:tcW w:w="440" w:type="pct"/>
            <w:tcBorders>
              <w:tl2br w:val="nil"/>
              <w:tr2bl w:val="nil"/>
            </w:tcBorders>
            <w:noWrap w:val="0"/>
            <w:vAlign w:val="center"/>
          </w:tcPr>
          <w:p w14:paraId="334C47B6">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2</w:t>
            </w:r>
          </w:p>
        </w:tc>
        <w:tc>
          <w:tcPr>
            <w:tcW w:w="870" w:type="pct"/>
            <w:tcBorders>
              <w:tl2br w:val="nil"/>
              <w:tr2bl w:val="nil"/>
            </w:tcBorders>
            <w:noWrap w:val="0"/>
            <w:vAlign w:val="center"/>
          </w:tcPr>
          <w:p w14:paraId="42B3130C">
            <w:pPr>
              <w:pStyle w:val="199"/>
              <w:autoSpaceDE w:val="0"/>
              <w:autoSpaceDN w:val="0"/>
              <w:spacing w:beforeLines="0" w:line="240" w:lineRule="auto"/>
              <w:jc w:val="center"/>
              <w:rPr>
                <w:rFonts w:hint="eastAsia"/>
                <w:b w:val="0"/>
                <w:color w:val="auto"/>
                <w:kern w:val="0"/>
                <w:highlight w:val="none"/>
              </w:rPr>
            </w:pPr>
          </w:p>
        </w:tc>
      </w:tr>
      <w:tr w14:paraId="7D9348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5FD67EFD">
            <w:pPr>
              <w:pStyle w:val="199"/>
              <w:autoSpaceDE w:val="0"/>
              <w:autoSpaceDN w:val="0"/>
              <w:spacing w:beforeLines="0" w:line="240" w:lineRule="auto"/>
              <w:jc w:val="center"/>
              <w:rPr>
                <w:rFonts w:hint="default" w:eastAsia="宋体"/>
                <w:b w:val="0"/>
                <w:color w:val="auto"/>
                <w:kern w:val="0"/>
                <w:highlight w:val="none"/>
                <w:lang w:val="en-US" w:eastAsia="zh-CN"/>
              </w:rPr>
            </w:pPr>
            <w:r>
              <w:rPr>
                <w:rFonts w:hint="eastAsia"/>
                <w:b w:val="0"/>
                <w:color w:val="auto"/>
                <w:kern w:val="0"/>
                <w:highlight w:val="none"/>
                <w:lang w:val="en-US" w:eastAsia="zh-CN"/>
              </w:rPr>
              <w:t>29</w:t>
            </w:r>
          </w:p>
        </w:tc>
        <w:tc>
          <w:tcPr>
            <w:tcW w:w="1678" w:type="pct"/>
            <w:tcBorders>
              <w:tl2br w:val="nil"/>
              <w:tr2bl w:val="nil"/>
            </w:tcBorders>
            <w:noWrap w:val="0"/>
            <w:vAlign w:val="center"/>
          </w:tcPr>
          <w:p w14:paraId="09DE94B0">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压滤机</w:t>
            </w:r>
          </w:p>
        </w:tc>
        <w:tc>
          <w:tcPr>
            <w:tcW w:w="1265" w:type="pct"/>
            <w:tcBorders>
              <w:tl2br w:val="nil"/>
              <w:tr2bl w:val="nil"/>
            </w:tcBorders>
            <w:noWrap w:val="0"/>
            <w:vAlign w:val="center"/>
          </w:tcPr>
          <w:p w14:paraId="0E1CE725">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400平方</w:t>
            </w:r>
          </w:p>
        </w:tc>
        <w:tc>
          <w:tcPr>
            <w:tcW w:w="372" w:type="pct"/>
            <w:tcBorders>
              <w:tl2br w:val="nil"/>
              <w:tr2bl w:val="nil"/>
            </w:tcBorders>
            <w:noWrap w:val="0"/>
            <w:vAlign w:val="center"/>
          </w:tcPr>
          <w:p w14:paraId="1C3173ED">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台</w:t>
            </w:r>
          </w:p>
        </w:tc>
        <w:tc>
          <w:tcPr>
            <w:tcW w:w="440" w:type="pct"/>
            <w:tcBorders>
              <w:tl2br w:val="nil"/>
              <w:tr2bl w:val="nil"/>
            </w:tcBorders>
            <w:noWrap w:val="0"/>
            <w:vAlign w:val="center"/>
          </w:tcPr>
          <w:p w14:paraId="6440EDDF">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1</w:t>
            </w:r>
          </w:p>
        </w:tc>
        <w:tc>
          <w:tcPr>
            <w:tcW w:w="870" w:type="pct"/>
            <w:tcBorders>
              <w:tl2br w:val="nil"/>
              <w:tr2bl w:val="nil"/>
            </w:tcBorders>
            <w:noWrap w:val="0"/>
            <w:vAlign w:val="center"/>
          </w:tcPr>
          <w:p w14:paraId="7975AEA2">
            <w:pPr>
              <w:pStyle w:val="199"/>
              <w:autoSpaceDE w:val="0"/>
              <w:autoSpaceDN w:val="0"/>
              <w:spacing w:beforeLines="0" w:line="240" w:lineRule="auto"/>
              <w:jc w:val="center"/>
              <w:rPr>
                <w:rFonts w:hint="eastAsia"/>
                <w:b w:val="0"/>
                <w:color w:val="auto"/>
                <w:kern w:val="0"/>
                <w:highlight w:val="none"/>
              </w:rPr>
            </w:pPr>
          </w:p>
        </w:tc>
      </w:tr>
      <w:tr w14:paraId="28DC49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0652769F">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rPr>
              <w:t>3</w:t>
            </w:r>
            <w:r>
              <w:rPr>
                <w:rFonts w:hint="eastAsia"/>
                <w:b w:val="0"/>
                <w:color w:val="auto"/>
                <w:kern w:val="0"/>
                <w:highlight w:val="none"/>
                <w:lang w:val="en-US" w:eastAsia="zh-CN"/>
              </w:rPr>
              <w:t>0</w:t>
            </w:r>
          </w:p>
        </w:tc>
        <w:tc>
          <w:tcPr>
            <w:tcW w:w="1678" w:type="pct"/>
            <w:tcBorders>
              <w:tl2br w:val="nil"/>
              <w:tr2bl w:val="nil"/>
            </w:tcBorders>
            <w:noWrap w:val="0"/>
            <w:vAlign w:val="center"/>
          </w:tcPr>
          <w:p w14:paraId="7E1376C0">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潜水渣浆泵</w:t>
            </w:r>
          </w:p>
        </w:tc>
        <w:tc>
          <w:tcPr>
            <w:tcW w:w="1265" w:type="pct"/>
            <w:tcBorders>
              <w:tl2br w:val="nil"/>
              <w:tr2bl w:val="nil"/>
            </w:tcBorders>
            <w:noWrap w:val="0"/>
            <w:vAlign w:val="center"/>
          </w:tcPr>
          <w:p w14:paraId="454D0D79">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100ZJQ120-16</w:t>
            </w:r>
          </w:p>
        </w:tc>
        <w:tc>
          <w:tcPr>
            <w:tcW w:w="372" w:type="pct"/>
            <w:tcBorders>
              <w:tl2br w:val="nil"/>
              <w:tr2bl w:val="nil"/>
            </w:tcBorders>
            <w:noWrap w:val="0"/>
            <w:vAlign w:val="center"/>
          </w:tcPr>
          <w:p w14:paraId="747E4D02">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台</w:t>
            </w:r>
          </w:p>
        </w:tc>
        <w:tc>
          <w:tcPr>
            <w:tcW w:w="440" w:type="pct"/>
            <w:tcBorders>
              <w:tl2br w:val="nil"/>
              <w:tr2bl w:val="nil"/>
            </w:tcBorders>
            <w:noWrap w:val="0"/>
            <w:vAlign w:val="center"/>
          </w:tcPr>
          <w:p w14:paraId="2AE89340">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zh-CN" w:bidi="ar-SA"/>
              </w:rPr>
            </w:pPr>
            <w:r>
              <w:rPr>
                <w:rFonts w:hint="eastAsia"/>
                <w:b w:val="0"/>
                <w:color w:val="auto"/>
                <w:kern w:val="0"/>
                <w:highlight w:val="none"/>
              </w:rPr>
              <w:t>1</w:t>
            </w:r>
          </w:p>
        </w:tc>
        <w:tc>
          <w:tcPr>
            <w:tcW w:w="870" w:type="pct"/>
            <w:tcBorders>
              <w:tl2br w:val="nil"/>
              <w:tr2bl w:val="nil"/>
            </w:tcBorders>
            <w:noWrap w:val="0"/>
            <w:vAlign w:val="center"/>
          </w:tcPr>
          <w:p w14:paraId="653B253D">
            <w:pPr>
              <w:pStyle w:val="199"/>
              <w:autoSpaceDE w:val="0"/>
              <w:autoSpaceDN w:val="0"/>
              <w:spacing w:beforeLines="0" w:line="240" w:lineRule="auto"/>
              <w:jc w:val="center"/>
              <w:rPr>
                <w:rFonts w:hint="eastAsia"/>
                <w:b w:val="0"/>
                <w:color w:val="auto"/>
                <w:kern w:val="0"/>
                <w:highlight w:val="none"/>
              </w:rPr>
            </w:pPr>
          </w:p>
        </w:tc>
      </w:tr>
      <w:tr w14:paraId="3ABEB3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2246A15E">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rPr>
              <w:t>3</w:t>
            </w:r>
            <w:r>
              <w:rPr>
                <w:rFonts w:hint="eastAsia"/>
                <w:b w:val="0"/>
                <w:color w:val="auto"/>
                <w:kern w:val="0"/>
                <w:highlight w:val="none"/>
                <w:lang w:val="en-US" w:eastAsia="zh-CN"/>
              </w:rPr>
              <w:t>1</w:t>
            </w:r>
          </w:p>
        </w:tc>
        <w:tc>
          <w:tcPr>
            <w:tcW w:w="1678" w:type="pct"/>
            <w:tcBorders>
              <w:tl2br w:val="nil"/>
              <w:tr2bl w:val="nil"/>
            </w:tcBorders>
            <w:noWrap w:val="0"/>
            <w:vAlign w:val="center"/>
          </w:tcPr>
          <w:p w14:paraId="6293EBE3">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潜水渣浆泵</w:t>
            </w:r>
          </w:p>
        </w:tc>
        <w:tc>
          <w:tcPr>
            <w:tcW w:w="1265" w:type="pct"/>
            <w:tcBorders>
              <w:tl2br w:val="nil"/>
              <w:tr2bl w:val="nil"/>
            </w:tcBorders>
            <w:noWrap w:val="0"/>
            <w:vAlign w:val="center"/>
          </w:tcPr>
          <w:p w14:paraId="25BB9F7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100Z¹Q120-60</w:t>
            </w:r>
          </w:p>
        </w:tc>
        <w:tc>
          <w:tcPr>
            <w:tcW w:w="372" w:type="pct"/>
            <w:tcBorders>
              <w:tl2br w:val="nil"/>
              <w:tr2bl w:val="nil"/>
            </w:tcBorders>
            <w:noWrap w:val="0"/>
            <w:vAlign w:val="center"/>
          </w:tcPr>
          <w:p w14:paraId="0B280A55">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台</w:t>
            </w:r>
          </w:p>
        </w:tc>
        <w:tc>
          <w:tcPr>
            <w:tcW w:w="440" w:type="pct"/>
            <w:tcBorders>
              <w:tl2br w:val="nil"/>
              <w:tr2bl w:val="nil"/>
            </w:tcBorders>
            <w:noWrap w:val="0"/>
            <w:vAlign w:val="center"/>
          </w:tcPr>
          <w:p w14:paraId="6F5FC536">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zh-CN" w:bidi="ar-SA"/>
              </w:rPr>
            </w:pPr>
            <w:r>
              <w:rPr>
                <w:rFonts w:hint="eastAsia"/>
                <w:b w:val="0"/>
                <w:color w:val="auto"/>
                <w:kern w:val="0"/>
                <w:highlight w:val="none"/>
              </w:rPr>
              <w:t>1</w:t>
            </w:r>
          </w:p>
        </w:tc>
        <w:tc>
          <w:tcPr>
            <w:tcW w:w="870" w:type="pct"/>
            <w:tcBorders>
              <w:tl2br w:val="nil"/>
              <w:tr2bl w:val="nil"/>
            </w:tcBorders>
            <w:noWrap w:val="0"/>
            <w:vAlign w:val="center"/>
          </w:tcPr>
          <w:p w14:paraId="07DF2415">
            <w:pPr>
              <w:pStyle w:val="199"/>
              <w:autoSpaceDE w:val="0"/>
              <w:autoSpaceDN w:val="0"/>
              <w:spacing w:beforeLines="0" w:line="240" w:lineRule="auto"/>
              <w:jc w:val="center"/>
              <w:rPr>
                <w:rFonts w:hint="eastAsia"/>
                <w:b w:val="0"/>
                <w:color w:val="auto"/>
                <w:kern w:val="0"/>
                <w:highlight w:val="none"/>
              </w:rPr>
            </w:pPr>
          </w:p>
        </w:tc>
      </w:tr>
      <w:tr w14:paraId="7A611A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2FABCE6C">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rPr>
              <w:t>3</w:t>
            </w:r>
            <w:r>
              <w:rPr>
                <w:rFonts w:hint="eastAsia"/>
                <w:b w:val="0"/>
                <w:color w:val="auto"/>
                <w:kern w:val="0"/>
                <w:highlight w:val="none"/>
                <w:lang w:val="en-US" w:eastAsia="zh-CN"/>
              </w:rPr>
              <w:t>2</w:t>
            </w:r>
          </w:p>
        </w:tc>
        <w:tc>
          <w:tcPr>
            <w:tcW w:w="1678" w:type="pct"/>
            <w:tcBorders>
              <w:tl2br w:val="nil"/>
              <w:tr2bl w:val="nil"/>
            </w:tcBorders>
            <w:noWrap w:val="0"/>
            <w:vAlign w:val="center"/>
          </w:tcPr>
          <w:p w14:paraId="5FF2182B">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液下渣浆泵</w:t>
            </w:r>
          </w:p>
        </w:tc>
        <w:tc>
          <w:tcPr>
            <w:tcW w:w="1265" w:type="pct"/>
            <w:tcBorders>
              <w:tl2br w:val="nil"/>
              <w:tr2bl w:val="nil"/>
            </w:tcBorders>
            <w:noWrap w:val="0"/>
            <w:vAlign w:val="center"/>
          </w:tcPr>
          <w:p w14:paraId="44CF7804">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80YZ50-30</w:t>
            </w:r>
          </w:p>
        </w:tc>
        <w:tc>
          <w:tcPr>
            <w:tcW w:w="372" w:type="pct"/>
            <w:tcBorders>
              <w:tl2br w:val="nil"/>
              <w:tr2bl w:val="nil"/>
            </w:tcBorders>
            <w:noWrap w:val="0"/>
            <w:vAlign w:val="center"/>
          </w:tcPr>
          <w:p w14:paraId="7B0F542D">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台</w:t>
            </w:r>
          </w:p>
        </w:tc>
        <w:tc>
          <w:tcPr>
            <w:tcW w:w="440" w:type="pct"/>
            <w:tcBorders>
              <w:tl2br w:val="nil"/>
              <w:tr2bl w:val="nil"/>
            </w:tcBorders>
            <w:noWrap w:val="0"/>
            <w:vAlign w:val="center"/>
          </w:tcPr>
          <w:p w14:paraId="5B7FB498">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zh-CN" w:bidi="ar-SA"/>
              </w:rPr>
            </w:pPr>
            <w:r>
              <w:rPr>
                <w:rFonts w:hint="eastAsia"/>
                <w:b w:val="0"/>
                <w:color w:val="auto"/>
                <w:kern w:val="0"/>
                <w:highlight w:val="none"/>
              </w:rPr>
              <w:t>1</w:t>
            </w:r>
          </w:p>
        </w:tc>
        <w:tc>
          <w:tcPr>
            <w:tcW w:w="870" w:type="pct"/>
            <w:tcBorders>
              <w:tl2br w:val="nil"/>
              <w:tr2bl w:val="nil"/>
            </w:tcBorders>
            <w:noWrap w:val="0"/>
            <w:vAlign w:val="center"/>
          </w:tcPr>
          <w:p w14:paraId="75B7DB4A">
            <w:pPr>
              <w:pStyle w:val="199"/>
              <w:autoSpaceDE w:val="0"/>
              <w:autoSpaceDN w:val="0"/>
              <w:spacing w:beforeLines="0" w:line="240" w:lineRule="auto"/>
              <w:jc w:val="center"/>
              <w:rPr>
                <w:rFonts w:hint="eastAsia"/>
                <w:b w:val="0"/>
                <w:color w:val="auto"/>
                <w:kern w:val="0"/>
                <w:highlight w:val="none"/>
              </w:rPr>
            </w:pPr>
          </w:p>
        </w:tc>
      </w:tr>
      <w:tr w14:paraId="2005FE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2C115AD8">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rPr>
              <w:t>3</w:t>
            </w:r>
            <w:r>
              <w:rPr>
                <w:rFonts w:hint="eastAsia"/>
                <w:b w:val="0"/>
                <w:color w:val="auto"/>
                <w:kern w:val="0"/>
                <w:highlight w:val="none"/>
                <w:lang w:val="en-US" w:eastAsia="zh-CN"/>
              </w:rPr>
              <w:t>3</w:t>
            </w:r>
          </w:p>
        </w:tc>
        <w:tc>
          <w:tcPr>
            <w:tcW w:w="1678" w:type="pct"/>
            <w:tcBorders>
              <w:tl2br w:val="nil"/>
              <w:tr2bl w:val="nil"/>
            </w:tcBorders>
            <w:noWrap w:val="0"/>
            <w:vAlign w:val="center"/>
          </w:tcPr>
          <w:p w14:paraId="2E244561">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柱塞泵</w:t>
            </w:r>
          </w:p>
        </w:tc>
        <w:tc>
          <w:tcPr>
            <w:tcW w:w="1265" w:type="pct"/>
            <w:tcBorders>
              <w:tl2br w:val="nil"/>
              <w:tr2bl w:val="nil"/>
            </w:tcBorders>
            <w:noWrap w:val="0"/>
            <w:vAlign w:val="center"/>
          </w:tcPr>
          <w:p w14:paraId="2D638069">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YB350-100</w:t>
            </w:r>
          </w:p>
        </w:tc>
        <w:tc>
          <w:tcPr>
            <w:tcW w:w="372" w:type="pct"/>
            <w:tcBorders>
              <w:tl2br w:val="nil"/>
              <w:tr2bl w:val="nil"/>
            </w:tcBorders>
            <w:noWrap w:val="0"/>
            <w:vAlign w:val="center"/>
          </w:tcPr>
          <w:p w14:paraId="0636F415">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台</w:t>
            </w:r>
          </w:p>
        </w:tc>
        <w:tc>
          <w:tcPr>
            <w:tcW w:w="440" w:type="pct"/>
            <w:tcBorders>
              <w:tl2br w:val="nil"/>
              <w:tr2bl w:val="nil"/>
            </w:tcBorders>
            <w:noWrap w:val="0"/>
            <w:vAlign w:val="center"/>
          </w:tcPr>
          <w:p w14:paraId="454F397F">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zh-CN" w:bidi="ar-SA"/>
              </w:rPr>
            </w:pPr>
            <w:r>
              <w:rPr>
                <w:rFonts w:hint="eastAsia"/>
                <w:b w:val="0"/>
                <w:color w:val="auto"/>
                <w:kern w:val="0"/>
                <w:highlight w:val="none"/>
              </w:rPr>
              <w:t>2</w:t>
            </w:r>
          </w:p>
        </w:tc>
        <w:tc>
          <w:tcPr>
            <w:tcW w:w="870" w:type="pct"/>
            <w:tcBorders>
              <w:tl2br w:val="nil"/>
              <w:tr2bl w:val="nil"/>
            </w:tcBorders>
            <w:noWrap w:val="0"/>
            <w:vAlign w:val="center"/>
          </w:tcPr>
          <w:p w14:paraId="6FB5C8AD">
            <w:pPr>
              <w:pStyle w:val="199"/>
              <w:autoSpaceDE w:val="0"/>
              <w:autoSpaceDN w:val="0"/>
              <w:spacing w:beforeLines="0" w:line="240" w:lineRule="auto"/>
              <w:jc w:val="center"/>
              <w:rPr>
                <w:rFonts w:hint="eastAsia"/>
                <w:b w:val="0"/>
                <w:color w:val="auto"/>
                <w:kern w:val="0"/>
                <w:highlight w:val="none"/>
              </w:rPr>
            </w:pPr>
          </w:p>
        </w:tc>
      </w:tr>
      <w:tr w14:paraId="54FE29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72" w:type="pct"/>
            <w:tcBorders>
              <w:tl2br w:val="nil"/>
              <w:tr2bl w:val="nil"/>
            </w:tcBorders>
            <w:noWrap w:val="0"/>
            <w:vAlign w:val="center"/>
          </w:tcPr>
          <w:p w14:paraId="0420484E">
            <w:pPr>
              <w:pStyle w:val="199"/>
              <w:autoSpaceDE w:val="0"/>
              <w:autoSpaceDN w:val="0"/>
              <w:spacing w:beforeLines="0" w:line="240" w:lineRule="auto"/>
              <w:jc w:val="center"/>
              <w:rPr>
                <w:rFonts w:hint="eastAsia" w:eastAsia="宋体"/>
                <w:b w:val="0"/>
                <w:color w:val="auto"/>
                <w:kern w:val="0"/>
                <w:highlight w:val="none"/>
                <w:lang w:val="en-US" w:eastAsia="zh-CN"/>
              </w:rPr>
            </w:pPr>
            <w:r>
              <w:rPr>
                <w:rFonts w:hint="eastAsia"/>
                <w:b w:val="0"/>
                <w:color w:val="auto"/>
                <w:kern w:val="0"/>
                <w:highlight w:val="none"/>
              </w:rPr>
              <w:t>3</w:t>
            </w:r>
            <w:r>
              <w:rPr>
                <w:rFonts w:hint="eastAsia"/>
                <w:b w:val="0"/>
                <w:color w:val="auto"/>
                <w:kern w:val="0"/>
                <w:highlight w:val="none"/>
                <w:lang w:val="en-US" w:eastAsia="zh-CN"/>
              </w:rPr>
              <w:t>4</w:t>
            </w:r>
          </w:p>
        </w:tc>
        <w:tc>
          <w:tcPr>
            <w:tcW w:w="1678" w:type="pct"/>
            <w:tcBorders>
              <w:tl2br w:val="nil"/>
              <w:tr2bl w:val="nil"/>
            </w:tcBorders>
            <w:noWrap w:val="0"/>
            <w:vAlign w:val="center"/>
          </w:tcPr>
          <w:p w14:paraId="6A2B826B">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潜污泵</w:t>
            </w:r>
          </w:p>
        </w:tc>
        <w:tc>
          <w:tcPr>
            <w:tcW w:w="1265" w:type="pct"/>
            <w:tcBorders>
              <w:tl2br w:val="nil"/>
              <w:tr2bl w:val="nil"/>
            </w:tcBorders>
            <w:noWrap w:val="0"/>
            <w:vAlign w:val="center"/>
          </w:tcPr>
          <w:p w14:paraId="30E85B3F">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65WQ</w:t>
            </w:r>
          </w:p>
        </w:tc>
        <w:tc>
          <w:tcPr>
            <w:tcW w:w="372" w:type="pct"/>
            <w:tcBorders>
              <w:tl2br w:val="nil"/>
              <w:tr2bl w:val="nil"/>
            </w:tcBorders>
            <w:noWrap w:val="0"/>
            <w:vAlign w:val="center"/>
          </w:tcPr>
          <w:p w14:paraId="36D514CF">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it-IT" w:bidi="ar-SA"/>
              </w:rPr>
            </w:pPr>
            <w:r>
              <w:rPr>
                <w:rFonts w:hint="eastAsia"/>
                <w:b w:val="0"/>
                <w:color w:val="auto"/>
                <w:kern w:val="0"/>
                <w:highlight w:val="none"/>
              </w:rPr>
              <w:t>台</w:t>
            </w:r>
          </w:p>
        </w:tc>
        <w:tc>
          <w:tcPr>
            <w:tcW w:w="440" w:type="pct"/>
            <w:tcBorders>
              <w:tl2br w:val="nil"/>
              <w:tr2bl w:val="nil"/>
            </w:tcBorders>
            <w:noWrap w:val="0"/>
            <w:vAlign w:val="center"/>
          </w:tcPr>
          <w:p w14:paraId="1ACEE117">
            <w:pPr>
              <w:pStyle w:val="199"/>
              <w:autoSpaceDE w:val="0"/>
              <w:autoSpaceDN w:val="0"/>
              <w:spacing w:beforeLines="0" w:line="240" w:lineRule="auto"/>
              <w:ind w:firstLine="0" w:firstLineChars="0"/>
              <w:jc w:val="center"/>
              <w:rPr>
                <w:rFonts w:hint="eastAsia" w:ascii="Times New Roman" w:hAnsi="Times New Roman" w:eastAsia="宋体" w:cs="Times New Roman"/>
                <w:b w:val="0"/>
                <w:color w:val="auto"/>
                <w:kern w:val="0"/>
                <w:sz w:val="21"/>
                <w:szCs w:val="24"/>
                <w:highlight w:val="none"/>
                <w:lang w:val="it-IT" w:eastAsia="zh-CN" w:bidi="ar-SA"/>
              </w:rPr>
            </w:pPr>
            <w:r>
              <w:rPr>
                <w:rFonts w:hint="eastAsia"/>
                <w:b w:val="0"/>
                <w:color w:val="auto"/>
                <w:kern w:val="0"/>
                <w:highlight w:val="none"/>
              </w:rPr>
              <w:t>2</w:t>
            </w:r>
          </w:p>
        </w:tc>
        <w:tc>
          <w:tcPr>
            <w:tcW w:w="870" w:type="pct"/>
            <w:tcBorders>
              <w:tl2br w:val="nil"/>
              <w:tr2bl w:val="nil"/>
            </w:tcBorders>
            <w:noWrap w:val="0"/>
            <w:vAlign w:val="center"/>
          </w:tcPr>
          <w:p w14:paraId="27562535">
            <w:pPr>
              <w:pStyle w:val="199"/>
              <w:autoSpaceDE w:val="0"/>
              <w:autoSpaceDN w:val="0"/>
              <w:spacing w:beforeLines="0" w:line="240" w:lineRule="auto"/>
              <w:jc w:val="center"/>
              <w:rPr>
                <w:rFonts w:hint="eastAsia"/>
                <w:b w:val="0"/>
                <w:color w:val="auto"/>
                <w:kern w:val="0"/>
                <w:highlight w:val="none"/>
              </w:rPr>
            </w:pPr>
          </w:p>
        </w:tc>
      </w:tr>
    </w:tbl>
    <w:p w14:paraId="51BBAE3D">
      <w:pPr>
        <w:pStyle w:val="4"/>
        <w:spacing w:before="120" w:after="120"/>
        <w:rPr>
          <w:rFonts w:hint="eastAsia"/>
          <w:color w:val="auto"/>
          <w:highlight w:val="none"/>
        </w:rPr>
      </w:pPr>
      <w:bookmarkStart w:id="87" w:name="_Toc19820"/>
      <w:r>
        <w:rPr>
          <w:rFonts w:hint="eastAsia"/>
          <w:color w:val="auto"/>
          <w:highlight w:val="none"/>
        </w:rPr>
        <w:t>公用工程</w:t>
      </w:r>
      <w:bookmarkEnd w:id="87"/>
    </w:p>
    <w:p w14:paraId="00F38C62">
      <w:pPr>
        <w:pStyle w:val="5"/>
        <w:rPr>
          <w:rFonts w:hint="eastAsia"/>
          <w:color w:val="auto"/>
          <w:highlight w:val="none"/>
          <w:lang w:val="en-US" w:eastAsia="zh-CN"/>
        </w:rPr>
      </w:pPr>
      <w:r>
        <w:rPr>
          <w:rFonts w:hint="eastAsia"/>
          <w:color w:val="auto"/>
          <w:highlight w:val="none"/>
          <w:lang w:val="en-US" w:eastAsia="zh-CN"/>
        </w:rPr>
        <w:t>给水工程</w:t>
      </w:r>
    </w:p>
    <w:p w14:paraId="28B35476">
      <w:pPr>
        <w:pStyle w:val="6"/>
        <w:rPr>
          <w:rFonts w:hint="default"/>
          <w:color w:val="auto"/>
          <w:highlight w:val="none"/>
          <w:lang w:val="en-US" w:eastAsia="zh-CN"/>
        </w:rPr>
      </w:pPr>
      <w:r>
        <w:rPr>
          <w:rFonts w:hint="eastAsia"/>
          <w:color w:val="auto"/>
          <w:highlight w:val="none"/>
          <w:lang w:val="en-US" w:eastAsia="zh-CN"/>
        </w:rPr>
        <w:t xml:space="preserve"> 生产用水</w:t>
      </w:r>
    </w:p>
    <w:p w14:paraId="0A04A955">
      <w:pPr>
        <w:ind w:firstLine="480"/>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给水来源</w:t>
      </w:r>
    </w:p>
    <w:p w14:paraId="4321E740">
      <w:pPr>
        <w:ind w:firstLine="480"/>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本项目生产用水由位于德胜大街与园区路交汇处东南角园区第一中水厂供应，距本项目厂区直线距离约3.6km。第一中水厂设计出水能力5000</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d，出水水质</w:t>
      </w:r>
      <w:r>
        <w:rPr>
          <w:rFonts w:ascii="Times New Roman" w:hAnsi="Times New Roman" w:eastAsia="宋体" w:cs="Times New Roman"/>
          <w:color w:val="auto"/>
          <w:highlight w:val="none"/>
          <w:lang w:val="en-US" w:eastAsia="zh-CN"/>
        </w:rPr>
        <w:t>满足《循环冷却水用再生水水质标准》（</w:t>
      </w:r>
      <w:r>
        <w:rPr>
          <w:rFonts w:hint="default" w:ascii="Times New Roman" w:hAnsi="Times New Roman" w:eastAsia="宋体" w:cs="Times New Roman"/>
          <w:color w:val="auto"/>
          <w:highlight w:val="none"/>
          <w:lang w:val="en-US" w:eastAsia="zh-CN"/>
        </w:rPr>
        <w:t>HG/T 3923-2007）及《城市污 水再生利用－城市杂用水水质》（GB/T 18920-2020）相关要求，</w:t>
      </w:r>
      <w:r>
        <w:rPr>
          <w:rFonts w:hint="eastAsia" w:ascii="Times New Roman" w:hAnsi="Times New Roman" w:eastAsia="宋体" w:cs="Times New Roman"/>
          <w:color w:val="auto"/>
          <w:highlight w:val="none"/>
          <w:lang w:val="en-US" w:eastAsia="zh-CN"/>
        </w:rPr>
        <w:t>主要用于园区工业用水、镇区绿化用水及道路抑尘洒水。本项目洗选系统补充水用量为126.0</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d，故园区第一中水厂供水量足够满足本项目生产用水需求；</w:t>
      </w:r>
      <w:r>
        <w:rPr>
          <w:rFonts w:ascii="Times New Roman" w:hAnsi="Times New Roman" w:eastAsia="宋体" w:cs="Times New Roman"/>
          <w:color w:val="auto"/>
          <w:highlight w:val="none"/>
          <w:lang w:val="en-US" w:eastAsia="zh-CN"/>
        </w:rPr>
        <w:t>《循环冷却水用再生水水质标准》（</w:t>
      </w:r>
      <w:r>
        <w:rPr>
          <w:rFonts w:hint="default" w:ascii="Times New Roman" w:hAnsi="Times New Roman" w:eastAsia="宋体" w:cs="Times New Roman"/>
          <w:color w:val="auto"/>
          <w:highlight w:val="none"/>
          <w:lang w:val="en-US" w:eastAsia="zh-CN"/>
        </w:rPr>
        <w:t>HG/T 3923-2007）</w:t>
      </w:r>
      <w:r>
        <w:rPr>
          <w:rFonts w:hint="eastAsia" w:ascii="Times New Roman" w:hAnsi="Times New Roman" w:eastAsia="宋体" w:cs="Times New Roman"/>
          <w:color w:val="auto"/>
          <w:highlight w:val="none"/>
          <w:lang w:val="en-US" w:eastAsia="zh-CN"/>
        </w:rPr>
        <w:t>水质足够满足本项目洗选系统补充水用水水质要求。由于第一中水厂中水供水管网暂未覆盖本项目厂区，因此。本项目用水采用水罐车拉运至本项目厂区，园区第一中水厂和本项目厂区间交通道路已全部建成，故满足中水汽车拉运要求，待园区中水管网覆盖至本项目后直接由中水管网供应。</w:t>
      </w:r>
    </w:p>
    <w:p w14:paraId="54148F4D">
      <w:pPr>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生产系统用水量分析</w:t>
      </w:r>
    </w:p>
    <w:p w14:paraId="20BAFFF6">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本项目生产用水包括</w:t>
      </w:r>
      <w:r>
        <w:rPr>
          <w:rFonts w:hint="default" w:ascii="Times New Roman" w:hAnsi="Times New Roman" w:eastAsia="宋体" w:cs="Times New Roman"/>
          <w:color w:val="auto"/>
          <w:highlight w:val="none"/>
          <w:lang w:val="en-US" w:eastAsia="zh-CN"/>
        </w:rPr>
        <w:t>磨矿用水、浮选用水、</w:t>
      </w:r>
      <w:r>
        <w:rPr>
          <w:rFonts w:hint="eastAsia" w:ascii="Times New Roman" w:hAnsi="Times New Roman" w:eastAsia="宋体" w:cs="Times New Roman"/>
          <w:color w:val="auto"/>
          <w:highlight w:val="none"/>
          <w:lang w:val="en-US" w:eastAsia="zh-CN"/>
        </w:rPr>
        <w:t>原料贮存库及</w:t>
      </w:r>
      <w:r>
        <w:rPr>
          <w:rFonts w:hint="default" w:ascii="Times New Roman" w:hAnsi="Times New Roman" w:eastAsia="宋体" w:cs="Times New Roman"/>
          <w:color w:val="auto"/>
          <w:highlight w:val="none"/>
          <w:lang w:val="en-US" w:eastAsia="zh-CN"/>
        </w:rPr>
        <w:t>道路</w:t>
      </w:r>
      <w:r>
        <w:rPr>
          <w:rFonts w:hint="eastAsia" w:ascii="Times New Roman" w:hAnsi="Times New Roman" w:eastAsia="宋体" w:cs="Times New Roman"/>
          <w:color w:val="auto"/>
          <w:highlight w:val="none"/>
          <w:lang w:val="en-US" w:eastAsia="zh-CN"/>
        </w:rPr>
        <w:t>抑尘</w:t>
      </w:r>
      <w:r>
        <w:rPr>
          <w:rFonts w:hint="default" w:ascii="Times New Roman" w:hAnsi="Times New Roman" w:eastAsia="宋体" w:cs="Times New Roman"/>
          <w:color w:val="auto"/>
          <w:highlight w:val="none"/>
          <w:lang w:val="en-US" w:eastAsia="zh-CN"/>
        </w:rPr>
        <w:t>洒水</w:t>
      </w:r>
      <w:r>
        <w:rPr>
          <w:rFonts w:hint="eastAsia" w:ascii="Times New Roman" w:hAnsi="Times New Roman" w:eastAsia="宋体" w:cs="Times New Roman"/>
          <w:color w:val="auto"/>
          <w:highlight w:val="none"/>
          <w:lang w:val="en-US" w:eastAsia="zh-CN"/>
        </w:rPr>
        <w:t>用水。</w:t>
      </w:r>
    </w:p>
    <w:p w14:paraId="07F8DDBE">
      <w:pPr>
        <w:ind w:firstLine="48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w:t>
      </w:r>
      <w:r>
        <w:rPr>
          <w:rFonts w:hint="eastAsia" w:ascii="Times New Roman" w:hAnsi="Times New Roman" w:eastAsia="宋体" w:cs="Times New Roman"/>
          <w:color w:val="auto"/>
          <w:highlight w:val="none"/>
          <w:lang w:val="en-US" w:eastAsia="zh-CN"/>
        </w:rPr>
        <w:t>洒水抑尘用水</w:t>
      </w:r>
    </w:p>
    <w:p w14:paraId="46B679F8">
      <w:pPr>
        <w:ind w:firstLine="48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本</w:t>
      </w:r>
      <w:r>
        <w:rPr>
          <w:rFonts w:hint="eastAsia" w:ascii="Times New Roman" w:hAnsi="Times New Roman" w:eastAsia="宋体" w:cs="Times New Roman"/>
          <w:color w:val="auto"/>
          <w:highlight w:val="none"/>
          <w:lang w:eastAsia="zh-CN"/>
        </w:rPr>
        <w:t>项目原矿</w:t>
      </w:r>
      <w:r>
        <w:rPr>
          <w:rFonts w:hint="eastAsia" w:ascii="Times New Roman" w:hAnsi="Times New Roman" w:eastAsia="宋体" w:cs="Times New Roman"/>
          <w:color w:val="auto"/>
          <w:highlight w:val="none"/>
          <w:lang w:val="en-US" w:eastAsia="zh-CN"/>
        </w:rPr>
        <w:t>贮存库</w:t>
      </w:r>
      <w:r>
        <w:rPr>
          <w:rFonts w:hint="eastAsia" w:ascii="Times New Roman" w:hAnsi="Times New Roman" w:eastAsia="宋体" w:cs="Times New Roman"/>
          <w:color w:val="auto"/>
          <w:highlight w:val="none"/>
          <w:lang w:eastAsia="zh-CN"/>
        </w:rPr>
        <w:t>占地面积</w:t>
      </w:r>
      <w:r>
        <w:rPr>
          <w:rFonts w:hint="eastAsia" w:ascii="Times New Roman" w:hAnsi="Times New Roman" w:eastAsia="宋体" w:cs="Times New Roman"/>
          <w:color w:val="auto"/>
          <w:highlight w:val="none"/>
          <w:lang w:val="en-US" w:eastAsia="zh-CN"/>
        </w:rPr>
        <w:t>约40</w:t>
      </w:r>
      <w:r>
        <w:rPr>
          <w:rFonts w:hint="eastAsia" w:ascii="Times New Roman" w:hAnsi="Times New Roman" w:eastAsia="宋体" w:cs="Times New Roman"/>
          <w:color w:val="auto"/>
          <w:highlight w:val="none"/>
          <w:lang w:eastAsia="zh-CN"/>
        </w:rPr>
        <w:t>00m</w:t>
      </w:r>
      <w:r>
        <w:rPr>
          <w:rFonts w:hint="eastAsia" w:ascii="Times New Roman" w:hAnsi="Times New Roman" w:eastAsia="宋体" w:cs="Times New Roman"/>
          <w:color w:val="auto"/>
          <w:highlight w:val="none"/>
          <w:vertAlign w:val="superscript"/>
          <w:lang w:eastAsia="zh-CN"/>
        </w:rPr>
        <w:t>2</w:t>
      </w:r>
      <w:r>
        <w:rPr>
          <w:rFonts w:hint="eastAsia" w:ascii="Times New Roman" w:hAnsi="Times New Roman" w:eastAsia="宋体" w:cs="Times New Roman"/>
          <w:color w:val="auto"/>
          <w:highlight w:val="none"/>
          <w:lang w:eastAsia="zh-CN"/>
        </w:rPr>
        <w:t>，道路占地面积</w:t>
      </w:r>
      <w:r>
        <w:rPr>
          <w:rFonts w:hint="eastAsia" w:ascii="Times New Roman" w:hAnsi="Times New Roman" w:eastAsia="宋体" w:cs="Times New Roman"/>
          <w:color w:val="auto"/>
          <w:highlight w:val="none"/>
          <w:lang w:val="en-US" w:eastAsia="zh-CN"/>
        </w:rPr>
        <w:t>约1300</w:t>
      </w:r>
      <w:r>
        <w:rPr>
          <w:rFonts w:hint="eastAsia" w:ascii="Times New Roman" w:hAnsi="Times New Roman" w:eastAsia="宋体" w:cs="Times New Roman"/>
          <w:color w:val="auto"/>
          <w:highlight w:val="none"/>
          <w:lang w:eastAsia="zh-CN"/>
        </w:rPr>
        <w:t>m</w:t>
      </w:r>
      <w:r>
        <w:rPr>
          <w:rFonts w:hint="eastAsia" w:ascii="Times New Roman" w:hAnsi="Times New Roman" w:eastAsia="宋体" w:cs="Times New Roman"/>
          <w:color w:val="auto"/>
          <w:highlight w:val="none"/>
          <w:vertAlign w:val="superscript"/>
          <w:lang w:eastAsia="zh-CN"/>
        </w:rPr>
        <w:t>2</w:t>
      </w:r>
      <w:r>
        <w:rPr>
          <w:rFonts w:hint="eastAsia" w:ascii="Times New Roman" w:hAnsi="Times New Roman" w:eastAsia="宋体" w:cs="Times New Roman"/>
          <w:color w:val="auto"/>
          <w:highlight w:val="none"/>
          <w:lang w:eastAsia="zh-CN"/>
        </w:rPr>
        <w:t>，参照《内蒙古自治区地方标准 行业用水定额》（DB15/T385-2020）中场地、道路喷洒用水定额为1.5L/（m</w:t>
      </w:r>
      <w:r>
        <w:rPr>
          <w:rFonts w:hint="eastAsia" w:ascii="Times New Roman" w:hAnsi="Times New Roman" w:eastAsia="宋体" w:cs="Times New Roman"/>
          <w:color w:val="auto"/>
          <w:highlight w:val="none"/>
          <w:vertAlign w:val="superscript"/>
          <w:lang w:eastAsia="zh-CN"/>
        </w:rPr>
        <w:t>2</w:t>
      </w:r>
      <w:r>
        <w:rPr>
          <w:rFonts w:hint="eastAsia" w:ascii="Times New Roman" w:hAnsi="Times New Roman" w:eastAsia="宋体" w:cs="Times New Roman"/>
          <w:color w:val="auto"/>
          <w:highlight w:val="none"/>
          <w:lang w:eastAsia="zh-CN"/>
        </w:rPr>
        <w:t>.d），则洒水抑尘用水量为</w:t>
      </w:r>
      <w:r>
        <w:rPr>
          <w:rFonts w:hint="eastAsia" w:ascii="Times New Roman" w:hAnsi="Times New Roman" w:eastAsia="宋体" w:cs="Times New Roman"/>
          <w:color w:val="auto"/>
          <w:highlight w:val="none"/>
          <w:lang w:val="en-US" w:eastAsia="zh-CN"/>
        </w:rPr>
        <w:t>7.95</w:t>
      </w:r>
      <w:r>
        <w:rPr>
          <w:rFonts w:hint="eastAsia" w:ascii="Times New Roman" w:hAnsi="Times New Roman" w:eastAsia="宋体" w:cs="Times New Roman"/>
          <w:color w:val="auto"/>
          <w:highlight w:val="none"/>
          <w:lang w:eastAsia="zh-CN"/>
        </w:rPr>
        <w:t>m</w:t>
      </w:r>
      <w:r>
        <w:rPr>
          <w:rFonts w:hint="eastAsia" w:ascii="Times New Roman" w:hAnsi="Times New Roman" w:eastAsia="宋体" w:cs="Times New Roman"/>
          <w:color w:val="auto"/>
          <w:highlight w:val="none"/>
          <w:vertAlign w:val="superscript"/>
          <w:lang w:eastAsia="zh-CN"/>
        </w:rPr>
        <w:t>3</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d</w:t>
      </w:r>
      <w:r>
        <w:rPr>
          <w:rFonts w:hint="eastAsia" w:ascii="Times New Roman" w:hAnsi="Times New Roman" w:eastAsia="宋体" w:cs="Times New Roman"/>
          <w:color w:val="auto"/>
          <w:highlight w:val="none"/>
          <w:lang w:eastAsia="zh-CN"/>
        </w:rPr>
        <w:t>。</w:t>
      </w:r>
    </w:p>
    <w:p w14:paraId="0CECFEED">
      <w:pPr>
        <w:ind w:firstLine="48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②磨矿</w:t>
      </w:r>
      <w:r>
        <w:rPr>
          <w:rFonts w:hint="eastAsia" w:ascii="Times New Roman" w:hAnsi="Times New Roman" w:eastAsia="宋体" w:cs="Times New Roman"/>
          <w:color w:val="auto"/>
          <w:highlight w:val="none"/>
          <w:lang w:val="en-US" w:eastAsia="zh-CN"/>
        </w:rPr>
        <w:t>环节</w:t>
      </w:r>
      <w:r>
        <w:rPr>
          <w:rFonts w:hint="default" w:ascii="Times New Roman" w:hAnsi="Times New Roman" w:eastAsia="宋体" w:cs="Times New Roman"/>
          <w:color w:val="auto"/>
          <w:highlight w:val="none"/>
          <w:lang w:val="en-US" w:eastAsia="zh-CN"/>
        </w:rPr>
        <w:t>用水</w:t>
      </w:r>
      <w:r>
        <w:rPr>
          <w:rFonts w:hint="eastAsia" w:ascii="Times New Roman" w:hAnsi="Times New Roman" w:eastAsia="宋体" w:cs="Times New Roman"/>
          <w:color w:val="auto"/>
          <w:highlight w:val="none"/>
          <w:lang w:val="en-US" w:eastAsia="zh-CN"/>
        </w:rPr>
        <w:t>：</w:t>
      </w:r>
    </w:p>
    <w:p w14:paraId="73042671">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矿石磨矿</w:t>
      </w:r>
      <w:r>
        <w:rPr>
          <w:rFonts w:hint="eastAsia" w:ascii="Times New Roman" w:hAnsi="Times New Roman" w:eastAsia="宋体" w:cs="Times New Roman"/>
          <w:color w:val="auto"/>
          <w:highlight w:val="none"/>
          <w:lang w:val="en-US" w:eastAsia="zh-CN"/>
        </w:rPr>
        <w:t>所需用水量为90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w:t>
      </w:r>
      <w:r>
        <w:rPr>
          <w:rFonts w:hint="eastAsia" w:ascii="Times New Roman" w:hAnsi="Times New Roman" w:eastAsia="宋体" w:cs="Times New Roman"/>
          <w:color w:val="auto"/>
          <w:highlight w:val="none"/>
          <w:lang w:val="en-US" w:eastAsia="zh-CN"/>
        </w:rPr>
        <w:t>，全部为新鲜水，随着矿石进入精选和扫选工序</w:t>
      </w:r>
      <w:r>
        <w:rPr>
          <w:rFonts w:hint="default" w:ascii="Times New Roman" w:hAnsi="Times New Roman" w:eastAsia="宋体" w:cs="Times New Roman"/>
          <w:color w:val="auto"/>
          <w:highlight w:val="none"/>
          <w:lang w:val="en-US" w:eastAsia="zh-CN"/>
        </w:rPr>
        <w:t>。</w:t>
      </w:r>
    </w:p>
    <w:p w14:paraId="56CDED1F">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w:t>
      </w:r>
      <w:r>
        <w:rPr>
          <w:rFonts w:hint="eastAsia" w:ascii="Times New Roman" w:hAnsi="Times New Roman" w:eastAsia="宋体" w:cs="Times New Roman"/>
          <w:color w:val="auto"/>
          <w:highlight w:val="none"/>
          <w:lang w:val="en-US" w:eastAsia="zh-CN"/>
        </w:rPr>
        <w:t>精选环节用水：</w:t>
      </w:r>
    </w:p>
    <w:p w14:paraId="0DD82F56">
      <w:pPr>
        <w:snapToGrid w:val="0"/>
        <w:ind w:firstLine="480"/>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本项目精选环节用水量为560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其中</w:t>
      </w:r>
      <w:r>
        <w:rPr>
          <w:rFonts w:hint="default" w:ascii="Times New Roman" w:hAnsi="Times New Roman" w:cs="Times New Roman"/>
          <w:color w:val="auto"/>
          <w:highlight w:val="none"/>
        </w:rPr>
        <w:t>循环水量</w:t>
      </w:r>
      <w:r>
        <w:rPr>
          <w:rFonts w:hint="eastAsia" w:cs="Times New Roman"/>
          <w:color w:val="auto"/>
          <w:highlight w:val="none"/>
          <w:lang w:val="en-US" w:eastAsia="zh-CN"/>
        </w:rPr>
        <w:t>547.25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eastAsia" w:cs="Times New Roman"/>
          <w:color w:val="auto"/>
          <w:highlight w:val="none"/>
          <w:lang w:val="en-US" w:eastAsia="zh-CN"/>
        </w:rPr>
        <w:t>补充新鲜水量为12.75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p>
    <w:p w14:paraId="379FA560">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④扫选环节用水：</w:t>
      </w:r>
    </w:p>
    <w:p w14:paraId="470DFE02">
      <w:pPr>
        <w:snapToGrid w:val="0"/>
        <w:ind w:firstLine="480"/>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本项目扫选环节用水量为593.05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其中</w:t>
      </w:r>
      <w:r>
        <w:rPr>
          <w:rFonts w:hint="default" w:ascii="Times New Roman" w:hAnsi="Times New Roman" w:cs="Times New Roman"/>
          <w:color w:val="auto"/>
          <w:highlight w:val="none"/>
        </w:rPr>
        <w:t>循环水量</w:t>
      </w:r>
      <w:r>
        <w:rPr>
          <w:rFonts w:hint="eastAsia" w:cs="Times New Roman"/>
          <w:color w:val="auto"/>
          <w:highlight w:val="none"/>
          <w:lang w:val="en-US" w:eastAsia="zh-CN"/>
        </w:rPr>
        <w:t>577.75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eastAsia" w:cs="Times New Roman"/>
          <w:color w:val="auto"/>
          <w:highlight w:val="none"/>
          <w:lang w:val="en-US" w:eastAsia="zh-CN"/>
        </w:rPr>
        <w:t>补充新鲜水量为15.3</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p>
    <w:p w14:paraId="1AC9597F">
      <w:pPr>
        <w:pStyle w:val="6"/>
        <w:rPr>
          <w:rFonts w:hint="default" w:ascii="Times New Roman" w:hAnsi="Times New Roman" w:eastAsia="宋体" w:cs="Times New Roman"/>
          <w:b/>
          <w:bCs/>
          <w:color w:val="auto"/>
          <w:highlight w:val="none"/>
          <w:lang w:val="en-US" w:eastAsia="zh-CN"/>
        </w:rPr>
      </w:pPr>
      <w:r>
        <w:rPr>
          <w:rFonts w:hint="eastAsia"/>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循环水</w:t>
      </w:r>
      <w:r>
        <w:rPr>
          <w:rFonts w:hint="eastAsia" w:cs="Times New Roman"/>
          <w:b/>
          <w:bCs/>
          <w:color w:val="auto"/>
          <w:highlight w:val="none"/>
          <w:lang w:val="en-US" w:eastAsia="zh-CN"/>
        </w:rPr>
        <w:t>系统</w:t>
      </w:r>
      <w:r>
        <w:rPr>
          <w:rFonts w:hint="eastAsia" w:ascii="Times New Roman" w:hAnsi="Times New Roman" w:cs="Times New Roman"/>
          <w:b/>
          <w:bCs/>
          <w:color w:val="auto"/>
          <w:highlight w:val="none"/>
          <w:lang w:val="en-US" w:eastAsia="zh-CN"/>
        </w:rPr>
        <w:t>：</w:t>
      </w:r>
    </w:p>
    <w:p w14:paraId="5D05FF1C">
      <w:pPr>
        <w:snapToGrid w:val="0"/>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本项目</w:t>
      </w:r>
      <w:r>
        <w:rPr>
          <w:rFonts w:hint="eastAsia" w:ascii="Times New Roman" w:hAnsi="Times New Roman" w:cs="Times New Roman"/>
          <w:color w:val="auto"/>
          <w:highlight w:val="none"/>
          <w:lang w:val="en-US" w:eastAsia="zh-CN"/>
        </w:rPr>
        <w:t>循</w:t>
      </w:r>
      <w:r>
        <w:rPr>
          <w:rFonts w:hint="default" w:ascii="Times New Roman" w:hAnsi="Times New Roman" w:eastAsia="宋体" w:cs="Times New Roman"/>
          <w:color w:val="auto"/>
          <w:highlight w:val="none"/>
          <w:lang w:val="en-US" w:eastAsia="zh-CN"/>
        </w:rPr>
        <w:t>环水系统用水工序精选</w:t>
      </w:r>
      <w:r>
        <w:rPr>
          <w:rFonts w:hint="eastAsia" w:cs="Times New Roman"/>
          <w:color w:val="auto"/>
          <w:highlight w:val="none"/>
          <w:lang w:val="en-US" w:eastAsia="zh-CN"/>
        </w:rPr>
        <w:t>和</w:t>
      </w:r>
      <w:r>
        <w:rPr>
          <w:rFonts w:hint="default" w:ascii="Times New Roman" w:hAnsi="Times New Roman" w:eastAsia="宋体" w:cs="Times New Roman"/>
          <w:color w:val="auto"/>
          <w:highlight w:val="none"/>
          <w:lang w:val="en-US" w:eastAsia="zh-CN"/>
        </w:rPr>
        <w:t>扫选工序，精选工序循环水</w:t>
      </w:r>
      <w:r>
        <w:rPr>
          <w:rFonts w:hint="eastAsia" w:cs="Times New Roman"/>
          <w:color w:val="auto"/>
          <w:highlight w:val="none"/>
          <w:lang w:val="en-US" w:eastAsia="zh-CN"/>
        </w:rPr>
        <w:t>用</w:t>
      </w:r>
      <w:r>
        <w:rPr>
          <w:rFonts w:hint="default" w:ascii="Times New Roman" w:hAnsi="Times New Roman" w:eastAsia="宋体" w:cs="Times New Roman"/>
          <w:color w:val="auto"/>
          <w:highlight w:val="none"/>
          <w:lang w:val="en-US" w:eastAsia="zh-CN"/>
        </w:rPr>
        <w:t>量为</w:t>
      </w:r>
      <w:r>
        <w:rPr>
          <w:rFonts w:hint="eastAsia" w:cs="Times New Roman"/>
          <w:color w:val="auto"/>
          <w:highlight w:val="none"/>
          <w:lang w:val="en-US" w:eastAsia="zh-CN"/>
        </w:rPr>
        <w:t>547.25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，扫选工序</w:t>
      </w:r>
      <w:r>
        <w:rPr>
          <w:rFonts w:hint="default" w:ascii="Times New Roman" w:hAnsi="Times New Roman" w:cs="Times New Roman"/>
          <w:color w:val="auto"/>
          <w:highlight w:val="none"/>
        </w:rPr>
        <w:t>循环水量</w:t>
      </w:r>
      <w:r>
        <w:rPr>
          <w:rFonts w:hint="eastAsia" w:cs="Times New Roman"/>
          <w:color w:val="auto"/>
          <w:highlight w:val="none"/>
          <w:lang w:val="en-US" w:eastAsia="zh-CN"/>
        </w:rPr>
        <w:t>577.75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合计循环水用量为1125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ascii="Times New Roman" w:hAnsi="Times New Roman" w:cs="Times New Roman"/>
          <w:color w:val="auto"/>
          <w:highlight w:val="none"/>
          <w:lang w:val="en-US" w:eastAsia="zh-CN"/>
        </w:rPr>
        <w:t>。</w:t>
      </w:r>
    </w:p>
    <w:p w14:paraId="1A8C16A8">
      <w:pPr>
        <w:pStyle w:val="6"/>
        <w:rPr>
          <w:rFonts w:hint="default"/>
          <w:color w:val="auto"/>
          <w:highlight w:val="none"/>
          <w:lang w:val="en-US" w:eastAsia="zh-CN"/>
        </w:rPr>
      </w:pPr>
      <w:r>
        <w:rPr>
          <w:rFonts w:hint="eastAsia"/>
          <w:color w:val="auto"/>
          <w:highlight w:val="none"/>
          <w:lang w:val="en-US" w:eastAsia="zh-CN"/>
        </w:rPr>
        <w:t xml:space="preserve"> 生活用水</w:t>
      </w:r>
    </w:p>
    <w:p w14:paraId="739525D8">
      <w:pPr>
        <w:adjustRightInd w:val="0"/>
        <w:snapToGrid w:val="0"/>
        <w:spacing w:line="480" w:lineRule="exact"/>
        <w:ind w:firstLine="480" w:firstLineChars="200"/>
        <w:rPr>
          <w:color w:val="auto"/>
          <w:sz w:val="24"/>
          <w:szCs w:val="24"/>
          <w:highlight w:val="none"/>
        </w:rPr>
      </w:pPr>
      <w:r>
        <w:rPr>
          <w:rFonts w:hint="eastAsia"/>
          <w:b w:val="0"/>
          <w:color w:val="auto"/>
          <w:kern w:val="0"/>
          <w:highlight w:val="none"/>
          <w:lang w:val="en-US" w:eastAsia="zh-CN"/>
        </w:rPr>
        <w:t>本项目生活用水依托多伦县盟东水泥厂现有自备水井，</w:t>
      </w:r>
      <w:r>
        <w:rPr>
          <w:rFonts w:hint="eastAsia"/>
          <w:color w:val="auto"/>
          <w:sz w:val="24"/>
          <w:szCs w:val="24"/>
          <w:highlight w:val="none"/>
          <w:lang w:val="en-US" w:eastAsia="zh-CN"/>
        </w:rPr>
        <w:t>本项目总</w:t>
      </w:r>
      <w:r>
        <w:rPr>
          <w:color w:val="auto"/>
          <w:sz w:val="24"/>
          <w:szCs w:val="24"/>
          <w:highlight w:val="none"/>
        </w:rPr>
        <w:t>劳动定员为</w:t>
      </w:r>
      <w:r>
        <w:rPr>
          <w:rFonts w:hint="eastAsia"/>
          <w:color w:val="auto"/>
          <w:sz w:val="24"/>
          <w:szCs w:val="24"/>
          <w:highlight w:val="none"/>
          <w:lang w:val="en-US" w:eastAsia="zh-CN"/>
        </w:rPr>
        <w:t>60</w:t>
      </w:r>
      <w:r>
        <w:rPr>
          <w:color w:val="auto"/>
          <w:sz w:val="24"/>
          <w:szCs w:val="24"/>
          <w:highlight w:val="none"/>
        </w:rPr>
        <w:t>人，</w:t>
      </w:r>
      <w:r>
        <w:rPr>
          <w:rFonts w:hint="eastAsia"/>
          <w:color w:val="auto"/>
          <w:sz w:val="24"/>
          <w:szCs w:val="24"/>
          <w:highlight w:val="none"/>
          <w:lang w:val="en-US" w:eastAsia="zh-CN"/>
        </w:rPr>
        <w:t>实行三班倒生产制度，日均劳动定员30人，</w:t>
      </w:r>
      <w:r>
        <w:rPr>
          <w:color w:val="auto"/>
          <w:sz w:val="24"/>
          <w:szCs w:val="24"/>
          <w:highlight w:val="none"/>
        </w:rPr>
        <w:t>根据《内蒙古自治区地方标准 行业用水定额》（DB15/T385-2020），</w:t>
      </w:r>
      <w:r>
        <w:rPr>
          <w:rFonts w:hint="eastAsia"/>
          <w:color w:val="auto"/>
          <w:sz w:val="24"/>
          <w:szCs w:val="24"/>
          <w:highlight w:val="none"/>
          <w:lang w:val="en-US" w:eastAsia="zh-CN"/>
        </w:rPr>
        <w:t>本项目新增</w:t>
      </w:r>
      <w:r>
        <w:rPr>
          <w:color w:val="auto"/>
          <w:sz w:val="24"/>
          <w:szCs w:val="24"/>
          <w:highlight w:val="none"/>
        </w:rPr>
        <w:t>职工生活用水</w:t>
      </w:r>
      <w:r>
        <w:rPr>
          <w:rFonts w:hint="eastAsia"/>
          <w:color w:val="auto"/>
          <w:sz w:val="24"/>
          <w:szCs w:val="24"/>
          <w:highlight w:val="none"/>
          <w:lang w:eastAsia="zh-CN"/>
        </w:rPr>
        <w:t>，</w:t>
      </w:r>
      <w:r>
        <w:rPr>
          <w:color w:val="auto"/>
          <w:sz w:val="24"/>
          <w:szCs w:val="24"/>
          <w:highlight w:val="none"/>
        </w:rPr>
        <w:t>参照农村居民用水按60L/人.d计算，年工作时间300d，则生活用水</w:t>
      </w:r>
      <w:r>
        <w:rPr>
          <w:rFonts w:hint="eastAsia"/>
          <w:color w:val="auto"/>
          <w:sz w:val="24"/>
          <w:szCs w:val="24"/>
          <w:highlight w:val="none"/>
          <w:lang w:val="en-US" w:eastAsia="zh-CN"/>
        </w:rPr>
        <w:t>1.8</w:t>
      </w:r>
      <w:r>
        <w:rPr>
          <w:color w:val="auto"/>
          <w:sz w:val="24"/>
          <w:szCs w:val="24"/>
          <w:highlight w:val="none"/>
        </w:rPr>
        <w:t>m</w:t>
      </w:r>
      <w:r>
        <w:rPr>
          <w:color w:val="auto"/>
          <w:sz w:val="24"/>
          <w:szCs w:val="24"/>
          <w:highlight w:val="none"/>
          <w:vertAlign w:val="superscript"/>
        </w:rPr>
        <w:t>3</w:t>
      </w:r>
      <w:r>
        <w:rPr>
          <w:color w:val="auto"/>
          <w:sz w:val="24"/>
          <w:szCs w:val="24"/>
          <w:highlight w:val="none"/>
          <w:vertAlign w:val="baseline"/>
        </w:rPr>
        <w:t>/</w:t>
      </w:r>
      <w:r>
        <w:rPr>
          <w:color w:val="auto"/>
          <w:sz w:val="24"/>
          <w:szCs w:val="24"/>
          <w:highlight w:val="none"/>
        </w:rPr>
        <w:t>d。</w:t>
      </w:r>
    </w:p>
    <w:p w14:paraId="231FFCC4">
      <w:pPr>
        <w:pStyle w:val="5"/>
        <w:rPr>
          <w:rFonts w:hint="eastAsia"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排水工程</w:t>
      </w:r>
    </w:p>
    <w:p w14:paraId="3C0409FB">
      <w:pPr>
        <w:adjustRightInd w:val="0"/>
        <w:snapToGrid w:val="0"/>
        <w:spacing w:line="480" w:lineRule="exact"/>
        <w:ind w:firstLine="480" w:firstLineChars="200"/>
        <w:rPr>
          <w:rFonts w:hint="default" w:ascii="Times New Roman" w:hAnsi="Times New Roman" w:eastAsia="宋体" w:cs="Times New Roman"/>
          <w:b w:val="0"/>
          <w:color w:val="auto"/>
          <w:kern w:val="0"/>
          <w:highlight w:val="none"/>
          <w:lang w:val="en-US" w:eastAsia="zh-CN"/>
        </w:rPr>
      </w:pPr>
      <w:r>
        <w:rPr>
          <w:rFonts w:hint="eastAsia" w:ascii="Times New Roman" w:hAnsi="Times New Roman" w:eastAsia="宋体" w:cs="Times New Roman"/>
          <w:b w:val="0"/>
          <w:color w:val="auto"/>
          <w:kern w:val="0"/>
          <w:highlight w:val="none"/>
          <w:lang w:val="en-US" w:eastAsia="zh-CN"/>
        </w:rPr>
        <w:t>本项目</w:t>
      </w:r>
      <w:r>
        <w:rPr>
          <w:rFonts w:hint="default" w:ascii="Times New Roman" w:hAnsi="Times New Roman" w:eastAsia="宋体" w:cs="Times New Roman"/>
          <w:b w:val="0"/>
          <w:color w:val="auto"/>
          <w:kern w:val="0"/>
          <w:highlight w:val="none"/>
          <w:lang w:val="en-US" w:eastAsia="zh-CN"/>
        </w:rPr>
        <w:t>产生的废水主要为生产废水及生活污水。生产废水包括精矿脱水过程产生的压滤水、尾矿脱水过程产生的压滤水。</w:t>
      </w:r>
    </w:p>
    <w:p w14:paraId="51BFD1B9">
      <w:pPr>
        <w:pStyle w:val="6"/>
        <w:rPr>
          <w:rFonts w:hint="default"/>
          <w:color w:val="auto"/>
          <w:highlight w:val="none"/>
          <w:lang w:val="en-US" w:eastAsia="zh-CN"/>
        </w:rPr>
      </w:pPr>
      <w:r>
        <w:rPr>
          <w:rFonts w:hint="eastAsia"/>
          <w:color w:val="auto"/>
          <w:highlight w:val="none"/>
          <w:lang w:val="en-US" w:eastAsia="zh-CN"/>
        </w:rPr>
        <w:t xml:space="preserve"> 生产废水</w:t>
      </w:r>
    </w:p>
    <w:p w14:paraId="1B84E571">
      <w:pPr>
        <w:snapToGrid w:val="0"/>
        <w:ind w:firstLine="480"/>
        <w:rPr>
          <w:rFonts w:hint="default" w:ascii="Times New Roman" w:hAnsi="Times New Roman"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①</w:t>
      </w:r>
      <w:r>
        <w:rPr>
          <w:rFonts w:hint="eastAsia" w:ascii="Times New Roman" w:hAnsi="Times New Roman" w:cs="Times New Roman"/>
          <w:b w:val="0"/>
          <w:bCs w:val="0"/>
          <w:color w:val="auto"/>
          <w:highlight w:val="none"/>
          <w:lang w:val="en-US" w:eastAsia="zh-CN"/>
        </w:rPr>
        <w:t>精矿脱水废水：</w:t>
      </w:r>
    </w:p>
    <w:p w14:paraId="7B5F94E3">
      <w:pPr>
        <w:snapToGrid w:val="0"/>
        <w:ind w:firstLine="48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精矿</w:t>
      </w:r>
      <w:r>
        <w:rPr>
          <w:rFonts w:hint="eastAsia" w:cs="Times New Roman"/>
          <w:color w:val="auto"/>
          <w:highlight w:val="none"/>
          <w:lang w:val="en-US" w:eastAsia="zh-CN"/>
        </w:rPr>
        <w:t>压滤</w:t>
      </w:r>
      <w:r>
        <w:rPr>
          <w:rFonts w:hint="default" w:ascii="Times New Roman" w:hAnsi="Times New Roman" w:cs="Times New Roman"/>
          <w:color w:val="auto"/>
          <w:highlight w:val="none"/>
        </w:rPr>
        <w:t>脱水</w:t>
      </w:r>
      <w:r>
        <w:rPr>
          <w:rFonts w:hint="eastAsia" w:cs="Times New Roman"/>
          <w:color w:val="auto"/>
          <w:highlight w:val="none"/>
          <w:lang w:val="en-US" w:eastAsia="zh-CN"/>
        </w:rPr>
        <w:t>后</w:t>
      </w:r>
      <w:r>
        <w:rPr>
          <w:rFonts w:hint="eastAsia" w:ascii="Times New Roman" w:hAnsi="Times New Roman" w:cs="Times New Roman"/>
          <w:color w:val="auto"/>
          <w:highlight w:val="none"/>
          <w:lang w:val="en-US" w:eastAsia="zh-CN"/>
        </w:rPr>
        <w:t>废水产生量</w:t>
      </w:r>
      <w:r>
        <w:rPr>
          <w:rFonts w:hint="eastAsia" w:cs="Times New Roman"/>
          <w:color w:val="auto"/>
          <w:highlight w:val="none"/>
          <w:lang w:val="en-US" w:eastAsia="zh-CN"/>
        </w:rPr>
        <w:t>548.6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浓缩压滤后废水返回循环沉淀池循环利用；脱水</w:t>
      </w:r>
      <w:r>
        <w:rPr>
          <w:rFonts w:hint="eastAsia" w:ascii="Times New Roman" w:hAnsi="Times New Roman" w:cs="Times New Roman"/>
          <w:color w:val="auto"/>
          <w:highlight w:val="none"/>
          <w:lang w:val="en-US" w:eastAsia="zh-CN"/>
        </w:rPr>
        <w:t>精矿</w:t>
      </w:r>
      <w:r>
        <w:rPr>
          <w:rFonts w:hint="eastAsia" w:cs="Times New Roman"/>
          <w:color w:val="auto"/>
          <w:highlight w:val="none"/>
          <w:lang w:val="en-US" w:eastAsia="zh-CN"/>
        </w:rPr>
        <w:t>带走含水量为48.9，产品精矿</w:t>
      </w:r>
      <w:r>
        <w:rPr>
          <w:rFonts w:hint="eastAsia" w:ascii="Times New Roman" w:hAnsi="Times New Roman" w:cs="Times New Roman"/>
          <w:color w:val="auto"/>
          <w:highlight w:val="none"/>
          <w:lang w:val="en-US" w:eastAsia="zh-CN"/>
        </w:rPr>
        <w:t>含水率</w:t>
      </w:r>
      <w:r>
        <w:rPr>
          <w:rFonts w:hint="eastAsia" w:cs="Times New Roman"/>
          <w:color w:val="auto"/>
          <w:highlight w:val="none"/>
          <w:lang w:val="en-US" w:eastAsia="zh-CN"/>
        </w:rPr>
        <w:t>约</w:t>
      </w:r>
      <w:r>
        <w:rPr>
          <w:rFonts w:hint="eastAsia" w:ascii="Times New Roman" w:hAnsi="Times New Roman" w:cs="Times New Roman"/>
          <w:color w:val="auto"/>
          <w:highlight w:val="none"/>
          <w:lang w:val="en-US" w:eastAsia="zh-CN"/>
        </w:rPr>
        <w:t>为</w:t>
      </w:r>
      <w:r>
        <w:rPr>
          <w:rFonts w:hint="eastAsia" w:cs="Times New Roman"/>
          <w:color w:val="auto"/>
          <w:highlight w:val="none"/>
          <w:lang w:val="en-US" w:eastAsia="zh-CN"/>
        </w:rPr>
        <w:t>10.5</w:t>
      </w:r>
      <w:r>
        <w:rPr>
          <w:rFonts w:hint="eastAsia" w:ascii="Times New Roman" w:hAnsi="Times New Roman" w:cs="Times New Roman"/>
          <w:color w:val="auto"/>
          <w:highlight w:val="none"/>
          <w:lang w:val="en-US" w:eastAsia="zh-CN"/>
        </w:rPr>
        <w:t>%。</w:t>
      </w:r>
    </w:p>
    <w:p w14:paraId="147C7498">
      <w:pPr>
        <w:snapToGrid w:val="0"/>
        <w:ind w:firstLine="48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②</w:t>
      </w:r>
      <w:r>
        <w:rPr>
          <w:rFonts w:hint="eastAsia" w:ascii="Times New Roman" w:hAnsi="Times New Roman" w:cs="Times New Roman"/>
          <w:b w:val="0"/>
          <w:bCs w:val="0"/>
          <w:color w:val="auto"/>
          <w:highlight w:val="none"/>
          <w:lang w:val="en-US" w:eastAsia="zh-CN"/>
        </w:rPr>
        <w:t>尾矿</w:t>
      </w:r>
      <w:r>
        <w:rPr>
          <w:rFonts w:hint="eastAsia" w:cs="Times New Roman"/>
          <w:b w:val="0"/>
          <w:bCs w:val="0"/>
          <w:color w:val="auto"/>
          <w:highlight w:val="none"/>
          <w:lang w:val="en-US" w:eastAsia="zh-CN"/>
        </w:rPr>
        <w:t>和循环沉淀池底泥</w:t>
      </w:r>
      <w:r>
        <w:rPr>
          <w:rFonts w:hint="eastAsia" w:ascii="Times New Roman" w:hAnsi="Times New Roman" w:cs="Times New Roman"/>
          <w:b w:val="0"/>
          <w:bCs w:val="0"/>
          <w:color w:val="auto"/>
          <w:highlight w:val="none"/>
          <w:lang w:val="en-US" w:eastAsia="zh-CN"/>
        </w:rPr>
        <w:t>压滤废水：</w:t>
      </w:r>
    </w:p>
    <w:p w14:paraId="2264DB26">
      <w:pPr>
        <w:snapToGrid w:val="0"/>
        <w:ind w:firstLine="480"/>
        <w:rPr>
          <w:rFonts w:hint="eastAsia" w:ascii="Times New Roman" w:hAnsi="Times New Roman" w:cs="Times New Roman"/>
          <w:color w:val="auto"/>
          <w:highlight w:val="none"/>
          <w:lang w:val="en-US" w:eastAsia="zh-CN"/>
        </w:rPr>
      </w:pPr>
      <w:r>
        <w:rPr>
          <w:rFonts w:hint="eastAsia" w:ascii="Times New Roman" w:hAnsi="Times New Roman" w:cs="Times New Roman"/>
          <w:b w:val="0"/>
          <w:bCs w:val="0"/>
          <w:color w:val="auto"/>
          <w:highlight w:val="none"/>
          <w:lang w:val="en-US" w:eastAsia="zh-CN"/>
        </w:rPr>
        <w:t>尾矿</w:t>
      </w:r>
      <w:r>
        <w:rPr>
          <w:rFonts w:hint="eastAsia" w:cs="Times New Roman"/>
          <w:b w:val="0"/>
          <w:bCs w:val="0"/>
          <w:color w:val="auto"/>
          <w:highlight w:val="none"/>
          <w:lang w:val="en-US" w:eastAsia="zh-CN"/>
        </w:rPr>
        <w:t>和循环沉淀池底泥</w:t>
      </w:r>
      <w:r>
        <w:rPr>
          <w:rFonts w:hint="default" w:ascii="Times New Roman" w:hAnsi="Times New Roman" w:cs="Times New Roman"/>
          <w:color w:val="auto"/>
          <w:highlight w:val="none"/>
        </w:rPr>
        <w:t>脱水</w:t>
      </w:r>
      <w:r>
        <w:rPr>
          <w:rFonts w:hint="eastAsia" w:cs="Times New Roman"/>
          <w:color w:val="auto"/>
          <w:highlight w:val="none"/>
          <w:lang w:val="en-US" w:eastAsia="zh-CN"/>
        </w:rPr>
        <w:t>后</w:t>
      </w:r>
      <w:r>
        <w:rPr>
          <w:rFonts w:hint="eastAsia" w:ascii="Times New Roman" w:hAnsi="Times New Roman" w:cs="Times New Roman"/>
          <w:color w:val="auto"/>
          <w:highlight w:val="none"/>
          <w:lang w:val="en-US" w:eastAsia="zh-CN"/>
        </w:rPr>
        <w:t>废水产生量</w:t>
      </w:r>
      <w:r>
        <w:rPr>
          <w:rFonts w:hint="eastAsia" w:cs="Times New Roman"/>
          <w:color w:val="auto"/>
          <w:highlight w:val="none"/>
          <w:lang w:val="en-US" w:eastAsia="zh-CN"/>
        </w:rPr>
        <w:t>576.4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浓缩压滤后废水返回循环沉淀池循环利用；脱水</w:t>
      </w:r>
      <w:r>
        <w:rPr>
          <w:rFonts w:hint="eastAsia" w:ascii="Times New Roman" w:hAnsi="Times New Roman" w:cs="Times New Roman"/>
          <w:color w:val="auto"/>
          <w:highlight w:val="none"/>
          <w:lang w:val="en-US" w:eastAsia="zh-CN"/>
        </w:rPr>
        <w:t>精矿</w:t>
      </w:r>
      <w:r>
        <w:rPr>
          <w:rFonts w:hint="eastAsia" w:cs="Times New Roman"/>
          <w:color w:val="auto"/>
          <w:highlight w:val="none"/>
          <w:lang w:val="en-US" w:eastAsia="zh-CN"/>
        </w:rPr>
        <w:t>带走含水量为69.15，产品精矿</w:t>
      </w:r>
      <w:r>
        <w:rPr>
          <w:rFonts w:hint="eastAsia" w:ascii="Times New Roman" w:hAnsi="Times New Roman" w:cs="Times New Roman"/>
          <w:color w:val="auto"/>
          <w:highlight w:val="none"/>
          <w:lang w:val="en-US" w:eastAsia="zh-CN"/>
        </w:rPr>
        <w:t>含水率</w:t>
      </w:r>
      <w:r>
        <w:rPr>
          <w:rFonts w:hint="eastAsia" w:cs="Times New Roman"/>
          <w:color w:val="auto"/>
          <w:highlight w:val="none"/>
          <w:lang w:val="en-US" w:eastAsia="zh-CN"/>
        </w:rPr>
        <w:t>约</w:t>
      </w:r>
      <w:r>
        <w:rPr>
          <w:rFonts w:hint="eastAsia" w:ascii="Times New Roman" w:hAnsi="Times New Roman" w:cs="Times New Roman"/>
          <w:color w:val="auto"/>
          <w:highlight w:val="none"/>
          <w:lang w:val="en-US" w:eastAsia="zh-CN"/>
        </w:rPr>
        <w:t>为</w:t>
      </w:r>
      <w:r>
        <w:rPr>
          <w:rFonts w:hint="eastAsia" w:cs="Times New Roman"/>
          <w:color w:val="auto"/>
          <w:highlight w:val="none"/>
          <w:lang w:val="en-US" w:eastAsia="zh-CN"/>
        </w:rPr>
        <w:t>10.6</w:t>
      </w:r>
      <w:r>
        <w:rPr>
          <w:rFonts w:hint="eastAsia" w:ascii="Times New Roman" w:hAnsi="Times New Roman" w:cs="Times New Roman"/>
          <w:color w:val="auto"/>
          <w:highlight w:val="none"/>
          <w:lang w:val="en-US" w:eastAsia="zh-CN"/>
        </w:rPr>
        <w:t>%。</w:t>
      </w:r>
    </w:p>
    <w:p w14:paraId="4187D4B2">
      <w:pPr>
        <w:pStyle w:val="6"/>
        <w:rPr>
          <w:rFonts w:hint="default"/>
          <w:color w:val="auto"/>
          <w:highlight w:val="none"/>
          <w:lang w:val="en-US" w:eastAsia="zh-CN"/>
        </w:rPr>
      </w:pPr>
      <w:r>
        <w:rPr>
          <w:rFonts w:hint="eastAsia"/>
          <w:color w:val="auto"/>
          <w:highlight w:val="none"/>
          <w:lang w:val="en-US" w:eastAsia="zh-CN"/>
        </w:rPr>
        <w:t xml:space="preserve"> 生活污水</w:t>
      </w:r>
    </w:p>
    <w:p w14:paraId="324CD8BB">
      <w:pPr>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本项目生活污水量按生活用水量80%计，其生活污水产生量为1.44m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/d，生活污水依托盟东水泥厂办公区现有化粪池收集处理，再定期拉运至诺尔镇污水处理厂处理。</w:t>
      </w:r>
    </w:p>
    <w:p w14:paraId="69F6C0CF">
      <w:pPr>
        <w:pStyle w:val="5"/>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 xml:space="preserve"> 水平衡</w:t>
      </w:r>
    </w:p>
    <w:p w14:paraId="6D7735A5">
      <w:pPr>
        <w:ind w:firstLine="480"/>
        <w:rPr>
          <w:rFonts w:hint="eastAsia"/>
          <w:color w:val="auto"/>
          <w:highlight w:val="none"/>
          <w:lang w:val="en-US" w:eastAsia="zh-CN"/>
        </w:rPr>
      </w:pPr>
      <w:r>
        <w:rPr>
          <w:rFonts w:hint="eastAsia"/>
          <w:color w:val="auto"/>
          <w:highlight w:val="none"/>
          <w:lang w:val="en-US" w:eastAsia="zh-CN"/>
        </w:rPr>
        <w:t>本项目原料堆存库、道路洒水抑尘用水及生产系统磨矿、精选、扫选等生产用水用园区中水，办公生活用新鲜水依托盟东水泥厂现有自备水井，本项目用、排水情况及水平衡分析详见表3.6-1和图3.6-1。</w:t>
      </w:r>
    </w:p>
    <w:p w14:paraId="0FC38610">
      <w:pPr>
        <w:pStyle w:val="199"/>
        <w:spacing w:before="120"/>
        <w:ind w:firstLine="420" w:firstLineChars="0"/>
        <w:rPr>
          <w:rFonts w:hint="eastAsia"/>
          <w:color w:val="auto"/>
          <w:sz w:val="24"/>
          <w:highlight w:val="none"/>
          <w:lang w:val="en-US" w:eastAsia="zh-CN"/>
        </w:rPr>
      </w:pPr>
      <w:r>
        <w:rPr>
          <w:rFonts w:hint="eastAsia"/>
          <w:color w:val="auto"/>
          <w:sz w:val="24"/>
          <w:highlight w:val="none"/>
          <w:lang w:val="en-US" w:eastAsia="zh-CN"/>
        </w:rPr>
        <w:t>表3.6-1    本项目用排水平衡分析</w:t>
      </w:r>
    </w:p>
    <w:tbl>
      <w:tblPr>
        <w:tblStyle w:val="41"/>
        <w:tblW w:w="83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839"/>
        <w:gridCol w:w="1284"/>
        <w:gridCol w:w="1284"/>
        <w:gridCol w:w="1577"/>
        <w:gridCol w:w="1284"/>
      </w:tblGrid>
      <w:tr w14:paraId="4930F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32316D0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用水</w:t>
            </w:r>
          </w:p>
          <w:p w14:paraId="504F9D4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种类</w:t>
            </w:r>
          </w:p>
        </w:tc>
        <w:tc>
          <w:tcPr>
            <w:tcW w:w="0" w:type="auto"/>
            <w:gridSpan w:val="2"/>
            <w:tcBorders>
              <w:tl2br w:val="nil"/>
              <w:tr2bl w:val="nil"/>
            </w:tcBorders>
            <w:noWrap w:val="0"/>
            <w:vAlign w:val="center"/>
          </w:tcPr>
          <w:p w14:paraId="33E54D7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用水单元</w:t>
            </w:r>
          </w:p>
        </w:tc>
        <w:tc>
          <w:tcPr>
            <w:tcW w:w="0" w:type="auto"/>
            <w:tcBorders>
              <w:tl2br w:val="nil"/>
              <w:tr2bl w:val="nil"/>
            </w:tcBorders>
            <w:noWrap w:val="0"/>
            <w:vAlign w:val="center"/>
          </w:tcPr>
          <w:p w14:paraId="7747EB1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循环水</w:t>
            </w:r>
          </w:p>
        </w:tc>
        <w:tc>
          <w:tcPr>
            <w:tcW w:w="0" w:type="auto"/>
            <w:gridSpan w:val="2"/>
            <w:tcBorders>
              <w:tl2br w:val="nil"/>
              <w:tr2bl w:val="nil"/>
            </w:tcBorders>
            <w:noWrap w:val="0"/>
            <w:vAlign w:val="center"/>
          </w:tcPr>
          <w:p w14:paraId="2BEBDC6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排水、损耗单元</w:t>
            </w:r>
          </w:p>
        </w:tc>
      </w:tr>
      <w:tr w14:paraId="53C9A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51DF943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p>
        </w:tc>
        <w:tc>
          <w:tcPr>
            <w:tcW w:w="0" w:type="auto"/>
            <w:tcBorders>
              <w:tl2br w:val="nil"/>
              <w:tr2bl w:val="nil"/>
            </w:tcBorders>
            <w:noWrap w:val="0"/>
            <w:vAlign w:val="center"/>
          </w:tcPr>
          <w:p w14:paraId="4C3D422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用水种类</w:t>
            </w:r>
          </w:p>
        </w:tc>
        <w:tc>
          <w:tcPr>
            <w:tcW w:w="0" w:type="auto"/>
            <w:tcBorders>
              <w:tl2br w:val="nil"/>
              <w:tr2bl w:val="nil"/>
            </w:tcBorders>
            <w:noWrap w:val="0"/>
            <w:vAlign w:val="center"/>
          </w:tcPr>
          <w:p w14:paraId="4010CEA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数量m</w:t>
            </w:r>
            <w:r>
              <w:rPr>
                <w:rFonts w:hint="eastAsia"/>
                <w:b w:val="0"/>
                <w:color w:val="auto"/>
                <w:kern w:val="0"/>
                <w:sz w:val="21"/>
                <w:szCs w:val="21"/>
                <w:highlight w:val="none"/>
                <w:vertAlign w:val="superscript"/>
                <w:lang w:val="en-US" w:eastAsia="zh-CN"/>
              </w:rPr>
              <w:t>3</w:t>
            </w:r>
            <w:r>
              <w:rPr>
                <w:rFonts w:hint="eastAsia"/>
                <w:b w:val="0"/>
                <w:color w:val="auto"/>
                <w:kern w:val="0"/>
                <w:sz w:val="21"/>
                <w:szCs w:val="21"/>
                <w:highlight w:val="none"/>
                <w:lang w:val="en-US" w:eastAsia="zh-CN"/>
              </w:rPr>
              <w:t>/d</w:t>
            </w:r>
          </w:p>
        </w:tc>
        <w:tc>
          <w:tcPr>
            <w:tcW w:w="0" w:type="auto"/>
            <w:tcBorders>
              <w:tl2br w:val="nil"/>
              <w:tr2bl w:val="nil"/>
            </w:tcBorders>
            <w:noWrap w:val="0"/>
            <w:vAlign w:val="center"/>
          </w:tcPr>
          <w:p w14:paraId="37BF7ED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数量m</w:t>
            </w:r>
            <w:r>
              <w:rPr>
                <w:rFonts w:hint="eastAsia"/>
                <w:b w:val="0"/>
                <w:color w:val="auto"/>
                <w:kern w:val="0"/>
                <w:sz w:val="21"/>
                <w:szCs w:val="21"/>
                <w:highlight w:val="none"/>
                <w:vertAlign w:val="superscript"/>
                <w:lang w:val="en-US" w:eastAsia="zh-CN"/>
              </w:rPr>
              <w:t>3</w:t>
            </w:r>
            <w:r>
              <w:rPr>
                <w:rFonts w:hint="eastAsia"/>
                <w:b w:val="0"/>
                <w:color w:val="auto"/>
                <w:kern w:val="0"/>
                <w:sz w:val="21"/>
                <w:szCs w:val="21"/>
                <w:highlight w:val="none"/>
                <w:lang w:val="en-US" w:eastAsia="zh-CN"/>
              </w:rPr>
              <w:t>/d</w:t>
            </w:r>
          </w:p>
        </w:tc>
        <w:tc>
          <w:tcPr>
            <w:tcW w:w="0" w:type="auto"/>
            <w:tcBorders>
              <w:tl2br w:val="nil"/>
              <w:tr2bl w:val="nil"/>
            </w:tcBorders>
            <w:noWrap w:val="0"/>
            <w:vAlign w:val="center"/>
          </w:tcPr>
          <w:p w14:paraId="79B9A78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排水、损耗</w:t>
            </w:r>
          </w:p>
        </w:tc>
        <w:tc>
          <w:tcPr>
            <w:tcW w:w="0" w:type="auto"/>
            <w:tcBorders>
              <w:tl2br w:val="nil"/>
              <w:tr2bl w:val="nil"/>
            </w:tcBorders>
            <w:noWrap w:val="0"/>
            <w:vAlign w:val="center"/>
          </w:tcPr>
          <w:p w14:paraId="29C0C59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数量m</w:t>
            </w:r>
            <w:r>
              <w:rPr>
                <w:rFonts w:hint="eastAsia"/>
                <w:b w:val="0"/>
                <w:color w:val="auto"/>
                <w:kern w:val="0"/>
                <w:sz w:val="21"/>
                <w:szCs w:val="21"/>
                <w:highlight w:val="none"/>
                <w:vertAlign w:val="superscript"/>
                <w:lang w:val="en-US" w:eastAsia="zh-CN"/>
              </w:rPr>
              <w:t>3</w:t>
            </w:r>
            <w:r>
              <w:rPr>
                <w:rFonts w:hint="eastAsia"/>
                <w:b w:val="0"/>
                <w:color w:val="auto"/>
                <w:kern w:val="0"/>
                <w:sz w:val="21"/>
                <w:szCs w:val="21"/>
                <w:highlight w:val="none"/>
                <w:lang w:val="en-US" w:eastAsia="zh-CN"/>
              </w:rPr>
              <w:t>/d</w:t>
            </w:r>
          </w:p>
        </w:tc>
      </w:tr>
      <w:tr w14:paraId="209E2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tcBorders>
              <w:tl2br w:val="nil"/>
              <w:tr2bl w:val="nil"/>
            </w:tcBorders>
            <w:noWrap w:val="0"/>
            <w:vAlign w:val="center"/>
          </w:tcPr>
          <w:p w14:paraId="574761F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中水</w:t>
            </w:r>
          </w:p>
        </w:tc>
        <w:tc>
          <w:tcPr>
            <w:tcW w:w="0" w:type="auto"/>
            <w:tcBorders>
              <w:tl2br w:val="nil"/>
              <w:tr2bl w:val="nil"/>
            </w:tcBorders>
            <w:noWrap w:val="0"/>
            <w:vAlign w:val="center"/>
          </w:tcPr>
          <w:p w14:paraId="4C2F3BD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原料堆存洒水</w:t>
            </w:r>
          </w:p>
        </w:tc>
        <w:tc>
          <w:tcPr>
            <w:tcW w:w="0" w:type="auto"/>
            <w:tcBorders>
              <w:tl2br w:val="nil"/>
              <w:tr2bl w:val="nil"/>
            </w:tcBorders>
            <w:noWrap w:val="0"/>
            <w:vAlign w:val="center"/>
          </w:tcPr>
          <w:p w14:paraId="6B0AC3B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6.0</w:t>
            </w:r>
          </w:p>
        </w:tc>
        <w:tc>
          <w:tcPr>
            <w:tcW w:w="0" w:type="auto"/>
            <w:tcBorders>
              <w:tl2br w:val="nil"/>
              <w:tr2bl w:val="nil"/>
            </w:tcBorders>
            <w:noWrap w:val="0"/>
            <w:vAlign w:val="center"/>
          </w:tcPr>
          <w:p w14:paraId="60323B6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0</w:t>
            </w:r>
          </w:p>
        </w:tc>
        <w:tc>
          <w:tcPr>
            <w:tcW w:w="0" w:type="auto"/>
            <w:tcBorders>
              <w:tl2br w:val="nil"/>
              <w:tr2bl w:val="nil"/>
            </w:tcBorders>
            <w:noWrap w:val="0"/>
            <w:vAlign w:val="center"/>
          </w:tcPr>
          <w:p w14:paraId="1765FDD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蒸发损耗</w:t>
            </w:r>
          </w:p>
        </w:tc>
        <w:tc>
          <w:tcPr>
            <w:tcW w:w="0" w:type="auto"/>
            <w:tcBorders>
              <w:tl2br w:val="nil"/>
              <w:tr2bl w:val="nil"/>
            </w:tcBorders>
            <w:noWrap w:val="0"/>
            <w:vAlign w:val="center"/>
          </w:tcPr>
          <w:p w14:paraId="0B810D6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6.0</w:t>
            </w:r>
          </w:p>
        </w:tc>
      </w:tr>
      <w:tr w14:paraId="19FC7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2D07BDB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tcBorders>
              <w:tl2br w:val="nil"/>
              <w:tr2bl w:val="nil"/>
            </w:tcBorders>
            <w:noWrap w:val="0"/>
            <w:vAlign w:val="center"/>
          </w:tcPr>
          <w:p w14:paraId="3B30251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道路洒水抑尘</w:t>
            </w:r>
          </w:p>
        </w:tc>
        <w:tc>
          <w:tcPr>
            <w:tcW w:w="0" w:type="auto"/>
            <w:tcBorders>
              <w:tl2br w:val="nil"/>
              <w:tr2bl w:val="nil"/>
            </w:tcBorders>
            <w:noWrap w:val="0"/>
            <w:vAlign w:val="center"/>
          </w:tcPr>
          <w:p w14:paraId="2052BA1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1.95</w:t>
            </w:r>
          </w:p>
        </w:tc>
        <w:tc>
          <w:tcPr>
            <w:tcW w:w="0" w:type="auto"/>
            <w:tcBorders>
              <w:tl2br w:val="nil"/>
              <w:tr2bl w:val="nil"/>
            </w:tcBorders>
            <w:noWrap w:val="0"/>
            <w:vAlign w:val="center"/>
          </w:tcPr>
          <w:p w14:paraId="1C67DF0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0</w:t>
            </w:r>
          </w:p>
        </w:tc>
        <w:tc>
          <w:tcPr>
            <w:tcW w:w="0" w:type="auto"/>
            <w:tcBorders>
              <w:tl2br w:val="nil"/>
              <w:tr2bl w:val="nil"/>
            </w:tcBorders>
            <w:noWrap w:val="0"/>
            <w:vAlign w:val="center"/>
          </w:tcPr>
          <w:p w14:paraId="1F449470">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蒸发损耗</w:t>
            </w:r>
          </w:p>
        </w:tc>
        <w:tc>
          <w:tcPr>
            <w:tcW w:w="0" w:type="auto"/>
            <w:tcBorders>
              <w:tl2br w:val="nil"/>
              <w:tr2bl w:val="nil"/>
            </w:tcBorders>
            <w:noWrap w:val="0"/>
            <w:vAlign w:val="center"/>
          </w:tcPr>
          <w:p w14:paraId="651BC76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1.95</w:t>
            </w:r>
          </w:p>
        </w:tc>
      </w:tr>
      <w:tr w14:paraId="26DAC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3AC6F4A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tcBorders>
              <w:tl2br w:val="nil"/>
              <w:tr2bl w:val="nil"/>
            </w:tcBorders>
            <w:noWrap w:val="0"/>
            <w:vAlign w:val="center"/>
          </w:tcPr>
          <w:p w14:paraId="45E04E3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球磨工序</w:t>
            </w:r>
          </w:p>
        </w:tc>
        <w:tc>
          <w:tcPr>
            <w:tcW w:w="0" w:type="auto"/>
            <w:tcBorders>
              <w:tl2br w:val="nil"/>
              <w:tr2bl w:val="nil"/>
            </w:tcBorders>
            <w:noWrap w:val="0"/>
            <w:vAlign w:val="center"/>
          </w:tcPr>
          <w:p w14:paraId="75CD1AD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90.0</w:t>
            </w:r>
          </w:p>
        </w:tc>
        <w:tc>
          <w:tcPr>
            <w:tcW w:w="0" w:type="auto"/>
            <w:tcBorders>
              <w:tl2br w:val="nil"/>
              <w:tr2bl w:val="nil"/>
            </w:tcBorders>
            <w:noWrap w:val="0"/>
            <w:vAlign w:val="center"/>
          </w:tcPr>
          <w:p w14:paraId="31CAE73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0</w:t>
            </w:r>
          </w:p>
        </w:tc>
        <w:tc>
          <w:tcPr>
            <w:tcW w:w="0" w:type="auto"/>
            <w:tcBorders>
              <w:tl2br w:val="nil"/>
              <w:tr2bl w:val="nil"/>
            </w:tcBorders>
            <w:noWrap w:val="0"/>
            <w:vAlign w:val="center"/>
          </w:tcPr>
          <w:p w14:paraId="791E909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w:t>
            </w:r>
          </w:p>
        </w:tc>
        <w:tc>
          <w:tcPr>
            <w:tcW w:w="0" w:type="auto"/>
            <w:tcBorders>
              <w:tl2br w:val="nil"/>
              <w:tr2bl w:val="nil"/>
            </w:tcBorders>
            <w:noWrap w:val="0"/>
            <w:vAlign w:val="center"/>
          </w:tcPr>
          <w:p w14:paraId="5537D512">
            <w:pPr>
              <w:pStyle w:val="199"/>
              <w:keepNext w:val="0"/>
              <w:keepLines w:val="0"/>
              <w:pageBreakBefore w:val="0"/>
              <w:widowControl w:val="0"/>
              <w:tabs>
                <w:tab w:val="left" w:pos="454"/>
              </w:tabs>
              <w:kinsoku/>
              <w:wordWrap/>
              <w:overflowPunct/>
              <w:topLinePunct w:val="0"/>
              <w:autoSpaceDE w:val="0"/>
              <w:autoSpaceDN w:val="0"/>
              <w:bidi w:val="0"/>
              <w:adjustRightInd/>
              <w:snapToGrid/>
              <w:spacing w:beforeLines="0" w:line="240" w:lineRule="auto"/>
              <w:ind w:firstLine="0" w:firstLineChars="0"/>
              <w:jc w:val="left"/>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ab/>
            </w:r>
            <w:r>
              <w:rPr>
                <w:rFonts w:hint="eastAsia"/>
                <w:b w:val="0"/>
                <w:color w:val="auto"/>
                <w:kern w:val="0"/>
                <w:sz w:val="21"/>
                <w:szCs w:val="21"/>
                <w:highlight w:val="none"/>
                <w:lang w:val="en-US" w:eastAsia="zh-CN"/>
              </w:rPr>
              <w:t>/</w:t>
            </w:r>
          </w:p>
        </w:tc>
      </w:tr>
      <w:tr w14:paraId="7A618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688B90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tcBorders>
              <w:tl2br w:val="nil"/>
              <w:tr2bl w:val="nil"/>
            </w:tcBorders>
            <w:noWrap w:val="0"/>
            <w:vAlign w:val="center"/>
          </w:tcPr>
          <w:p w14:paraId="1D41481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精选工序</w:t>
            </w:r>
          </w:p>
        </w:tc>
        <w:tc>
          <w:tcPr>
            <w:tcW w:w="0" w:type="auto"/>
            <w:tcBorders>
              <w:tl2br w:val="nil"/>
              <w:tr2bl w:val="nil"/>
            </w:tcBorders>
            <w:noWrap w:val="0"/>
            <w:vAlign w:val="center"/>
          </w:tcPr>
          <w:p w14:paraId="53A17BA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12.75</w:t>
            </w:r>
          </w:p>
        </w:tc>
        <w:tc>
          <w:tcPr>
            <w:tcW w:w="0" w:type="auto"/>
            <w:tcBorders>
              <w:tl2br w:val="nil"/>
              <w:tr2bl w:val="nil"/>
            </w:tcBorders>
            <w:noWrap w:val="0"/>
            <w:vAlign w:val="center"/>
          </w:tcPr>
          <w:p w14:paraId="0683C33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547.25</w:t>
            </w:r>
          </w:p>
        </w:tc>
        <w:tc>
          <w:tcPr>
            <w:tcW w:w="1577" w:type="dxa"/>
            <w:tcBorders>
              <w:tl2br w:val="nil"/>
              <w:tr2bl w:val="nil"/>
            </w:tcBorders>
            <w:noWrap w:val="0"/>
            <w:vAlign w:val="center"/>
          </w:tcPr>
          <w:p w14:paraId="7203D9E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精矿粉带走</w:t>
            </w:r>
          </w:p>
        </w:tc>
        <w:tc>
          <w:tcPr>
            <w:tcW w:w="1284" w:type="dxa"/>
            <w:tcBorders>
              <w:tl2br w:val="nil"/>
              <w:tr2bl w:val="nil"/>
            </w:tcBorders>
            <w:noWrap w:val="0"/>
            <w:vAlign w:val="center"/>
          </w:tcPr>
          <w:p w14:paraId="44467DBD">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48.9</w:t>
            </w:r>
          </w:p>
        </w:tc>
      </w:tr>
      <w:tr w14:paraId="46945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691DB00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tcBorders>
              <w:tl2br w:val="nil"/>
              <w:tr2bl w:val="nil"/>
            </w:tcBorders>
            <w:noWrap w:val="0"/>
            <w:vAlign w:val="center"/>
          </w:tcPr>
          <w:p w14:paraId="1720166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扫选工序</w:t>
            </w:r>
          </w:p>
        </w:tc>
        <w:tc>
          <w:tcPr>
            <w:tcW w:w="0" w:type="auto"/>
            <w:tcBorders>
              <w:tl2br w:val="nil"/>
              <w:tr2bl w:val="nil"/>
            </w:tcBorders>
            <w:noWrap w:val="0"/>
            <w:vAlign w:val="center"/>
          </w:tcPr>
          <w:p w14:paraId="7E85A25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15.3</w:t>
            </w:r>
          </w:p>
        </w:tc>
        <w:tc>
          <w:tcPr>
            <w:tcW w:w="0" w:type="auto"/>
            <w:tcBorders>
              <w:tl2br w:val="nil"/>
              <w:tr2bl w:val="nil"/>
            </w:tcBorders>
            <w:noWrap w:val="0"/>
            <w:vAlign w:val="center"/>
          </w:tcPr>
          <w:p w14:paraId="79095CF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577.75</w:t>
            </w:r>
          </w:p>
        </w:tc>
        <w:tc>
          <w:tcPr>
            <w:tcW w:w="0" w:type="auto"/>
            <w:tcBorders>
              <w:tl2br w:val="nil"/>
              <w:tr2bl w:val="nil"/>
            </w:tcBorders>
            <w:noWrap w:val="0"/>
            <w:vAlign w:val="center"/>
          </w:tcPr>
          <w:p w14:paraId="0DD9640C">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尾矿砂带走</w:t>
            </w:r>
          </w:p>
        </w:tc>
        <w:tc>
          <w:tcPr>
            <w:tcW w:w="0" w:type="auto"/>
            <w:tcBorders>
              <w:tl2br w:val="nil"/>
              <w:tr2bl w:val="nil"/>
            </w:tcBorders>
            <w:noWrap w:val="0"/>
            <w:vAlign w:val="center"/>
          </w:tcPr>
          <w:p w14:paraId="7E9896E7">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69.15</w:t>
            </w:r>
          </w:p>
        </w:tc>
      </w:tr>
      <w:tr w14:paraId="6D60D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30B3134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tcBorders>
              <w:tl2br w:val="nil"/>
              <w:tr2bl w:val="nil"/>
            </w:tcBorders>
            <w:noWrap w:val="0"/>
            <w:vAlign w:val="center"/>
          </w:tcPr>
          <w:p w14:paraId="42EFB16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小计</w:t>
            </w:r>
          </w:p>
        </w:tc>
        <w:tc>
          <w:tcPr>
            <w:tcW w:w="0" w:type="auto"/>
            <w:tcBorders>
              <w:tl2br w:val="nil"/>
              <w:tr2bl w:val="nil"/>
            </w:tcBorders>
            <w:noWrap w:val="0"/>
            <w:vAlign w:val="center"/>
          </w:tcPr>
          <w:p w14:paraId="6B1BC8D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126.0</w:t>
            </w:r>
          </w:p>
        </w:tc>
        <w:tc>
          <w:tcPr>
            <w:tcW w:w="0" w:type="auto"/>
            <w:tcBorders>
              <w:tl2br w:val="nil"/>
              <w:tr2bl w:val="nil"/>
            </w:tcBorders>
            <w:noWrap w:val="0"/>
            <w:vAlign w:val="center"/>
          </w:tcPr>
          <w:p w14:paraId="6BC806B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1125</w:t>
            </w:r>
          </w:p>
        </w:tc>
        <w:tc>
          <w:tcPr>
            <w:tcW w:w="0" w:type="auto"/>
            <w:tcBorders>
              <w:tl2br w:val="nil"/>
              <w:tr2bl w:val="nil"/>
            </w:tcBorders>
            <w:noWrap w:val="0"/>
            <w:vAlign w:val="center"/>
          </w:tcPr>
          <w:p w14:paraId="3E302D28">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w:t>
            </w:r>
          </w:p>
        </w:tc>
        <w:tc>
          <w:tcPr>
            <w:tcW w:w="0" w:type="auto"/>
            <w:tcBorders>
              <w:tl2br w:val="nil"/>
              <w:tr2bl w:val="nil"/>
            </w:tcBorders>
            <w:noWrap w:val="0"/>
            <w:vAlign w:val="center"/>
          </w:tcPr>
          <w:p w14:paraId="4C3D785B">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126.0</w:t>
            </w:r>
          </w:p>
        </w:tc>
      </w:tr>
      <w:tr w14:paraId="22F3C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7DFF4B0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新鲜水</w:t>
            </w:r>
          </w:p>
        </w:tc>
        <w:tc>
          <w:tcPr>
            <w:tcW w:w="0" w:type="auto"/>
            <w:vMerge w:val="restart"/>
            <w:tcBorders>
              <w:tl2br w:val="nil"/>
              <w:tr2bl w:val="nil"/>
            </w:tcBorders>
            <w:noWrap w:val="0"/>
            <w:vAlign w:val="center"/>
          </w:tcPr>
          <w:p w14:paraId="59A5CA8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生活用水</w:t>
            </w:r>
          </w:p>
        </w:tc>
        <w:tc>
          <w:tcPr>
            <w:tcW w:w="0" w:type="auto"/>
            <w:vMerge w:val="restart"/>
            <w:tcBorders>
              <w:tl2br w:val="nil"/>
              <w:tr2bl w:val="nil"/>
            </w:tcBorders>
            <w:noWrap w:val="0"/>
            <w:vAlign w:val="center"/>
          </w:tcPr>
          <w:p w14:paraId="07D0176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1.8</w:t>
            </w:r>
          </w:p>
        </w:tc>
        <w:tc>
          <w:tcPr>
            <w:tcW w:w="0" w:type="auto"/>
            <w:vMerge w:val="restart"/>
            <w:tcBorders>
              <w:tl2br w:val="nil"/>
              <w:tr2bl w:val="nil"/>
            </w:tcBorders>
            <w:noWrap w:val="0"/>
            <w:vAlign w:val="center"/>
          </w:tcPr>
          <w:p w14:paraId="020D300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0</w:t>
            </w:r>
          </w:p>
        </w:tc>
        <w:tc>
          <w:tcPr>
            <w:tcW w:w="0" w:type="auto"/>
            <w:tcBorders>
              <w:tl2br w:val="nil"/>
              <w:tr2bl w:val="nil"/>
            </w:tcBorders>
            <w:noWrap w:val="0"/>
            <w:vAlign w:val="center"/>
          </w:tcPr>
          <w:p w14:paraId="331B614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生活污水</w:t>
            </w:r>
          </w:p>
        </w:tc>
        <w:tc>
          <w:tcPr>
            <w:tcW w:w="0" w:type="auto"/>
            <w:tcBorders>
              <w:tl2br w:val="nil"/>
              <w:tr2bl w:val="nil"/>
            </w:tcBorders>
            <w:noWrap w:val="0"/>
            <w:vAlign w:val="center"/>
          </w:tcPr>
          <w:p w14:paraId="564EDFA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1.44</w:t>
            </w:r>
          </w:p>
        </w:tc>
      </w:tr>
      <w:tr w14:paraId="0BA1A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3C979A5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vMerge w:val="continue"/>
            <w:tcBorders>
              <w:tl2br w:val="nil"/>
              <w:tr2bl w:val="nil"/>
            </w:tcBorders>
            <w:noWrap w:val="0"/>
            <w:vAlign w:val="center"/>
          </w:tcPr>
          <w:p w14:paraId="63800E8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vMerge w:val="continue"/>
            <w:tcBorders>
              <w:tl2br w:val="nil"/>
              <w:tr2bl w:val="nil"/>
            </w:tcBorders>
            <w:noWrap w:val="0"/>
            <w:vAlign w:val="center"/>
          </w:tcPr>
          <w:p w14:paraId="3C33C91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vMerge w:val="continue"/>
            <w:tcBorders>
              <w:tl2br w:val="nil"/>
              <w:tr2bl w:val="nil"/>
            </w:tcBorders>
            <w:noWrap w:val="0"/>
            <w:vAlign w:val="center"/>
          </w:tcPr>
          <w:p w14:paraId="546330D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tcBorders>
              <w:tl2br w:val="nil"/>
              <w:tr2bl w:val="nil"/>
            </w:tcBorders>
            <w:noWrap w:val="0"/>
            <w:vAlign w:val="center"/>
          </w:tcPr>
          <w:p w14:paraId="5ADF33B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蒸发损耗</w:t>
            </w:r>
          </w:p>
        </w:tc>
        <w:tc>
          <w:tcPr>
            <w:tcW w:w="0" w:type="auto"/>
            <w:tcBorders>
              <w:tl2br w:val="nil"/>
              <w:tr2bl w:val="nil"/>
            </w:tcBorders>
            <w:noWrap w:val="0"/>
            <w:vAlign w:val="center"/>
          </w:tcPr>
          <w:p w14:paraId="31D7B48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0.36</w:t>
            </w:r>
          </w:p>
        </w:tc>
      </w:tr>
      <w:tr w14:paraId="57C2A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5DAB1E0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tcBorders>
              <w:tl2br w:val="nil"/>
              <w:tr2bl w:val="nil"/>
            </w:tcBorders>
            <w:noWrap w:val="0"/>
            <w:vAlign w:val="center"/>
          </w:tcPr>
          <w:p w14:paraId="1A80A7F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小计</w:t>
            </w:r>
          </w:p>
        </w:tc>
        <w:tc>
          <w:tcPr>
            <w:tcW w:w="0" w:type="auto"/>
            <w:tcBorders>
              <w:tl2br w:val="nil"/>
              <w:tr2bl w:val="nil"/>
            </w:tcBorders>
            <w:noWrap w:val="0"/>
            <w:vAlign w:val="center"/>
          </w:tcPr>
          <w:p w14:paraId="2D91EAB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1.8</w:t>
            </w:r>
          </w:p>
        </w:tc>
        <w:tc>
          <w:tcPr>
            <w:tcW w:w="0" w:type="auto"/>
            <w:tcBorders>
              <w:tl2br w:val="nil"/>
              <w:tr2bl w:val="nil"/>
            </w:tcBorders>
            <w:noWrap w:val="0"/>
            <w:vAlign w:val="center"/>
          </w:tcPr>
          <w:p w14:paraId="37F22B2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0</w:t>
            </w:r>
          </w:p>
        </w:tc>
        <w:tc>
          <w:tcPr>
            <w:tcW w:w="0" w:type="auto"/>
            <w:tcBorders>
              <w:tl2br w:val="nil"/>
              <w:tr2bl w:val="nil"/>
            </w:tcBorders>
            <w:noWrap w:val="0"/>
            <w:vAlign w:val="center"/>
          </w:tcPr>
          <w:p w14:paraId="526A209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w:t>
            </w:r>
          </w:p>
        </w:tc>
        <w:tc>
          <w:tcPr>
            <w:tcW w:w="0" w:type="auto"/>
            <w:tcBorders>
              <w:tl2br w:val="nil"/>
              <w:tr2bl w:val="nil"/>
            </w:tcBorders>
            <w:noWrap w:val="0"/>
            <w:vAlign w:val="center"/>
          </w:tcPr>
          <w:p w14:paraId="242BC34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1.8</w:t>
            </w:r>
          </w:p>
        </w:tc>
      </w:tr>
      <w:tr w14:paraId="13326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l2br w:val="nil"/>
              <w:tr2bl w:val="nil"/>
            </w:tcBorders>
            <w:noWrap w:val="0"/>
            <w:vAlign w:val="center"/>
          </w:tcPr>
          <w:p w14:paraId="54A8C77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0" w:type="auto"/>
            <w:tcBorders>
              <w:tl2br w:val="nil"/>
              <w:tr2bl w:val="nil"/>
            </w:tcBorders>
            <w:noWrap w:val="0"/>
            <w:vAlign w:val="center"/>
          </w:tcPr>
          <w:p w14:paraId="6EDF72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合计</w:t>
            </w:r>
          </w:p>
        </w:tc>
        <w:tc>
          <w:tcPr>
            <w:tcW w:w="0" w:type="auto"/>
            <w:tcBorders>
              <w:tl2br w:val="nil"/>
              <w:tr2bl w:val="nil"/>
            </w:tcBorders>
            <w:noWrap w:val="0"/>
            <w:vAlign w:val="center"/>
          </w:tcPr>
          <w:p w14:paraId="6BD6906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127.8</w:t>
            </w:r>
          </w:p>
        </w:tc>
        <w:tc>
          <w:tcPr>
            <w:tcW w:w="0" w:type="auto"/>
            <w:tcBorders>
              <w:tl2br w:val="nil"/>
              <w:tr2bl w:val="nil"/>
            </w:tcBorders>
            <w:noWrap w:val="0"/>
            <w:vAlign w:val="center"/>
          </w:tcPr>
          <w:p w14:paraId="385460D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1125</w:t>
            </w:r>
          </w:p>
        </w:tc>
        <w:tc>
          <w:tcPr>
            <w:tcW w:w="0" w:type="auto"/>
            <w:tcBorders>
              <w:tl2br w:val="nil"/>
              <w:tr2bl w:val="nil"/>
            </w:tcBorders>
            <w:noWrap w:val="0"/>
            <w:vAlign w:val="center"/>
          </w:tcPr>
          <w:p w14:paraId="3B2B452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合计</w:t>
            </w:r>
          </w:p>
        </w:tc>
        <w:tc>
          <w:tcPr>
            <w:tcW w:w="0" w:type="auto"/>
            <w:tcBorders>
              <w:tl2br w:val="nil"/>
              <w:tr2bl w:val="nil"/>
            </w:tcBorders>
            <w:noWrap w:val="0"/>
            <w:vAlign w:val="center"/>
          </w:tcPr>
          <w:p w14:paraId="6DA3554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127.8</w:t>
            </w:r>
          </w:p>
        </w:tc>
      </w:tr>
    </w:tbl>
    <w:p w14:paraId="3AD5EFE2">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p w14:paraId="50F0E8C1">
      <w:pPr>
        <w:pStyle w:val="4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color w:val="auto"/>
          <w:highlight w:val="none"/>
          <w:lang w:val="en-US" w:eastAsia="zh-CN"/>
        </w:rPr>
      </w:pPr>
      <w:r>
        <w:rPr>
          <w:rFonts w:hint="eastAsia"/>
          <w:color w:val="auto"/>
          <w:highlight w:val="none"/>
          <w:lang w:val="en-US" w:eastAsia="zh-CN"/>
        </w:rPr>
        <w:object>
          <v:shape id="_x0000_i1026" o:spt="75" type="#_x0000_t75" style="height:219.4pt;width:414.45pt;" o:ole="t" filled="f" o:preferrelative="t" stroked="f" coordsize="21600,21600">
            <v:path/>
            <v:fill on="f" focussize="0,0"/>
            <v:stroke on="f"/>
            <v:imagedata r:id="rId36" o:title=""/>
            <o:lock v:ext="edit" aspectratio="f"/>
            <w10:wrap type="none"/>
            <w10:anchorlock/>
          </v:shape>
          <o:OLEObject Type="Embed" ProgID="Visio.Drawing.15" ShapeID="_x0000_i1026" DrawAspect="Content" ObjectID="_1468075726" r:id="rId35">
            <o:LockedField>false</o:LockedField>
          </o:OLEObject>
        </w:object>
      </w:r>
    </w:p>
    <w:p w14:paraId="0CBB8305">
      <w:pPr>
        <w:adjustRightInd w:val="0"/>
        <w:snapToGrid w:val="0"/>
        <w:jc w:val="center"/>
        <w:rPr>
          <w:rFonts w:hint="default" w:eastAsia="宋体"/>
          <w:b/>
          <w:color w:val="auto"/>
          <w:highlight w:val="none"/>
          <w:lang w:val="en-US" w:eastAsia="zh-CN"/>
        </w:rPr>
      </w:pPr>
      <w:r>
        <w:rPr>
          <w:b/>
          <w:color w:val="auto"/>
          <w:highlight w:val="none"/>
        </w:rPr>
        <w:t>图</w:t>
      </w:r>
      <w:r>
        <w:rPr>
          <w:rFonts w:hint="eastAsia"/>
          <w:b/>
          <w:color w:val="auto"/>
          <w:highlight w:val="none"/>
          <w:lang w:val="en-US" w:eastAsia="zh-CN"/>
        </w:rPr>
        <w:t>3.6-1</w:t>
      </w:r>
      <w:r>
        <w:rPr>
          <w:b/>
          <w:color w:val="auto"/>
          <w:highlight w:val="none"/>
        </w:rPr>
        <w:t xml:space="preserve">   </w:t>
      </w:r>
      <w:r>
        <w:rPr>
          <w:rFonts w:hint="eastAsia"/>
          <w:b/>
          <w:color w:val="auto"/>
          <w:highlight w:val="none"/>
          <w:lang w:val="en-US" w:eastAsia="zh-CN"/>
        </w:rPr>
        <w:t>水</w:t>
      </w:r>
      <w:r>
        <w:rPr>
          <w:b/>
          <w:color w:val="auto"/>
          <w:highlight w:val="none"/>
        </w:rPr>
        <w:t>平衡图     单位：</w:t>
      </w:r>
      <w:r>
        <w:rPr>
          <w:rFonts w:hint="eastAsia"/>
          <w:b/>
          <w:color w:val="auto"/>
          <w:highlight w:val="none"/>
          <w:lang w:val="en-US" w:eastAsia="zh-CN"/>
        </w:rPr>
        <w:t>m</w:t>
      </w:r>
      <w:r>
        <w:rPr>
          <w:rFonts w:hint="eastAsia"/>
          <w:b/>
          <w:color w:val="auto"/>
          <w:highlight w:val="none"/>
          <w:vertAlign w:val="superscript"/>
          <w:lang w:val="en-US" w:eastAsia="zh-CN"/>
        </w:rPr>
        <w:t>3</w:t>
      </w:r>
      <w:r>
        <w:rPr>
          <w:rFonts w:hint="eastAsia"/>
          <w:b/>
          <w:color w:val="auto"/>
          <w:highlight w:val="none"/>
          <w:lang w:val="en-US" w:eastAsia="zh-CN"/>
        </w:rPr>
        <w:t>/d</w:t>
      </w:r>
    </w:p>
    <w:p w14:paraId="7F2846EC">
      <w:pPr>
        <w:pStyle w:val="2"/>
        <w:rPr>
          <w:rFonts w:hint="default"/>
          <w:color w:val="auto"/>
          <w:highlight w:val="none"/>
          <w:lang w:val="en-US" w:eastAsia="zh-CN"/>
        </w:rPr>
      </w:pPr>
    </w:p>
    <w:p w14:paraId="4ED0366B">
      <w:pPr>
        <w:pStyle w:val="5"/>
        <w:rPr>
          <w:rFonts w:hint="eastAsia"/>
          <w:color w:val="auto"/>
          <w:highlight w:val="none"/>
          <w:lang w:val="en-US" w:eastAsia="zh-CN"/>
        </w:rPr>
      </w:pPr>
      <w:r>
        <w:rPr>
          <w:rFonts w:hint="eastAsia"/>
          <w:color w:val="auto"/>
          <w:highlight w:val="none"/>
          <w:lang w:val="en-US" w:eastAsia="zh-CN"/>
        </w:rPr>
        <w:t>供电工程</w:t>
      </w:r>
    </w:p>
    <w:p w14:paraId="2B5749B5">
      <w:pPr>
        <w:adjustRightInd w:val="0"/>
        <w:snapToGrid w:val="0"/>
        <w:spacing w:line="480" w:lineRule="exact"/>
        <w:ind w:firstLine="480" w:firstLineChars="200"/>
        <w:rPr>
          <w:color w:val="auto"/>
          <w:sz w:val="24"/>
          <w:highlight w:val="none"/>
        </w:rPr>
      </w:pPr>
      <w:r>
        <w:rPr>
          <w:rFonts w:hint="eastAsia"/>
          <w:color w:val="auto"/>
          <w:sz w:val="24"/>
          <w:szCs w:val="24"/>
          <w:highlight w:val="none"/>
          <w:lang w:val="en-US" w:eastAsia="zh-CN"/>
        </w:rPr>
        <w:t>本项目采用单电源不分段供电方式，电源引多伦县变电站蒙东水泥专线，厂房建有10kV变配电室一座，设置1600kVA变压器两台</w:t>
      </w:r>
      <w:r>
        <w:rPr>
          <w:rFonts w:hint="eastAsia"/>
          <w:color w:val="auto"/>
          <w:sz w:val="24"/>
          <w:szCs w:val="24"/>
          <w:highlight w:val="none"/>
          <w:lang w:eastAsia="zh-CN"/>
        </w:rPr>
        <w:t>，</w:t>
      </w:r>
      <w:r>
        <w:rPr>
          <w:rFonts w:hint="eastAsia"/>
          <w:color w:val="auto"/>
          <w:sz w:val="24"/>
          <w:szCs w:val="24"/>
          <w:highlight w:val="none"/>
          <w:lang w:val="en-US" w:eastAsia="zh-CN"/>
        </w:rPr>
        <w:t>项目耗电量769</w:t>
      </w:r>
      <w:r>
        <w:rPr>
          <w:rFonts w:hint="eastAsia"/>
          <w:color w:val="auto"/>
          <w:sz w:val="24"/>
          <w:szCs w:val="24"/>
          <w:highlight w:val="none"/>
          <w:lang w:eastAsia="zh-CN"/>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4</w:t>
      </w:r>
      <w:r>
        <w:rPr>
          <w:rFonts w:hint="eastAsia"/>
          <w:color w:val="auto"/>
          <w:sz w:val="24"/>
          <w:szCs w:val="24"/>
          <w:highlight w:val="none"/>
          <w:lang w:val="en-US" w:eastAsia="zh-CN"/>
        </w:rPr>
        <w:t>kW.h/a。</w:t>
      </w:r>
    </w:p>
    <w:p w14:paraId="42256419">
      <w:pPr>
        <w:pStyle w:val="5"/>
        <w:rPr>
          <w:rFonts w:hint="eastAsia"/>
          <w:color w:val="auto"/>
          <w:highlight w:val="none"/>
          <w:lang w:val="en-US" w:eastAsia="zh-CN"/>
        </w:rPr>
      </w:pPr>
      <w:r>
        <w:rPr>
          <w:rFonts w:hint="eastAsia"/>
          <w:color w:val="auto"/>
          <w:highlight w:val="none"/>
          <w:lang w:val="en-US" w:eastAsia="zh-CN"/>
        </w:rPr>
        <w:t>供暖工程</w:t>
      </w:r>
    </w:p>
    <w:p w14:paraId="7183C238">
      <w:pPr>
        <w:adjustRightInd w:val="0"/>
        <w:snapToGrid w:val="0"/>
        <w:spacing w:line="480" w:lineRule="exact"/>
        <w:ind w:firstLine="480" w:firstLineChars="200"/>
        <w:rPr>
          <w:rFonts w:hint="eastAsia" w:eastAsia="宋体"/>
          <w:color w:val="auto"/>
          <w:sz w:val="24"/>
          <w:highlight w:val="none"/>
          <w:lang w:eastAsia="zh-CN"/>
        </w:rPr>
      </w:pPr>
      <w:r>
        <w:rPr>
          <w:rFonts w:hint="eastAsia"/>
          <w:color w:val="auto"/>
          <w:sz w:val="24"/>
          <w:highlight w:val="none"/>
          <w:lang w:val="en-US" w:eastAsia="zh-CN"/>
        </w:rPr>
        <w:t>本项目办公区及生产车间操作间均采用空气电能供热方式，不新增燃料型供热锅炉。</w:t>
      </w:r>
    </w:p>
    <w:p w14:paraId="7E7CD94B">
      <w:pPr>
        <w:pStyle w:val="4"/>
        <w:spacing w:before="120" w:after="120"/>
        <w:rPr>
          <w:rFonts w:hint="eastAsia"/>
          <w:color w:val="auto"/>
          <w:highlight w:val="none"/>
        </w:rPr>
      </w:pPr>
      <w:bookmarkStart w:id="88" w:name="_Toc3773"/>
      <w:bookmarkStart w:id="89" w:name="_Toc24447083"/>
      <w:r>
        <w:rPr>
          <w:rFonts w:hint="eastAsia"/>
          <w:color w:val="auto"/>
          <w:highlight w:val="none"/>
          <w:lang w:val="en-US" w:eastAsia="zh-CN"/>
        </w:rPr>
        <w:t>储运工程</w:t>
      </w:r>
      <w:bookmarkEnd w:id="88"/>
    </w:p>
    <w:p w14:paraId="7E6E3EEF">
      <w:pPr>
        <w:pStyle w:val="5"/>
        <w:rPr>
          <w:rFonts w:hint="eastAsia"/>
          <w:color w:val="auto"/>
          <w:highlight w:val="none"/>
          <w:lang w:val="en-US" w:eastAsia="zh-CN"/>
        </w:rPr>
      </w:pPr>
      <w:r>
        <w:rPr>
          <w:rFonts w:hint="eastAsia"/>
          <w:color w:val="auto"/>
          <w:highlight w:val="none"/>
          <w:lang w:val="en-US" w:eastAsia="zh-CN"/>
        </w:rPr>
        <w:t>储存场所</w:t>
      </w:r>
    </w:p>
    <w:p w14:paraId="74085F88">
      <w:pPr>
        <w:ind w:firstLine="480"/>
        <w:rPr>
          <w:color w:val="auto"/>
          <w:highlight w:val="none"/>
        </w:rPr>
      </w:pPr>
      <w:r>
        <w:rPr>
          <w:color w:val="auto"/>
          <w:highlight w:val="none"/>
        </w:rPr>
        <w:t>本项目原辅材料</w:t>
      </w:r>
      <w:r>
        <w:rPr>
          <w:rFonts w:hint="eastAsia"/>
          <w:color w:val="auto"/>
          <w:highlight w:val="none"/>
          <w:lang w:eastAsia="zh-CN"/>
        </w:rPr>
        <w:t>、</w:t>
      </w:r>
      <w:r>
        <w:rPr>
          <w:color w:val="auto"/>
          <w:highlight w:val="none"/>
        </w:rPr>
        <w:t>产品</w:t>
      </w:r>
      <w:r>
        <w:rPr>
          <w:rFonts w:hint="eastAsia"/>
          <w:color w:val="auto"/>
          <w:highlight w:val="none"/>
          <w:lang w:val="en-US" w:eastAsia="zh-CN"/>
        </w:rPr>
        <w:t>及固体废弃物</w:t>
      </w:r>
      <w:r>
        <w:rPr>
          <w:color w:val="auto"/>
          <w:highlight w:val="none"/>
        </w:rPr>
        <w:t>储存方式详见表</w:t>
      </w:r>
      <w:r>
        <w:rPr>
          <w:rFonts w:hint="eastAsia"/>
          <w:color w:val="auto"/>
          <w:highlight w:val="none"/>
        </w:rPr>
        <w:t>3.</w:t>
      </w:r>
      <w:r>
        <w:rPr>
          <w:rFonts w:hint="eastAsia"/>
          <w:color w:val="auto"/>
          <w:highlight w:val="none"/>
          <w:lang w:val="en-US" w:eastAsia="zh-CN"/>
        </w:rPr>
        <w:t>7-1</w:t>
      </w:r>
      <w:r>
        <w:rPr>
          <w:rFonts w:hint="eastAsia"/>
          <w:color w:val="auto"/>
          <w:highlight w:val="none"/>
        </w:rPr>
        <w:t>。</w:t>
      </w:r>
    </w:p>
    <w:p w14:paraId="7F3FFB45">
      <w:pPr>
        <w:pStyle w:val="199"/>
        <w:spacing w:before="120"/>
        <w:rPr>
          <w:rFonts w:hint="default"/>
          <w:color w:val="auto"/>
          <w:sz w:val="24"/>
          <w:highlight w:val="none"/>
        </w:rPr>
      </w:pPr>
      <w:r>
        <w:rPr>
          <w:rFonts w:hint="default"/>
          <w:color w:val="auto"/>
          <w:sz w:val="24"/>
          <w:highlight w:val="none"/>
        </w:rPr>
        <w:t>表</w:t>
      </w:r>
      <w:r>
        <w:rPr>
          <w:rFonts w:hint="eastAsia"/>
          <w:color w:val="auto"/>
          <w:sz w:val="24"/>
          <w:highlight w:val="none"/>
        </w:rPr>
        <w:t>3.</w:t>
      </w:r>
      <w:r>
        <w:rPr>
          <w:rFonts w:hint="eastAsia"/>
          <w:color w:val="auto"/>
          <w:sz w:val="24"/>
          <w:highlight w:val="none"/>
          <w:lang w:val="en-US" w:eastAsia="zh-CN"/>
        </w:rPr>
        <w:t>7-1</w:t>
      </w:r>
      <w:r>
        <w:rPr>
          <w:rFonts w:hint="eastAsia"/>
          <w:color w:val="auto"/>
          <w:sz w:val="24"/>
          <w:highlight w:val="none"/>
        </w:rPr>
        <w:t xml:space="preserve">     </w:t>
      </w:r>
      <w:r>
        <w:rPr>
          <w:rFonts w:hint="eastAsia"/>
          <w:color w:val="auto"/>
          <w:sz w:val="24"/>
          <w:highlight w:val="none"/>
          <w:lang w:val="en-US" w:eastAsia="zh-CN"/>
        </w:rPr>
        <w:t>本项目物料</w:t>
      </w:r>
      <w:r>
        <w:rPr>
          <w:rFonts w:hint="default"/>
          <w:color w:val="auto"/>
          <w:sz w:val="24"/>
          <w:highlight w:val="none"/>
        </w:rPr>
        <w:t>存储</w:t>
      </w:r>
      <w:r>
        <w:rPr>
          <w:rFonts w:hint="eastAsia"/>
          <w:color w:val="auto"/>
          <w:sz w:val="24"/>
          <w:highlight w:val="none"/>
          <w:lang w:val="en-US" w:eastAsia="zh-CN"/>
        </w:rPr>
        <w:t>方式</w:t>
      </w:r>
      <w:r>
        <w:rPr>
          <w:rFonts w:hint="default"/>
          <w:color w:val="auto"/>
          <w:sz w:val="24"/>
          <w:highlight w:val="none"/>
        </w:rPr>
        <w:t>一览表</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276"/>
        <w:gridCol w:w="1511"/>
        <w:gridCol w:w="2123"/>
        <w:gridCol w:w="1293"/>
        <w:gridCol w:w="761"/>
        <w:gridCol w:w="948"/>
      </w:tblGrid>
      <w:tr w14:paraId="28A3C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5650D37A">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序号</w:t>
            </w:r>
          </w:p>
        </w:tc>
        <w:tc>
          <w:tcPr>
            <w:tcW w:w="1276" w:type="dxa"/>
            <w:noWrap w:val="0"/>
            <w:vAlign w:val="center"/>
          </w:tcPr>
          <w:p w14:paraId="469391B4">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color w:val="auto"/>
                <w:sz w:val="21"/>
                <w:szCs w:val="21"/>
                <w:highlight w:val="none"/>
              </w:rPr>
              <w:t>物料</w:t>
            </w:r>
            <w:r>
              <w:rPr>
                <w:rFonts w:hint="eastAsia"/>
                <w:color w:val="auto"/>
                <w:sz w:val="21"/>
                <w:szCs w:val="21"/>
                <w:highlight w:val="none"/>
                <w:lang w:val="en-US" w:eastAsia="zh-CN"/>
              </w:rPr>
              <w:t>名称</w:t>
            </w:r>
          </w:p>
        </w:tc>
        <w:tc>
          <w:tcPr>
            <w:tcW w:w="1511" w:type="dxa"/>
            <w:noWrap w:val="0"/>
            <w:vAlign w:val="center"/>
          </w:tcPr>
          <w:p w14:paraId="028E3052">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储存位置</w:t>
            </w:r>
          </w:p>
        </w:tc>
        <w:tc>
          <w:tcPr>
            <w:tcW w:w="2123" w:type="dxa"/>
            <w:noWrap w:val="0"/>
            <w:vAlign w:val="center"/>
          </w:tcPr>
          <w:p w14:paraId="35F11BF7">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建构筑物尺寸</w:t>
            </w:r>
          </w:p>
        </w:tc>
        <w:tc>
          <w:tcPr>
            <w:tcW w:w="1293" w:type="dxa"/>
            <w:noWrap w:val="0"/>
            <w:vAlign w:val="center"/>
          </w:tcPr>
          <w:p w14:paraId="2228AAA6">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最大储存量（t）</w:t>
            </w:r>
          </w:p>
        </w:tc>
        <w:tc>
          <w:tcPr>
            <w:tcW w:w="761" w:type="dxa"/>
            <w:noWrap w:val="0"/>
            <w:vAlign w:val="center"/>
          </w:tcPr>
          <w:p w14:paraId="7EBB40CA">
            <w:pPr>
              <w:autoSpaceDE w:val="0"/>
              <w:autoSpaceDN w:val="0"/>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贮存</w:t>
            </w:r>
          </w:p>
          <w:p w14:paraId="7476536F">
            <w:pPr>
              <w:autoSpaceDE w:val="0"/>
              <w:autoSpaceDN w:val="0"/>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周期</w:t>
            </w:r>
          </w:p>
        </w:tc>
        <w:tc>
          <w:tcPr>
            <w:tcW w:w="948" w:type="dxa"/>
            <w:noWrap w:val="0"/>
            <w:vAlign w:val="center"/>
          </w:tcPr>
          <w:p w14:paraId="2E4B0965">
            <w:pPr>
              <w:autoSpaceDE w:val="0"/>
              <w:autoSpaceDN w:val="0"/>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包装</w:t>
            </w:r>
          </w:p>
          <w:p w14:paraId="1566C3FE">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方式</w:t>
            </w:r>
          </w:p>
        </w:tc>
      </w:tr>
      <w:tr w14:paraId="3221C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0D888111">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一</w:t>
            </w:r>
          </w:p>
        </w:tc>
        <w:tc>
          <w:tcPr>
            <w:tcW w:w="7912" w:type="dxa"/>
            <w:gridSpan w:val="6"/>
            <w:noWrap w:val="0"/>
            <w:vAlign w:val="center"/>
          </w:tcPr>
          <w:p w14:paraId="05D8B5C0">
            <w:pPr>
              <w:autoSpaceDE w:val="0"/>
              <w:autoSpaceDN w:val="0"/>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原辅材料</w:t>
            </w:r>
          </w:p>
        </w:tc>
      </w:tr>
      <w:tr w14:paraId="51160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2F9D03E1">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1</w:t>
            </w:r>
          </w:p>
        </w:tc>
        <w:tc>
          <w:tcPr>
            <w:tcW w:w="1276" w:type="dxa"/>
            <w:noWrap w:val="0"/>
            <w:vAlign w:val="center"/>
          </w:tcPr>
          <w:p w14:paraId="56D34A6D">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萤石原矿</w:t>
            </w:r>
          </w:p>
        </w:tc>
        <w:tc>
          <w:tcPr>
            <w:tcW w:w="1511" w:type="dxa"/>
            <w:noWrap w:val="0"/>
            <w:vAlign w:val="center"/>
          </w:tcPr>
          <w:p w14:paraId="2B8F36D6">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原料矿贮存库</w:t>
            </w:r>
          </w:p>
        </w:tc>
        <w:tc>
          <w:tcPr>
            <w:tcW w:w="2123" w:type="dxa"/>
            <w:noWrap w:val="0"/>
            <w:vAlign w:val="center"/>
          </w:tcPr>
          <w:p w14:paraId="68006E17">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100m×40m×H8m</w:t>
            </w:r>
          </w:p>
        </w:tc>
        <w:tc>
          <w:tcPr>
            <w:tcW w:w="1293" w:type="dxa"/>
            <w:noWrap w:val="0"/>
            <w:vAlign w:val="center"/>
          </w:tcPr>
          <w:p w14:paraId="1EE01070">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20000</w:t>
            </w:r>
          </w:p>
        </w:tc>
        <w:tc>
          <w:tcPr>
            <w:tcW w:w="761" w:type="dxa"/>
            <w:noWrap w:val="0"/>
            <w:vAlign w:val="center"/>
          </w:tcPr>
          <w:p w14:paraId="71089935">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20天</w:t>
            </w:r>
          </w:p>
        </w:tc>
        <w:tc>
          <w:tcPr>
            <w:tcW w:w="948" w:type="dxa"/>
            <w:noWrap w:val="0"/>
            <w:vAlign w:val="center"/>
          </w:tcPr>
          <w:p w14:paraId="63E44C35">
            <w:pPr>
              <w:autoSpaceDE w:val="0"/>
              <w:autoSpaceDN w:val="0"/>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散装</w:t>
            </w:r>
          </w:p>
        </w:tc>
      </w:tr>
      <w:tr w14:paraId="1FEFD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493AF2EA">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2</w:t>
            </w:r>
          </w:p>
        </w:tc>
        <w:tc>
          <w:tcPr>
            <w:tcW w:w="1276" w:type="dxa"/>
            <w:noWrap w:val="0"/>
            <w:vAlign w:val="center"/>
          </w:tcPr>
          <w:p w14:paraId="2C3E5C37">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捕收剂</w:t>
            </w:r>
          </w:p>
        </w:tc>
        <w:tc>
          <w:tcPr>
            <w:tcW w:w="1511" w:type="dxa"/>
            <w:noWrap w:val="0"/>
            <w:vAlign w:val="center"/>
          </w:tcPr>
          <w:p w14:paraId="3B69D006">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浮选车间</w:t>
            </w:r>
          </w:p>
        </w:tc>
        <w:tc>
          <w:tcPr>
            <w:tcW w:w="2123" w:type="dxa"/>
            <w:noWrap w:val="0"/>
            <w:vAlign w:val="center"/>
          </w:tcPr>
          <w:p w14:paraId="35C92324">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150m×32m×H12m</w:t>
            </w:r>
          </w:p>
        </w:tc>
        <w:tc>
          <w:tcPr>
            <w:tcW w:w="1293" w:type="dxa"/>
            <w:noWrap w:val="0"/>
            <w:vAlign w:val="center"/>
          </w:tcPr>
          <w:p w14:paraId="19E37960">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761" w:type="dxa"/>
            <w:noWrap w:val="0"/>
            <w:vAlign w:val="center"/>
          </w:tcPr>
          <w:p w14:paraId="608EC553">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30天</w:t>
            </w:r>
          </w:p>
        </w:tc>
        <w:tc>
          <w:tcPr>
            <w:tcW w:w="948" w:type="dxa"/>
            <w:noWrap w:val="0"/>
            <w:vAlign w:val="center"/>
          </w:tcPr>
          <w:p w14:paraId="4A2CF1DC">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袋装</w:t>
            </w:r>
          </w:p>
        </w:tc>
      </w:tr>
      <w:tr w14:paraId="064B7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6979871C">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3</w:t>
            </w:r>
          </w:p>
        </w:tc>
        <w:tc>
          <w:tcPr>
            <w:tcW w:w="1276" w:type="dxa"/>
            <w:noWrap w:val="0"/>
            <w:vAlign w:val="center"/>
          </w:tcPr>
          <w:p w14:paraId="53C81634">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调整剂</w:t>
            </w:r>
          </w:p>
        </w:tc>
        <w:tc>
          <w:tcPr>
            <w:tcW w:w="1511" w:type="dxa"/>
            <w:noWrap w:val="0"/>
            <w:vAlign w:val="center"/>
          </w:tcPr>
          <w:p w14:paraId="2C28B04F">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浮选车间</w:t>
            </w:r>
          </w:p>
        </w:tc>
        <w:tc>
          <w:tcPr>
            <w:tcW w:w="2123" w:type="dxa"/>
            <w:noWrap w:val="0"/>
            <w:vAlign w:val="center"/>
          </w:tcPr>
          <w:p w14:paraId="150218E0">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150m×32m×H12m</w:t>
            </w:r>
          </w:p>
        </w:tc>
        <w:tc>
          <w:tcPr>
            <w:tcW w:w="1293" w:type="dxa"/>
            <w:noWrap w:val="0"/>
            <w:vAlign w:val="center"/>
          </w:tcPr>
          <w:p w14:paraId="7281E6B4">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0.7</w:t>
            </w:r>
          </w:p>
        </w:tc>
        <w:tc>
          <w:tcPr>
            <w:tcW w:w="761" w:type="dxa"/>
            <w:noWrap w:val="0"/>
            <w:vAlign w:val="center"/>
          </w:tcPr>
          <w:p w14:paraId="4C0534E6">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30天</w:t>
            </w:r>
          </w:p>
        </w:tc>
        <w:tc>
          <w:tcPr>
            <w:tcW w:w="948" w:type="dxa"/>
            <w:noWrap w:val="0"/>
            <w:vAlign w:val="center"/>
          </w:tcPr>
          <w:p w14:paraId="17BF465F">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袋装</w:t>
            </w:r>
          </w:p>
        </w:tc>
      </w:tr>
      <w:tr w14:paraId="22BEB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17606E64">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4</w:t>
            </w:r>
          </w:p>
        </w:tc>
        <w:tc>
          <w:tcPr>
            <w:tcW w:w="1276" w:type="dxa"/>
            <w:noWrap w:val="0"/>
            <w:vAlign w:val="center"/>
          </w:tcPr>
          <w:p w14:paraId="502B7E28">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抑制剂</w:t>
            </w:r>
          </w:p>
        </w:tc>
        <w:tc>
          <w:tcPr>
            <w:tcW w:w="1511" w:type="dxa"/>
            <w:noWrap w:val="0"/>
            <w:vAlign w:val="center"/>
          </w:tcPr>
          <w:p w14:paraId="53FEBC0A">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浮选车间</w:t>
            </w:r>
          </w:p>
        </w:tc>
        <w:tc>
          <w:tcPr>
            <w:tcW w:w="2123" w:type="dxa"/>
            <w:noWrap w:val="0"/>
            <w:vAlign w:val="center"/>
          </w:tcPr>
          <w:p w14:paraId="6F456ABB">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150m×32m×H12m</w:t>
            </w:r>
          </w:p>
        </w:tc>
        <w:tc>
          <w:tcPr>
            <w:tcW w:w="1293" w:type="dxa"/>
            <w:noWrap w:val="0"/>
            <w:vAlign w:val="center"/>
          </w:tcPr>
          <w:p w14:paraId="672FEEA2">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761" w:type="dxa"/>
            <w:noWrap w:val="0"/>
            <w:vAlign w:val="center"/>
          </w:tcPr>
          <w:p w14:paraId="3E82B076">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30天</w:t>
            </w:r>
          </w:p>
        </w:tc>
        <w:tc>
          <w:tcPr>
            <w:tcW w:w="948" w:type="dxa"/>
            <w:noWrap w:val="0"/>
            <w:vAlign w:val="center"/>
          </w:tcPr>
          <w:p w14:paraId="32A858AF">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袋装</w:t>
            </w:r>
          </w:p>
        </w:tc>
      </w:tr>
      <w:tr w14:paraId="6B70D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29978CA8">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二</w:t>
            </w:r>
          </w:p>
        </w:tc>
        <w:tc>
          <w:tcPr>
            <w:tcW w:w="7912" w:type="dxa"/>
            <w:gridSpan w:val="6"/>
            <w:noWrap w:val="0"/>
            <w:vAlign w:val="center"/>
          </w:tcPr>
          <w:p w14:paraId="3B3E9E2A">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产品</w:t>
            </w:r>
          </w:p>
        </w:tc>
      </w:tr>
      <w:tr w14:paraId="0C116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1AB6BFC8">
            <w:pPr>
              <w:autoSpaceDE w:val="0"/>
              <w:autoSpaceDN w:val="0"/>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1</w:t>
            </w:r>
          </w:p>
        </w:tc>
        <w:tc>
          <w:tcPr>
            <w:tcW w:w="1276" w:type="dxa"/>
            <w:noWrap w:val="0"/>
            <w:vAlign w:val="center"/>
          </w:tcPr>
          <w:p w14:paraId="321506F5">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萤石精矿粉</w:t>
            </w:r>
          </w:p>
        </w:tc>
        <w:tc>
          <w:tcPr>
            <w:tcW w:w="1511" w:type="dxa"/>
            <w:noWrap w:val="0"/>
            <w:vAlign w:val="center"/>
          </w:tcPr>
          <w:p w14:paraId="5A68FB87">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精矿贮存库</w:t>
            </w:r>
          </w:p>
        </w:tc>
        <w:tc>
          <w:tcPr>
            <w:tcW w:w="2123" w:type="dxa"/>
            <w:noWrap w:val="0"/>
            <w:vAlign w:val="center"/>
          </w:tcPr>
          <w:p w14:paraId="19F5FF17">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30m×20m×H12m</w:t>
            </w:r>
          </w:p>
        </w:tc>
        <w:tc>
          <w:tcPr>
            <w:tcW w:w="1293" w:type="dxa"/>
            <w:noWrap w:val="0"/>
            <w:vAlign w:val="center"/>
          </w:tcPr>
          <w:p w14:paraId="5567745F">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3000</w:t>
            </w:r>
          </w:p>
        </w:tc>
        <w:tc>
          <w:tcPr>
            <w:tcW w:w="761" w:type="dxa"/>
            <w:noWrap w:val="0"/>
            <w:vAlign w:val="center"/>
          </w:tcPr>
          <w:p w14:paraId="1E48ED7D">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7天</w:t>
            </w:r>
          </w:p>
        </w:tc>
        <w:tc>
          <w:tcPr>
            <w:tcW w:w="948" w:type="dxa"/>
            <w:noWrap w:val="0"/>
            <w:vAlign w:val="center"/>
          </w:tcPr>
          <w:p w14:paraId="74851E96">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散装</w:t>
            </w:r>
          </w:p>
        </w:tc>
      </w:tr>
      <w:tr w14:paraId="0B362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3C8A2186">
            <w:pPr>
              <w:autoSpaceDE w:val="0"/>
              <w:autoSpaceDN w:val="0"/>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三</w:t>
            </w:r>
          </w:p>
        </w:tc>
        <w:tc>
          <w:tcPr>
            <w:tcW w:w="7912" w:type="dxa"/>
            <w:gridSpan w:val="6"/>
            <w:noWrap w:val="0"/>
            <w:vAlign w:val="center"/>
          </w:tcPr>
          <w:p w14:paraId="4A3FA06E">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固体废弃物</w:t>
            </w:r>
          </w:p>
        </w:tc>
      </w:tr>
      <w:tr w14:paraId="3DA89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noWrap w:val="0"/>
            <w:vAlign w:val="center"/>
          </w:tcPr>
          <w:p w14:paraId="69BC3677">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1276" w:type="dxa"/>
            <w:noWrap w:val="0"/>
            <w:vAlign w:val="center"/>
          </w:tcPr>
          <w:p w14:paraId="2CCB6642">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尾矿砂</w:t>
            </w:r>
          </w:p>
        </w:tc>
        <w:tc>
          <w:tcPr>
            <w:tcW w:w="1511" w:type="dxa"/>
            <w:noWrap w:val="0"/>
            <w:vAlign w:val="center"/>
          </w:tcPr>
          <w:p w14:paraId="10F1236A">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尾矿砂暂存库</w:t>
            </w:r>
          </w:p>
        </w:tc>
        <w:tc>
          <w:tcPr>
            <w:tcW w:w="2123" w:type="dxa"/>
            <w:noWrap w:val="0"/>
            <w:vAlign w:val="center"/>
          </w:tcPr>
          <w:p w14:paraId="7685C279">
            <w:pPr>
              <w:autoSpaceDE w:val="0"/>
              <w:autoSpaceDN w:val="0"/>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40m×20m×H8m</w:t>
            </w:r>
          </w:p>
        </w:tc>
        <w:tc>
          <w:tcPr>
            <w:tcW w:w="1293" w:type="dxa"/>
            <w:noWrap w:val="0"/>
            <w:vAlign w:val="center"/>
          </w:tcPr>
          <w:p w14:paraId="1DCD7478">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4000</w:t>
            </w:r>
          </w:p>
        </w:tc>
        <w:tc>
          <w:tcPr>
            <w:tcW w:w="761" w:type="dxa"/>
            <w:noWrap w:val="0"/>
            <w:vAlign w:val="center"/>
          </w:tcPr>
          <w:p w14:paraId="68BE58AA">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7天</w:t>
            </w:r>
          </w:p>
        </w:tc>
        <w:tc>
          <w:tcPr>
            <w:tcW w:w="948" w:type="dxa"/>
            <w:noWrap w:val="0"/>
            <w:vAlign w:val="center"/>
          </w:tcPr>
          <w:p w14:paraId="1A729403">
            <w:pPr>
              <w:autoSpaceDE w:val="0"/>
              <w:autoSpaceDN w:val="0"/>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散装</w:t>
            </w:r>
          </w:p>
        </w:tc>
      </w:tr>
      <w:tr w14:paraId="742B8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Merge w:val="restart"/>
            <w:noWrap w:val="0"/>
            <w:vAlign w:val="center"/>
          </w:tcPr>
          <w:p w14:paraId="47AB5338">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1276" w:type="dxa"/>
            <w:noWrap w:val="0"/>
            <w:vAlign w:val="center"/>
          </w:tcPr>
          <w:p w14:paraId="5586082B">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废矿物油</w:t>
            </w:r>
          </w:p>
        </w:tc>
        <w:tc>
          <w:tcPr>
            <w:tcW w:w="1511" w:type="dxa"/>
            <w:vMerge w:val="restart"/>
            <w:noWrap w:val="0"/>
            <w:vAlign w:val="center"/>
          </w:tcPr>
          <w:p w14:paraId="7909CFD3">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危废暂存间</w:t>
            </w:r>
          </w:p>
        </w:tc>
        <w:tc>
          <w:tcPr>
            <w:tcW w:w="2123" w:type="dxa"/>
            <w:vMerge w:val="restart"/>
            <w:noWrap w:val="0"/>
            <w:vAlign w:val="center"/>
          </w:tcPr>
          <w:p w14:paraId="50148C2F">
            <w:pPr>
              <w:autoSpaceDE w:val="0"/>
              <w:autoSpaceDN w:val="0"/>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lang w:val="en-US" w:eastAsia="zh-CN"/>
              </w:rPr>
              <w:t>5m×4m×H3m</w:t>
            </w:r>
          </w:p>
        </w:tc>
        <w:tc>
          <w:tcPr>
            <w:tcW w:w="1293" w:type="dxa"/>
            <w:noWrap w:val="0"/>
            <w:vAlign w:val="center"/>
          </w:tcPr>
          <w:p w14:paraId="1E986D07">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761" w:type="dxa"/>
            <w:noWrap w:val="0"/>
            <w:vAlign w:val="center"/>
          </w:tcPr>
          <w:p w14:paraId="03C7EA1E">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1a</w:t>
            </w:r>
          </w:p>
        </w:tc>
        <w:tc>
          <w:tcPr>
            <w:tcW w:w="948" w:type="dxa"/>
            <w:noWrap w:val="0"/>
            <w:vAlign w:val="center"/>
          </w:tcPr>
          <w:p w14:paraId="5A3E1497">
            <w:pPr>
              <w:autoSpaceDE w:val="0"/>
              <w:autoSpaceDN w:val="0"/>
              <w:adjustRightInd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钢桶</w:t>
            </w:r>
          </w:p>
        </w:tc>
      </w:tr>
      <w:tr w14:paraId="66638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dxa"/>
            <w:vMerge w:val="continue"/>
            <w:noWrap w:val="0"/>
            <w:vAlign w:val="center"/>
          </w:tcPr>
          <w:p w14:paraId="20F97FA3">
            <w:pPr>
              <w:autoSpaceDE w:val="0"/>
              <w:autoSpaceDN w:val="0"/>
              <w:adjustRightInd w:val="0"/>
              <w:snapToGrid w:val="0"/>
              <w:spacing w:line="240" w:lineRule="auto"/>
              <w:ind w:firstLine="0" w:firstLineChars="0"/>
              <w:jc w:val="center"/>
              <w:rPr>
                <w:rFonts w:hint="eastAsia"/>
                <w:color w:val="auto"/>
                <w:sz w:val="21"/>
                <w:szCs w:val="21"/>
                <w:highlight w:val="none"/>
                <w:lang w:val="en-US" w:eastAsia="zh-CN"/>
              </w:rPr>
            </w:pPr>
          </w:p>
        </w:tc>
        <w:tc>
          <w:tcPr>
            <w:tcW w:w="1276" w:type="dxa"/>
            <w:noWrap w:val="0"/>
            <w:vAlign w:val="center"/>
          </w:tcPr>
          <w:p w14:paraId="52BC412F">
            <w:pPr>
              <w:autoSpaceDE w:val="0"/>
              <w:autoSpaceDN w:val="0"/>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废油桶</w:t>
            </w:r>
          </w:p>
        </w:tc>
        <w:tc>
          <w:tcPr>
            <w:tcW w:w="1511" w:type="dxa"/>
            <w:vMerge w:val="continue"/>
            <w:noWrap w:val="0"/>
            <w:vAlign w:val="center"/>
          </w:tcPr>
          <w:p w14:paraId="3034DF86">
            <w:pPr>
              <w:autoSpaceDE w:val="0"/>
              <w:autoSpaceDN w:val="0"/>
              <w:adjustRightInd w:val="0"/>
              <w:snapToGrid w:val="0"/>
              <w:spacing w:line="240" w:lineRule="auto"/>
              <w:ind w:firstLine="0" w:firstLineChars="0"/>
              <w:jc w:val="center"/>
              <w:rPr>
                <w:rFonts w:hint="eastAsia"/>
                <w:color w:val="auto"/>
                <w:sz w:val="21"/>
                <w:szCs w:val="21"/>
                <w:highlight w:val="none"/>
                <w:lang w:val="en-US" w:eastAsia="zh-CN"/>
              </w:rPr>
            </w:pPr>
          </w:p>
        </w:tc>
        <w:tc>
          <w:tcPr>
            <w:tcW w:w="2123" w:type="dxa"/>
            <w:vMerge w:val="continue"/>
            <w:noWrap w:val="0"/>
            <w:vAlign w:val="center"/>
          </w:tcPr>
          <w:p w14:paraId="4B0D854C">
            <w:pPr>
              <w:autoSpaceDE w:val="0"/>
              <w:autoSpaceDN w:val="0"/>
              <w:adjustRightInd w:val="0"/>
              <w:snapToGrid w:val="0"/>
              <w:spacing w:line="240" w:lineRule="auto"/>
              <w:ind w:firstLine="0" w:firstLineChars="0"/>
              <w:jc w:val="center"/>
              <w:rPr>
                <w:rFonts w:hint="eastAsia"/>
                <w:color w:val="auto"/>
                <w:sz w:val="21"/>
                <w:szCs w:val="21"/>
                <w:highlight w:val="none"/>
                <w:lang w:val="en-US" w:eastAsia="zh-CN"/>
              </w:rPr>
            </w:pPr>
          </w:p>
        </w:tc>
        <w:tc>
          <w:tcPr>
            <w:tcW w:w="1293" w:type="dxa"/>
            <w:noWrap w:val="0"/>
            <w:vAlign w:val="center"/>
          </w:tcPr>
          <w:p w14:paraId="74E2615F">
            <w:pPr>
              <w:autoSpaceDE w:val="0"/>
              <w:autoSpaceDN w:val="0"/>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w:t>
            </w:r>
          </w:p>
        </w:tc>
        <w:tc>
          <w:tcPr>
            <w:tcW w:w="761" w:type="dxa"/>
            <w:noWrap w:val="0"/>
            <w:vAlign w:val="center"/>
          </w:tcPr>
          <w:p w14:paraId="506AFCE7">
            <w:pPr>
              <w:autoSpaceDE w:val="0"/>
              <w:autoSpaceDN w:val="0"/>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1a</w:t>
            </w:r>
          </w:p>
        </w:tc>
        <w:tc>
          <w:tcPr>
            <w:tcW w:w="948" w:type="dxa"/>
            <w:noWrap w:val="0"/>
            <w:vAlign w:val="center"/>
          </w:tcPr>
          <w:p w14:paraId="7678FE1E">
            <w:pPr>
              <w:autoSpaceDE w:val="0"/>
              <w:autoSpaceDN w:val="0"/>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bl>
    <w:p w14:paraId="714BEE5F">
      <w:pPr>
        <w:pStyle w:val="5"/>
        <w:rPr>
          <w:rFonts w:hint="eastAsia"/>
          <w:color w:val="auto"/>
          <w:highlight w:val="none"/>
          <w:lang w:val="en-US" w:eastAsia="zh-CN"/>
        </w:rPr>
      </w:pPr>
      <w:r>
        <w:rPr>
          <w:rFonts w:hint="eastAsia"/>
          <w:color w:val="auto"/>
          <w:highlight w:val="none"/>
          <w:lang w:val="en-US" w:eastAsia="zh-CN"/>
        </w:rPr>
        <w:t>项目运输量</w:t>
      </w:r>
    </w:p>
    <w:p w14:paraId="0D48402F">
      <w:pPr>
        <w:ind w:firstLine="480"/>
        <w:rPr>
          <w:color w:val="auto"/>
          <w:highlight w:val="none"/>
        </w:rPr>
      </w:pPr>
      <w:r>
        <w:rPr>
          <w:color w:val="auto"/>
          <w:highlight w:val="none"/>
        </w:rPr>
        <w:t>本项目所需的</w:t>
      </w:r>
      <w:r>
        <w:rPr>
          <w:rFonts w:hint="eastAsia"/>
          <w:color w:val="auto"/>
          <w:highlight w:val="none"/>
          <w:lang w:val="en-US" w:eastAsia="zh-CN"/>
        </w:rPr>
        <w:t>萤石原料矿石</w:t>
      </w:r>
      <w:r>
        <w:rPr>
          <w:color w:val="auto"/>
          <w:highlight w:val="none"/>
        </w:rPr>
        <w:t>、辅助材料及产品运输以公路</w:t>
      </w:r>
      <w:r>
        <w:rPr>
          <w:rFonts w:hint="eastAsia"/>
          <w:color w:val="auto"/>
          <w:highlight w:val="none"/>
          <w:lang w:val="en-US" w:eastAsia="zh-CN"/>
        </w:rPr>
        <w:t>汽车</w:t>
      </w:r>
      <w:r>
        <w:rPr>
          <w:color w:val="auto"/>
          <w:highlight w:val="none"/>
        </w:rPr>
        <w:t>运输为主。本项目运输车辆均依托当地社会力量</w:t>
      </w:r>
      <w:r>
        <w:rPr>
          <w:rFonts w:hint="eastAsia"/>
          <w:color w:val="auto"/>
          <w:highlight w:val="none"/>
        </w:rPr>
        <w:t>，</w:t>
      </w:r>
      <w:r>
        <w:rPr>
          <w:color w:val="auto"/>
          <w:highlight w:val="none"/>
        </w:rPr>
        <w:t>年总运输量：</w:t>
      </w:r>
      <w:r>
        <w:rPr>
          <w:rFonts w:hint="eastAsia"/>
          <w:color w:val="auto"/>
          <w:highlight w:val="none"/>
          <w:lang w:val="en-US" w:eastAsia="zh-CN"/>
        </w:rPr>
        <w:t>600023</w:t>
      </w:r>
      <w:r>
        <w:rPr>
          <w:color w:val="auto"/>
          <w:highlight w:val="none"/>
        </w:rPr>
        <w:t>吨/年。</w:t>
      </w:r>
    </w:p>
    <w:p w14:paraId="67848571">
      <w:pPr>
        <w:ind w:firstLine="480"/>
        <w:rPr>
          <w:rFonts w:hint="eastAsia"/>
          <w:color w:val="auto"/>
          <w:highlight w:val="none"/>
        </w:rPr>
      </w:pPr>
      <w:r>
        <w:rPr>
          <w:rFonts w:hint="eastAsia"/>
          <w:color w:val="auto"/>
          <w:highlight w:val="none"/>
        </w:rPr>
        <w:t>本项目原辅材料及产品运输进出量统计详见表3.5-4。</w:t>
      </w:r>
    </w:p>
    <w:p w14:paraId="51305500">
      <w:pPr>
        <w:pStyle w:val="199"/>
        <w:keepNext w:val="0"/>
        <w:keepLines w:val="0"/>
        <w:pageBreakBefore/>
        <w:widowControl w:val="0"/>
        <w:kinsoku/>
        <w:wordWrap/>
        <w:overflowPunct/>
        <w:topLinePunct w:val="0"/>
        <w:autoSpaceDE/>
        <w:autoSpaceDN/>
        <w:bidi w:val="0"/>
        <w:adjustRightInd/>
        <w:snapToGrid/>
        <w:spacing w:before="120"/>
        <w:textAlignment w:val="auto"/>
        <w:rPr>
          <w:color w:val="auto"/>
          <w:sz w:val="24"/>
          <w:highlight w:val="none"/>
        </w:rPr>
      </w:pPr>
      <w:r>
        <w:rPr>
          <w:rFonts w:hint="eastAsia"/>
          <w:color w:val="auto"/>
          <w:sz w:val="24"/>
          <w:highlight w:val="none"/>
        </w:rPr>
        <w:t>表3.5</w:t>
      </w:r>
      <w:r>
        <w:rPr>
          <w:color w:val="auto"/>
          <w:sz w:val="24"/>
          <w:highlight w:val="none"/>
        </w:rPr>
        <w:t>-</w:t>
      </w:r>
      <w:r>
        <w:rPr>
          <w:rFonts w:hint="eastAsia"/>
          <w:color w:val="auto"/>
          <w:sz w:val="24"/>
          <w:highlight w:val="none"/>
        </w:rPr>
        <w:t>4</w:t>
      </w:r>
      <w:r>
        <w:rPr>
          <w:color w:val="auto"/>
          <w:sz w:val="24"/>
          <w:highlight w:val="none"/>
        </w:rPr>
        <w:t xml:space="preserve">   </w:t>
      </w:r>
      <w:r>
        <w:rPr>
          <w:rFonts w:hint="eastAsia"/>
          <w:color w:val="auto"/>
          <w:sz w:val="24"/>
          <w:highlight w:val="none"/>
        </w:rPr>
        <w:t>原辅材料及产品运输进出量统计表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237"/>
        <w:gridCol w:w="2090"/>
        <w:gridCol w:w="790"/>
        <w:gridCol w:w="1792"/>
        <w:gridCol w:w="1920"/>
      </w:tblGrid>
      <w:tr w14:paraId="46F99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6" w:type="pct"/>
            <w:gridSpan w:val="3"/>
            <w:noWrap w:val="0"/>
            <w:vAlign w:val="center"/>
          </w:tcPr>
          <w:p w14:paraId="46FC3B39">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运    入</w:t>
            </w:r>
          </w:p>
        </w:tc>
        <w:tc>
          <w:tcPr>
            <w:tcW w:w="2643" w:type="pct"/>
            <w:gridSpan w:val="3"/>
            <w:noWrap w:val="0"/>
            <w:vAlign w:val="center"/>
          </w:tcPr>
          <w:p w14:paraId="2998E781">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运    出</w:t>
            </w:r>
          </w:p>
        </w:tc>
      </w:tr>
      <w:tr w14:paraId="1461E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noWrap w:val="0"/>
            <w:vAlign w:val="center"/>
          </w:tcPr>
          <w:p w14:paraId="1AC11CD8">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序号</w:t>
            </w:r>
          </w:p>
        </w:tc>
        <w:tc>
          <w:tcPr>
            <w:tcW w:w="725" w:type="pct"/>
            <w:noWrap w:val="0"/>
            <w:vAlign w:val="center"/>
          </w:tcPr>
          <w:p w14:paraId="094630F8">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物料名称</w:t>
            </w:r>
          </w:p>
        </w:tc>
        <w:tc>
          <w:tcPr>
            <w:tcW w:w="1227" w:type="pct"/>
            <w:noWrap w:val="0"/>
            <w:vAlign w:val="center"/>
          </w:tcPr>
          <w:p w14:paraId="6E405528">
            <w:pPr>
              <w:autoSpaceDE w:val="0"/>
              <w:autoSpaceDN w:val="0"/>
              <w:adjustRightInd w:val="0"/>
              <w:snapToGrid w:val="0"/>
              <w:spacing w:line="240" w:lineRule="auto"/>
              <w:ind w:firstLine="0" w:firstLineChars="0"/>
              <w:jc w:val="center"/>
              <w:rPr>
                <w:rFonts w:hint="eastAsia" w:eastAsia="宋体"/>
                <w:color w:val="auto"/>
                <w:sz w:val="21"/>
                <w:szCs w:val="21"/>
                <w:highlight w:val="none"/>
                <w:lang w:eastAsia="zh-CN"/>
              </w:rPr>
            </w:pPr>
            <w:r>
              <w:rPr>
                <w:color w:val="auto"/>
                <w:sz w:val="21"/>
                <w:szCs w:val="21"/>
                <w:highlight w:val="none"/>
              </w:rPr>
              <w:t>数量</w:t>
            </w:r>
            <w:r>
              <w:rPr>
                <w:rFonts w:hint="eastAsia"/>
                <w:color w:val="auto"/>
                <w:sz w:val="21"/>
                <w:szCs w:val="21"/>
                <w:highlight w:val="none"/>
                <w:lang w:eastAsia="zh-CN"/>
              </w:rPr>
              <w:t>（</w:t>
            </w:r>
            <w:r>
              <w:rPr>
                <w:rFonts w:hint="eastAsia"/>
                <w:color w:val="auto"/>
                <w:sz w:val="21"/>
                <w:szCs w:val="21"/>
                <w:highlight w:val="none"/>
                <w:lang w:val="en-US" w:eastAsia="zh-CN"/>
              </w:rPr>
              <w:t>t</w:t>
            </w:r>
            <w:r>
              <w:rPr>
                <w:rFonts w:hint="eastAsia"/>
                <w:color w:val="auto"/>
                <w:sz w:val="21"/>
                <w:szCs w:val="21"/>
                <w:highlight w:val="none"/>
                <w:lang w:eastAsia="zh-CN"/>
              </w:rPr>
              <w:t>）</w:t>
            </w:r>
          </w:p>
        </w:tc>
        <w:tc>
          <w:tcPr>
            <w:tcW w:w="464" w:type="pct"/>
            <w:noWrap w:val="0"/>
            <w:vAlign w:val="center"/>
          </w:tcPr>
          <w:p w14:paraId="34B0C383">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序号</w:t>
            </w:r>
          </w:p>
        </w:tc>
        <w:tc>
          <w:tcPr>
            <w:tcW w:w="1051" w:type="pct"/>
            <w:noWrap w:val="0"/>
            <w:vAlign w:val="center"/>
          </w:tcPr>
          <w:p w14:paraId="2DDB6D94">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物料名称</w:t>
            </w:r>
          </w:p>
        </w:tc>
        <w:tc>
          <w:tcPr>
            <w:tcW w:w="1126" w:type="pct"/>
            <w:noWrap w:val="0"/>
            <w:vAlign w:val="center"/>
          </w:tcPr>
          <w:p w14:paraId="4305FF0D">
            <w:pPr>
              <w:autoSpaceDE w:val="0"/>
              <w:autoSpaceDN w:val="0"/>
              <w:adjustRightInd w:val="0"/>
              <w:snapToGrid w:val="0"/>
              <w:spacing w:line="240" w:lineRule="auto"/>
              <w:ind w:firstLine="0" w:firstLineChars="0"/>
              <w:jc w:val="center"/>
              <w:rPr>
                <w:rFonts w:hint="eastAsia" w:eastAsia="宋体"/>
                <w:color w:val="auto"/>
                <w:sz w:val="21"/>
                <w:szCs w:val="21"/>
                <w:highlight w:val="none"/>
                <w:lang w:eastAsia="zh-CN"/>
              </w:rPr>
            </w:pPr>
            <w:r>
              <w:rPr>
                <w:color w:val="auto"/>
                <w:sz w:val="21"/>
                <w:szCs w:val="21"/>
                <w:highlight w:val="none"/>
              </w:rPr>
              <w:t>数量</w:t>
            </w:r>
            <w:r>
              <w:rPr>
                <w:rFonts w:hint="eastAsia"/>
                <w:color w:val="auto"/>
                <w:sz w:val="21"/>
                <w:szCs w:val="21"/>
                <w:highlight w:val="none"/>
                <w:lang w:eastAsia="zh-CN"/>
              </w:rPr>
              <w:t>（</w:t>
            </w:r>
            <w:r>
              <w:rPr>
                <w:rFonts w:hint="eastAsia"/>
                <w:color w:val="auto"/>
                <w:sz w:val="21"/>
                <w:szCs w:val="21"/>
                <w:highlight w:val="none"/>
                <w:lang w:val="en-US" w:eastAsia="zh-CN"/>
              </w:rPr>
              <w:t>t</w:t>
            </w:r>
            <w:r>
              <w:rPr>
                <w:rFonts w:hint="eastAsia"/>
                <w:color w:val="auto"/>
                <w:sz w:val="21"/>
                <w:szCs w:val="21"/>
                <w:highlight w:val="none"/>
                <w:lang w:eastAsia="zh-CN"/>
              </w:rPr>
              <w:t>）</w:t>
            </w:r>
          </w:p>
        </w:tc>
      </w:tr>
      <w:tr w14:paraId="45364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noWrap w:val="0"/>
            <w:vAlign w:val="center"/>
          </w:tcPr>
          <w:p w14:paraId="7DF16B83">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1</w:t>
            </w:r>
          </w:p>
        </w:tc>
        <w:tc>
          <w:tcPr>
            <w:tcW w:w="725" w:type="pct"/>
            <w:noWrap w:val="0"/>
            <w:vAlign w:val="center"/>
          </w:tcPr>
          <w:p w14:paraId="6A24628E">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萤石原料矿石</w:t>
            </w:r>
          </w:p>
        </w:tc>
        <w:tc>
          <w:tcPr>
            <w:tcW w:w="1227" w:type="pct"/>
            <w:noWrap w:val="0"/>
            <w:vAlign w:val="center"/>
          </w:tcPr>
          <w:p w14:paraId="52722648">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300000</w:t>
            </w:r>
          </w:p>
        </w:tc>
        <w:tc>
          <w:tcPr>
            <w:tcW w:w="464" w:type="pct"/>
            <w:noWrap w:val="0"/>
            <w:vAlign w:val="center"/>
          </w:tcPr>
          <w:p w14:paraId="094BCB89">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1</w:t>
            </w:r>
          </w:p>
        </w:tc>
        <w:tc>
          <w:tcPr>
            <w:tcW w:w="1051" w:type="pct"/>
            <w:noWrap w:val="0"/>
            <w:vAlign w:val="center"/>
          </w:tcPr>
          <w:p w14:paraId="1E49C7D4">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精矿粉</w:t>
            </w:r>
          </w:p>
        </w:tc>
        <w:tc>
          <w:tcPr>
            <w:tcW w:w="1126" w:type="pct"/>
            <w:noWrap w:val="0"/>
            <w:vAlign w:val="center"/>
          </w:tcPr>
          <w:p w14:paraId="12AD5A34">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125000</w:t>
            </w:r>
          </w:p>
        </w:tc>
      </w:tr>
      <w:tr w14:paraId="551C6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noWrap w:val="0"/>
            <w:vAlign w:val="center"/>
          </w:tcPr>
          <w:p w14:paraId="26769877">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2</w:t>
            </w:r>
          </w:p>
        </w:tc>
        <w:tc>
          <w:tcPr>
            <w:tcW w:w="725" w:type="pct"/>
            <w:noWrap w:val="0"/>
            <w:vAlign w:val="center"/>
          </w:tcPr>
          <w:p w14:paraId="23755BAE">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捕收剂</w:t>
            </w:r>
          </w:p>
        </w:tc>
        <w:tc>
          <w:tcPr>
            <w:tcW w:w="1227" w:type="pct"/>
            <w:noWrap w:val="0"/>
            <w:vAlign w:val="center"/>
          </w:tcPr>
          <w:p w14:paraId="3B1D75CB">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464" w:type="pct"/>
            <w:noWrap w:val="0"/>
            <w:vAlign w:val="center"/>
          </w:tcPr>
          <w:p w14:paraId="6EFC66A2">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2</w:t>
            </w:r>
          </w:p>
        </w:tc>
        <w:tc>
          <w:tcPr>
            <w:tcW w:w="1051" w:type="pct"/>
            <w:noWrap w:val="0"/>
            <w:vAlign w:val="center"/>
          </w:tcPr>
          <w:p w14:paraId="02AB54A3">
            <w:pPr>
              <w:autoSpaceDE w:val="0"/>
              <w:autoSpaceDN w:val="0"/>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尾矿砂</w:t>
            </w:r>
          </w:p>
        </w:tc>
        <w:tc>
          <w:tcPr>
            <w:tcW w:w="1126" w:type="pct"/>
            <w:noWrap w:val="0"/>
            <w:vAlign w:val="center"/>
          </w:tcPr>
          <w:p w14:paraId="71AA5315">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175017</w:t>
            </w:r>
          </w:p>
        </w:tc>
      </w:tr>
      <w:tr w14:paraId="082F3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noWrap w:val="0"/>
            <w:vAlign w:val="center"/>
          </w:tcPr>
          <w:p w14:paraId="30F0E9D3">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3</w:t>
            </w:r>
          </w:p>
        </w:tc>
        <w:tc>
          <w:tcPr>
            <w:tcW w:w="725" w:type="pct"/>
            <w:noWrap w:val="0"/>
            <w:vAlign w:val="center"/>
          </w:tcPr>
          <w:p w14:paraId="2B44A5D8">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调整剂</w:t>
            </w:r>
          </w:p>
        </w:tc>
        <w:tc>
          <w:tcPr>
            <w:tcW w:w="1227" w:type="pct"/>
            <w:noWrap w:val="0"/>
            <w:vAlign w:val="center"/>
          </w:tcPr>
          <w:p w14:paraId="6801EBCE">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7.0</w:t>
            </w:r>
          </w:p>
        </w:tc>
        <w:tc>
          <w:tcPr>
            <w:tcW w:w="464" w:type="pct"/>
            <w:noWrap w:val="0"/>
            <w:vAlign w:val="center"/>
          </w:tcPr>
          <w:p w14:paraId="3741F7F4">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3</w:t>
            </w:r>
          </w:p>
        </w:tc>
        <w:tc>
          <w:tcPr>
            <w:tcW w:w="1051" w:type="pct"/>
            <w:noWrap w:val="0"/>
            <w:vAlign w:val="center"/>
          </w:tcPr>
          <w:p w14:paraId="46243A4E">
            <w:pPr>
              <w:autoSpaceDE w:val="0"/>
              <w:autoSpaceDN w:val="0"/>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废矿物油</w:t>
            </w:r>
          </w:p>
        </w:tc>
        <w:tc>
          <w:tcPr>
            <w:tcW w:w="1126" w:type="pct"/>
            <w:noWrap w:val="0"/>
            <w:vAlign w:val="center"/>
          </w:tcPr>
          <w:p w14:paraId="0F3CA57D">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r>
      <w:tr w14:paraId="0BFFC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noWrap w:val="0"/>
            <w:vAlign w:val="center"/>
          </w:tcPr>
          <w:p w14:paraId="22285362">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4</w:t>
            </w:r>
          </w:p>
        </w:tc>
        <w:tc>
          <w:tcPr>
            <w:tcW w:w="725" w:type="pct"/>
            <w:noWrap w:val="0"/>
            <w:vAlign w:val="center"/>
          </w:tcPr>
          <w:p w14:paraId="0A919505">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抑制剂</w:t>
            </w:r>
          </w:p>
        </w:tc>
        <w:tc>
          <w:tcPr>
            <w:tcW w:w="1227" w:type="pct"/>
            <w:noWrap w:val="0"/>
            <w:vAlign w:val="center"/>
          </w:tcPr>
          <w:p w14:paraId="3E380AF9">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464" w:type="pct"/>
            <w:noWrap w:val="0"/>
            <w:vAlign w:val="center"/>
          </w:tcPr>
          <w:p w14:paraId="5883DAEF">
            <w:pPr>
              <w:autoSpaceDE w:val="0"/>
              <w:autoSpaceDN w:val="0"/>
              <w:adjustRightInd w:val="0"/>
              <w:snapToGrid w:val="0"/>
              <w:spacing w:line="240" w:lineRule="auto"/>
              <w:ind w:firstLine="0" w:firstLineChars="0"/>
              <w:jc w:val="center"/>
              <w:rPr>
                <w:color w:val="auto"/>
                <w:sz w:val="21"/>
                <w:szCs w:val="21"/>
                <w:highlight w:val="none"/>
              </w:rPr>
            </w:pPr>
          </w:p>
        </w:tc>
        <w:tc>
          <w:tcPr>
            <w:tcW w:w="1051" w:type="pct"/>
            <w:noWrap w:val="0"/>
            <w:vAlign w:val="center"/>
          </w:tcPr>
          <w:p w14:paraId="58D86A03">
            <w:pPr>
              <w:autoSpaceDE w:val="0"/>
              <w:autoSpaceDN w:val="0"/>
              <w:adjustRightInd w:val="0"/>
              <w:snapToGrid w:val="0"/>
              <w:spacing w:line="240" w:lineRule="auto"/>
              <w:ind w:firstLine="0" w:firstLineChars="0"/>
              <w:jc w:val="center"/>
              <w:rPr>
                <w:color w:val="auto"/>
                <w:sz w:val="21"/>
                <w:szCs w:val="21"/>
                <w:highlight w:val="none"/>
              </w:rPr>
            </w:pPr>
          </w:p>
        </w:tc>
        <w:tc>
          <w:tcPr>
            <w:tcW w:w="1126" w:type="pct"/>
            <w:noWrap w:val="0"/>
            <w:vAlign w:val="center"/>
          </w:tcPr>
          <w:p w14:paraId="12BEC0B3">
            <w:pPr>
              <w:autoSpaceDE w:val="0"/>
              <w:autoSpaceDN w:val="0"/>
              <w:adjustRightInd w:val="0"/>
              <w:snapToGrid w:val="0"/>
              <w:spacing w:line="240" w:lineRule="auto"/>
              <w:ind w:firstLine="0" w:firstLineChars="0"/>
              <w:jc w:val="center"/>
              <w:rPr>
                <w:color w:val="auto"/>
                <w:sz w:val="21"/>
                <w:szCs w:val="21"/>
                <w:highlight w:val="none"/>
              </w:rPr>
            </w:pPr>
          </w:p>
        </w:tc>
      </w:tr>
      <w:tr w14:paraId="259C4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noWrap w:val="0"/>
            <w:vAlign w:val="center"/>
          </w:tcPr>
          <w:p w14:paraId="1BCC4A50">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5</w:t>
            </w:r>
          </w:p>
        </w:tc>
        <w:tc>
          <w:tcPr>
            <w:tcW w:w="725" w:type="pct"/>
            <w:noWrap w:val="0"/>
            <w:vAlign w:val="center"/>
          </w:tcPr>
          <w:p w14:paraId="5BE1BD55">
            <w:pPr>
              <w:adjustRightInd w:val="0"/>
              <w:snapToGrid w:val="0"/>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机油</w:t>
            </w:r>
          </w:p>
        </w:tc>
        <w:tc>
          <w:tcPr>
            <w:tcW w:w="1227" w:type="pct"/>
            <w:noWrap w:val="0"/>
            <w:vAlign w:val="center"/>
          </w:tcPr>
          <w:p w14:paraId="590651A9">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464" w:type="pct"/>
            <w:noWrap w:val="0"/>
            <w:vAlign w:val="center"/>
          </w:tcPr>
          <w:p w14:paraId="5CB1B9EB">
            <w:pPr>
              <w:autoSpaceDE w:val="0"/>
              <w:autoSpaceDN w:val="0"/>
              <w:adjustRightInd w:val="0"/>
              <w:snapToGrid w:val="0"/>
              <w:spacing w:line="240" w:lineRule="auto"/>
              <w:ind w:firstLine="0" w:firstLineChars="0"/>
              <w:jc w:val="center"/>
              <w:rPr>
                <w:color w:val="auto"/>
                <w:sz w:val="21"/>
                <w:szCs w:val="21"/>
                <w:highlight w:val="none"/>
              </w:rPr>
            </w:pPr>
          </w:p>
        </w:tc>
        <w:tc>
          <w:tcPr>
            <w:tcW w:w="1051" w:type="pct"/>
            <w:noWrap w:val="0"/>
            <w:vAlign w:val="center"/>
          </w:tcPr>
          <w:p w14:paraId="7B90AB08">
            <w:pPr>
              <w:autoSpaceDE w:val="0"/>
              <w:autoSpaceDN w:val="0"/>
              <w:adjustRightInd w:val="0"/>
              <w:snapToGrid w:val="0"/>
              <w:spacing w:line="240" w:lineRule="auto"/>
              <w:ind w:firstLine="0" w:firstLineChars="0"/>
              <w:jc w:val="center"/>
              <w:rPr>
                <w:color w:val="auto"/>
                <w:sz w:val="21"/>
                <w:szCs w:val="21"/>
                <w:highlight w:val="none"/>
              </w:rPr>
            </w:pPr>
          </w:p>
        </w:tc>
        <w:tc>
          <w:tcPr>
            <w:tcW w:w="1126" w:type="pct"/>
            <w:noWrap w:val="0"/>
            <w:vAlign w:val="center"/>
          </w:tcPr>
          <w:p w14:paraId="6F1BE53E">
            <w:pPr>
              <w:autoSpaceDE w:val="0"/>
              <w:autoSpaceDN w:val="0"/>
              <w:adjustRightInd w:val="0"/>
              <w:snapToGrid w:val="0"/>
              <w:spacing w:line="240" w:lineRule="auto"/>
              <w:ind w:firstLine="0" w:firstLineChars="0"/>
              <w:jc w:val="center"/>
              <w:rPr>
                <w:color w:val="auto"/>
                <w:sz w:val="21"/>
                <w:szCs w:val="21"/>
                <w:highlight w:val="none"/>
              </w:rPr>
            </w:pPr>
          </w:p>
        </w:tc>
      </w:tr>
      <w:tr w14:paraId="1A9D7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pct"/>
            <w:gridSpan w:val="2"/>
            <w:noWrap w:val="0"/>
            <w:vAlign w:val="center"/>
          </w:tcPr>
          <w:p w14:paraId="3AB86B88">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合    计</w:t>
            </w:r>
          </w:p>
        </w:tc>
        <w:tc>
          <w:tcPr>
            <w:tcW w:w="1227" w:type="pct"/>
            <w:noWrap w:val="0"/>
            <w:vAlign w:val="center"/>
          </w:tcPr>
          <w:p w14:paraId="2E23BAA7">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300020</w:t>
            </w:r>
          </w:p>
        </w:tc>
        <w:tc>
          <w:tcPr>
            <w:tcW w:w="1516" w:type="pct"/>
            <w:gridSpan w:val="2"/>
            <w:noWrap w:val="0"/>
            <w:vAlign w:val="center"/>
          </w:tcPr>
          <w:p w14:paraId="71847317">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合    计</w:t>
            </w:r>
          </w:p>
        </w:tc>
        <w:tc>
          <w:tcPr>
            <w:tcW w:w="1126" w:type="pct"/>
            <w:noWrap w:val="0"/>
            <w:vAlign w:val="center"/>
          </w:tcPr>
          <w:p w14:paraId="245DE9C5">
            <w:pPr>
              <w:autoSpaceDE w:val="0"/>
              <w:autoSpaceDN w:val="0"/>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300020</w:t>
            </w:r>
          </w:p>
        </w:tc>
      </w:tr>
    </w:tbl>
    <w:p w14:paraId="4C81740A">
      <w:pPr>
        <w:pStyle w:val="4"/>
        <w:spacing w:before="120" w:after="120"/>
        <w:rPr>
          <w:rFonts w:hint="eastAsia"/>
          <w:color w:val="auto"/>
          <w:highlight w:val="none"/>
        </w:rPr>
      </w:pPr>
      <w:bookmarkStart w:id="90" w:name="_Toc28190"/>
      <w:r>
        <w:rPr>
          <w:rFonts w:hint="eastAsia"/>
          <w:color w:val="auto"/>
          <w:highlight w:val="none"/>
        </w:rPr>
        <w:t>总平面布置</w:t>
      </w:r>
      <w:bookmarkEnd w:id="89"/>
      <w:bookmarkEnd w:id="90"/>
    </w:p>
    <w:p w14:paraId="793CFBAD">
      <w:pPr>
        <w:ind w:firstLine="480"/>
        <w:rPr>
          <w:rFonts w:hint="default" w:eastAsia="宋体"/>
          <w:color w:val="auto"/>
          <w:highlight w:val="none"/>
          <w:lang w:val="en-US" w:eastAsia="zh-CN"/>
        </w:rPr>
      </w:pPr>
      <w:r>
        <w:rPr>
          <w:rFonts w:hint="eastAsia"/>
          <w:color w:val="auto"/>
          <w:highlight w:val="none"/>
          <w:lang w:val="en-US" w:eastAsia="zh-CN"/>
        </w:rPr>
        <w:t>本项目</w:t>
      </w:r>
      <w:r>
        <w:rPr>
          <w:color w:val="auto"/>
          <w:highlight w:val="none"/>
        </w:rPr>
        <w:t>厂区</w:t>
      </w:r>
      <w:r>
        <w:rPr>
          <w:rFonts w:hint="eastAsia"/>
          <w:color w:val="auto"/>
          <w:highlight w:val="none"/>
          <w:lang w:val="en-US" w:eastAsia="zh-CN"/>
        </w:rPr>
        <w:t>总</w:t>
      </w:r>
      <w:r>
        <w:rPr>
          <w:color w:val="auto"/>
          <w:highlight w:val="none"/>
        </w:rPr>
        <w:t>占地面积</w:t>
      </w:r>
      <w:r>
        <w:rPr>
          <w:rFonts w:hint="eastAsia"/>
          <w:color w:val="auto"/>
          <w:highlight w:val="none"/>
          <w:lang w:val="en-US" w:eastAsia="zh-CN"/>
        </w:rPr>
        <w:t>16650</w:t>
      </w:r>
      <w:r>
        <w:rPr>
          <w:color w:val="auto"/>
          <w:highlight w:val="none"/>
        </w:rPr>
        <w:t>m</w:t>
      </w:r>
      <w:r>
        <w:rPr>
          <w:color w:val="auto"/>
          <w:highlight w:val="none"/>
          <w:vertAlign w:val="superscript"/>
        </w:rPr>
        <w:t>2</w:t>
      </w:r>
      <w:r>
        <w:rPr>
          <w:color w:val="auto"/>
          <w:highlight w:val="none"/>
        </w:rPr>
        <w:t>，</w:t>
      </w:r>
      <w:r>
        <w:rPr>
          <w:rFonts w:hint="eastAsia"/>
          <w:color w:val="auto"/>
          <w:highlight w:val="none"/>
          <w:lang w:val="en-US" w:eastAsia="zh-CN"/>
        </w:rPr>
        <w:t>项目建设</w:t>
      </w:r>
      <w:r>
        <w:rPr>
          <w:color w:val="auto"/>
          <w:highlight w:val="none"/>
        </w:rPr>
        <w:t>主要</w:t>
      </w:r>
      <w:r>
        <w:rPr>
          <w:rFonts w:hint="eastAsia"/>
          <w:color w:val="auto"/>
          <w:highlight w:val="none"/>
          <w:lang w:val="en-US" w:eastAsia="zh-CN"/>
        </w:rPr>
        <w:t>功能区包括</w:t>
      </w:r>
      <w:r>
        <w:rPr>
          <w:color w:val="auto"/>
          <w:highlight w:val="none"/>
        </w:rPr>
        <w:t>破碎、筛选车间</w:t>
      </w:r>
      <w:r>
        <w:rPr>
          <w:rFonts w:hint="eastAsia"/>
          <w:color w:val="auto"/>
          <w:highlight w:val="none"/>
          <w:lang w:eastAsia="zh-CN"/>
        </w:rPr>
        <w:t>、</w:t>
      </w:r>
      <w:r>
        <w:rPr>
          <w:color w:val="auto"/>
          <w:highlight w:val="none"/>
        </w:rPr>
        <w:t>球磨</w:t>
      </w:r>
      <w:r>
        <w:rPr>
          <w:rFonts w:hint="eastAsia"/>
          <w:color w:val="auto"/>
          <w:highlight w:val="none"/>
          <w:lang w:eastAsia="zh-CN"/>
        </w:rPr>
        <w:t>、</w:t>
      </w:r>
      <w:r>
        <w:rPr>
          <w:color w:val="auto"/>
          <w:highlight w:val="none"/>
        </w:rPr>
        <w:t>浮选</w:t>
      </w:r>
      <w:r>
        <w:rPr>
          <w:rFonts w:hint="eastAsia"/>
          <w:color w:val="auto"/>
          <w:highlight w:val="none"/>
          <w:lang w:eastAsia="zh-CN"/>
        </w:rPr>
        <w:t>、</w:t>
      </w:r>
      <w:r>
        <w:rPr>
          <w:color w:val="auto"/>
          <w:highlight w:val="none"/>
        </w:rPr>
        <w:t>脱水车间</w:t>
      </w:r>
      <w:r>
        <w:rPr>
          <w:rFonts w:hint="eastAsia"/>
          <w:color w:val="auto"/>
          <w:highlight w:val="none"/>
          <w:lang w:eastAsia="zh-CN"/>
        </w:rPr>
        <w:t>、</w:t>
      </w:r>
      <w:r>
        <w:rPr>
          <w:color w:val="auto"/>
          <w:highlight w:val="none"/>
        </w:rPr>
        <w:t>尾矿</w:t>
      </w:r>
      <w:r>
        <w:rPr>
          <w:rFonts w:hint="eastAsia"/>
          <w:color w:val="auto"/>
          <w:highlight w:val="none"/>
          <w:lang w:val="en-US" w:eastAsia="zh-CN"/>
        </w:rPr>
        <w:t>砂暂存</w:t>
      </w:r>
      <w:r>
        <w:rPr>
          <w:color w:val="auto"/>
          <w:highlight w:val="none"/>
        </w:rPr>
        <w:t>车</w:t>
      </w:r>
      <w:r>
        <w:rPr>
          <w:rFonts w:hint="eastAsia"/>
          <w:color w:val="auto"/>
          <w:highlight w:val="none"/>
          <w:lang w:val="en-US" w:eastAsia="zh-CN"/>
        </w:rPr>
        <w:t>库</w:t>
      </w:r>
      <w:r>
        <w:rPr>
          <w:rFonts w:hint="eastAsia"/>
          <w:color w:val="auto"/>
          <w:highlight w:val="none"/>
          <w:lang w:eastAsia="zh-CN"/>
        </w:rPr>
        <w:t>、</w:t>
      </w:r>
      <w:r>
        <w:rPr>
          <w:rFonts w:hint="eastAsia"/>
          <w:color w:val="auto"/>
          <w:highlight w:val="none"/>
          <w:lang w:val="en-US" w:eastAsia="zh-CN"/>
        </w:rPr>
        <w:t>危废暂存间、</w:t>
      </w:r>
      <w:r>
        <w:rPr>
          <w:color w:val="auto"/>
          <w:highlight w:val="none"/>
        </w:rPr>
        <w:t>原矿</w:t>
      </w:r>
      <w:r>
        <w:rPr>
          <w:rFonts w:hint="eastAsia"/>
          <w:color w:val="auto"/>
          <w:highlight w:val="none"/>
          <w:lang w:val="en-US" w:eastAsia="zh-CN"/>
        </w:rPr>
        <w:t>堆存库</w:t>
      </w:r>
      <w:r>
        <w:rPr>
          <w:rFonts w:hint="eastAsia"/>
          <w:color w:val="auto"/>
          <w:highlight w:val="none"/>
          <w:lang w:eastAsia="zh-CN"/>
        </w:rPr>
        <w:t>、</w:t>
      </w:r>
      <w:r>
        <w:rPr>
          <w:rFonts w:hint="eastAsia"/>
          <w:color w:val="auto"/>
          <w:highlight w:val="none"/>
          <w:lang w:val="en-US" w:eastAsia="zh-CN"/>
        </w:rPr>
        <w:t>循环水池、</w:t>
      </w:r>
      <w:r>
        <w:rPr>
          <w:color w:val="auto"/>
          <w:highlight w:val="none"/>
        </w:rPr>
        <w:t>变配电室</w:t>
      </w:r>
      <w:r>
        <w:rPr>
          <w:rFonts w:hint="eastAsia"/>
          <w:color w:val="auto"/>
          <w:highlight w:val="none"/>
          <w:lang w:val="en-US" w:eastAsia="zh-CN"/>
        </w:rPr>
        <w:t>等</w:t>
      </w:r>
      <w:r>
        <w:rPr>
          <w:rFonts w:hint="eastAsia"/>
          <w:color w:val="auto"/>
          <w:highlight w:val="none"/>
          <w:lang w:eastAsia="zh-CN"/>
        </w:rPr>
        <w:t>。</w:t>
      </w:r>
      <w:r>
        <w:rPr>
          <w:rFonts w:hint="eastAsia"/>
          <w:color w:val="auto"/>
          <w:highlight w:val="none"/>
          <w:lang w:val="en-US" w:eastAsia="zh-CN"/>
        </w:rPr>
        <w:t>厂区东部布置生产车间，主要包括</w:t>
      </w:r>
      <w:r>
        <w:rPr>
          <w:color w:val="auto"/>
          <w:highlight w:val="none"/>
        </w:rPr>
        <w:t>球磨</w:t>
      </w:r>
      <w:r>
        <w:rPr>
          <w:rFonts w:hint="eastAsia"/>
          <w:color w:val="auto"/>
          <w:highlight w:val="none"/>
          <w:lang w:eastAsia="zh-CN"/>
        </w:rPr>
        <w:t>、</w:t>
      </w:r>
      <w:r>
        <w:rPr>
          <w:color w:val="auto"/>
          <w:highlight w:val="none"/>
        </w:rPr>
        <w:t>浮选</w:t>
      </w:r>
      <w:r>
        <w:rPr>
          <w:rFonts w:hint="eastAsia"/>
          <w:color w:val="auto"/>
          <w:highlight w:val="none"/>
          <w:lang w:eastAsia="zh-CN"/>
        </w:rPr>
        <w:t>、</w:t>
      </w:r>
      <w:r>
        <w:rPr>
          <w:color w:val="auto"/>
          <w:highlight w:val="none"/>
        </w:rPr>
        <w:t>脱水</w:t>
      </w:r>
      <w:r>
        <w:rPr>
          <w:rFonts w:hint="eastAsia"/>
          <w:color w:val="auto"/>
          <w:highlight w:val="none"/>
          <w:lang w:eastAsia="zh-CN"/>
        </w:rPr>
        <w:t>、</w:t>
      </w:r>
      <w:r>
        <w:rPr>
          <w:rFonts w:hint="eastAsia"/>
          <w:color w:val="auto"/>
          <w:highlight w:val="none"/>
          <w:lang w:val="en-US" w:eastAsia="zh-CN"/>
        </w:rPr>
        <w:t>成品贮存、危废暂存等设备设施；厂区西部布置原矿贮存库和尾矿砂贮存库；厂区北部布置破碎、筛分系统和循环水池。</w:t>
      </w:r>
    </w:p>
    <w:p w14:paraId="6DD8C167">
      <w:pPr>
        <w:ind w:firstLine="480"/>
        <w:rPr>
          <w:rFonts w:hint="eastAsia"/>
          <w:color w:val="auto"/>
          <w:highlight w:val="none"/>
        </w:rPr>
      </w:pPr>
      <w:r>
        <w:rPr>
          <w:rFonts w:hint="eastAsia"/>
          <w:color w:val="auto"/>
          <w:highlight w:val="none"/>
          <w:lang w:val="en-US" w:eastAsia="zh-CN"/>
        </w:rPr>
        <w:t>本项目具体</w:t>
      </w:r>
      <w:r>
        <w:rPr>
          <w:rFonts w:hint="eastAsia"/>
          <w:color w:val="auto"/>
          <w:highlight w:val="none"/>
        </w:rPr>
        <w:t>总平面布置情况详见附图</w:t>
      </w:r>
      <w:r>
        <w:rPr>
          <w:rFonts w:hint="eastAsia"/>
          <w:color w:val="auto"/>
          <w:highlight w:val="none"/>
          <w:lang w:val="en-US" w:eastAsia="zh-CN"/>
        </w:rPr>
        <w:t>1</w:t>
      </w:r>
      <w:r>
        <w:rPr>
          <w:rFonts w:hint="eastAsia"/>
          <w:color w:val="auto"/>
          <w:highlight w:val="none"/>
        </w:rPr>
        <w:t>。</w:t>
      </w:r>
    </w:p>
    <w:bookmarkEnd w:id="79"/>
    <w:bookmarkEnd w:id="80"/>
    <w:bookmarkEnd w:id="81"/>
    <w:p w14:paraId="04DC2CCB">
      <w:pPr>
        <w:pStyle w:val="4"/>
        <w:spacing w:before="120" w:after="120"/>
        <w:rPr>
          <w:rFonts w:hint="eastAsia"/>
          <w:color w:val="auto"/>
          <w:highlight w:val="none"/>
        </w:rPr>
      </w:pPr>
      <w:bookmarkStart w:id="91" w:name="_Toc24447084"/>
      <w:bookmarkStart w:id="92" w:name="_Toc3819"/>
      <w:r>
        <w:rPr>
          <w:rFonts w:hint="eastAsia"/>
          <w:color w:val="auto"/>
          <w:highlight w:val="none"/>
        </w:rPr>
        <w:t>主要技术经济指标</w:t>
      </w:r>
      <w:bookmarkEnd w:id="91"/>
      <w:bookmarkEnd w:id="92"/>
    </w:p>
    <w:p w14:paraId="0144628F">
      <w:pPr>
        <w:rPr>
          <w:rFonts w:hint="default" w:eastAsia="宋体"/>
          <w:color w:val="auto"/>
          <w:highlight w:val="none"/>
          <w:lang w:val="en-US" w:eastAsia="zh-CN"/>
        </w:rPr>
      </w:pPr>
      <w:r>
        <w:rPr>
          <w:rFonts w:hint="eastAsia"/>
          <w:color w:val="auto"/>
          <w:highlight w:val="none"/>
          <w:lang w:val="en-US" w:eastAsia="zh-CN"/>
        </w:rPr>
        <w:t>本项目主要技术经济指标见表3.9-1。</w:t>
      </w:r>
    </w:p>
    <w:p w14:paraId="76EE1998">
      <w:pPr>
        <w:pStyle w:val="199"/>
        <w:keepNext w:val="0"/>
        <w:keepLines w:val="0"/>
        <w:pageBreakBefore/>
        <w:widowControl w:val="0"/>
        <w:kinsoku/>
        <w:wordWrap/>
        <w:overflowPunct/>
        <w:topLinePunct w:val="0"/>
        <w:autoSpaceDE/>
        <w:autoSpaceDN/>
        <w:bidi w:val="0"/>
        <w:adjustRightInd/>
        <w:snapToGrid/>
        <w:spacing w:before="120"/>
        <w:textAlignment w:val="auto"/>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 xml:space="preserve">3.9-1 </w:t>
      </w:r>
      <w:r>
        <w:rPr>
          <w:color w:val="auto"/>
          <w:sz w:val="24"/>
          <w:highlight w:val="none"/>
        </w:rPr>
        <w:t xml:space="preserve">  </w:t>
      </w:r>
      <w:r>
        <w:rPr>
          <w:rFonts w:hint="eastAsia"/>
          <w:color w:val="auto"/>
          <w:sz w:val="24"/>
          <w:highlight w:val="none"/>
        </w:rPr>
        <w:t>主要技术经济指标表</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2760"/>
        <w:gridCol w:w="1699"/>
        <w:gridCol w:w="1368"/>
        <w:gridCol w:w="1697"/>
      </w:tblGrid>
      <w:tr w14:paraId="59902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tcBorders>
              <w:tl2br w:val="nil"/>
              <w:tr2bl w:val="nil"/>
            </w:tcBorders>
            <w:noWrap w:val="0"/>
            <w:vAlign w:val="center"/>
          </w:tcPr>
          <w:p w14:paraId="4114D57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序号</w:t>
            </w:r>
          </w:p>
        </w:tc>
        <w:tc>
          <w:tcPr>
            <w:tcW w:w="2762" w:type="dxa"/>
            <w:tcBorders>
              <w:tl2br w:val="nil"/>
              <w:tr2bl w:val="nil"/>
            </w:tcBorders>
            <w:noWrap w:val="0"/>
            <w:vAlign w:val="center"/>
          </w:tcPr>
          <w:p w14:paraId="43FC7FC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项目名称</w:t>
            </w:r>
          </w:p>
        </w:tc>
        <w:tc>
          <w:tcPr>
            <w:tcW w:w="1700" w:type="dxa"/>
            <w:tcBorders>
              <w:tl2br w:val="nil"/>
              <w:tr2bl w:val="nil"/>
            </w:tcBorders>
            <w:noWrap w:val="0"/>
            <w:vAlign w:val="center"/>
          </w:tcPr>
          <w:p w14:paraId="77F5CFD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单位</w:t>
            </w:r>
          </w:p>
        </w:tc>
        <w:tc>
          <w:tcPr>
            <w:tcW w:w="1369" w:type="dxa"/>
            <w:tcBorders>
              <w:tl2br w:val="nil"/>
              <w:tr2bl w:val="nil"/>
            </w:tcBorders>
            <w:noWrap w:val="0"/>
            <w:vAlign w:val="center"/>
          </w:tcPr>
          <w:p w14:paraId="30223BA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数量</w:t>
            </w:r>
          </w:p>
        </w:tc>
        <w:tc>
          <w:tcPr>
            <w:tcW w:w="1698" w:type="dxa"/>
            <w:tcBorders>
              <w:tl2br w:val="nil"/>
              <w:tr2bl w:val="nil"/>
            </w:tcBorders>
            <w:noWrap w:val="0"/>
            <w:vAlign w:val="center"/>
          </w:tcPr>
          <w:p w14:paraId="2962261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备注</w:t>
            </w:r>
          </w:p>
        </w:tc>
      </w:tr>
      <w:tr w14:paraId="18EF8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5"/>
            <w:tcBorders>
              <w:tl2br w:val="nil"/>
              <w:tr2bl w:val="nil"/>
            </w:tcBorders>
            <w:noWrap w:val="0"/>
            <w:vAlign w:val="center"/>
          </w:tcPr>
          <w:p w14:paraId="2D2004F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一、选矿</w:t>
            </w:r>
          </w:p>
        </w:tc>
      </w:tr>
      <w:tr w14:paraId="502F4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tcBorders>
              <w:tl2br w:val="nil"/>
              <w:tr2bl w:val="nil"/>
            </w:tcBorders>
            <w:noWrap w:val="0"/>
            <w:vAlign w:val="center"/>
          </w:tcPr>
          <w:p w14:paraId="59F5FEB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1</w:t>
            </w:r>
          </w:p>
        </w:tc>
        <w:tc>
          <w:tcPr>
            <w:tcW w:w="2762" w:type="dxa"/>
            <w:tcBorders>
              <w:tl2br w:val="nil"/>
              <w:tr2bl w:val="nil"/>
            </w:tcBorders>
            <w:noWrap w:val="0"/>
            <w:vAlign w:val="center"/>
          </w:tcPr>
          <w:p w14:paraId="4B75CF1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破碎设计流程</w:t>
            </w:r>
          </w:p>
        </w:tc>
        <w:tc>
          <w:tcPr>
            <w:tcW w:w="4767" w:type="dxa"/>
            <w:gridSpan w:val="3"/>
            <w:tcBorders>
              <w:tl2br w:val="nil"/>
              <w:tr2bl w:val="nil"/>
            </w:tcBorders>
            <w:noWrap w:val="0"/>
            <w:vAlign w:val="center"/>
          </w:tcPr>
          <w:p w14:paraId="6E4023A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两段破碎</w:t>
            </w:r>
          </w:p>
        </w:tc>
      </w:tr>
      <w:tr w14:paraId="3FEC1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tcBorders>
              <w:tl2br w:val="nil"/>
              <w:tr2bl w:val="nil"/>
            </w:tcBorders>
            <w:noWrap w:val="0"/>
            <w:vAlign w:val="center"/>
          </w:tcPr>
          <w:p w14:paraId="6E2228F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2</w:t>
            </w:r>
          </w:p>
        </w:tc>
        <w:tc>
          <w:tcPr>
            <w:tcW w:w="2762" w:type="dxa"/>
            <w:tcBorders>
              <w:tl2br w:val="nil"/>
              <w:tr2bl w:val="nil"/>
            </w:tcBorders>
            <w:noWrap w:val="0"/>
            <w:vAlign w:val="center"/>
          </w:tcPr>
          <w:p w14:paraId="169A1AD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磨选设计流程</w:t>
            </w:r>
          </w:p>
        </w:tc>
        <w:tc>
          <w:tcPr>
            <w:tcW w:w="4767" w:type="dxa"/>
            <w:gridSpan w:val="3"/>
            <w:tcBorders>
              <w:tl2br w:val="nil"/>
              <w:tr2bl w:val="nil"/>
            </w:tcBorders>
            <w:noWrap w:val="0"/>
            <w:vAlign w:val="center"/>
          </w:tcPr>
          <w:p w14:paraId="03AC395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rPr>
              <w:t>一粗</w:t>
            </w:r>
            <w:r>
              <w:rPr>
                <w:rFonts w:hint="eastAsia"/>
                <w:b w:val="0"/>
                <w:color w:val="auto"/>
                <w:kern w:val="0"/>
                <w:highlight w:val="none"/>
                <w:lang w:eastAsia="zh-CN"/>
              </w:rPr>
              <w:t>、</w:t>
            </w:r>
            <w:r>
              <w:rPr>
                <w:rFonts w:hint="eastAsia"/>
                <w:b w:val="0"/>
                <w:color w:val="auto"/>
                <w:kern w:val="0"/>
                <w:highlight w:val="none"/>
                <w:lang w:val="en-US" w:eastAsia="zh-CN"/>
              </w:rPr>
              <w:t>三</w:t>
            </w:r>
            <w:r>
              <w:rPr>
                <w:rFonts w:hint="eastAsia"/>
                <w:b w:val="0"/>
                <w:color w:val="auto"/>
                <w:kern w:val="0"/>
                <w:highlight w:val="none"/>
              </w:rPr>
              <w:t>扫</w:t>
            </w:r>
            <w:r>
              <w:rPr>
                <w:rFonts w:hint="eastAsia"/>
                <w:b w:val="0"/>
                <w:color w:val="auto"/>
                <w:kern w:val="0"/>
                <w:highlight w:val="none"/>
                <w:lang w:eastAsia="zh-CN"/>
              </w:rPr>
              <w:t>、</w:t>
            </w:r>
            <w:r>
              <w:rPr>
                <w:rFonts w:hint="eastAsia"/>
                <w:b w:val="0"/>
                <w:color w:val="auto"/>
                <w:kern w:val="0"/>
                <w:highlight w:val="none"/>
                <w:lang w:val="en-US" w:eastAsia="zh-CN"/>
              </w:rPr>
              <w:t>八</w:t>
            </w:r>
            <w:r>
              <w:rPr>
                <w:rFonts w:hint="eastAsia"/>
                <w:b w:val="0"/>
                <w:color w:val="auto"/>
                <w:kern w:val="0"/>
                <w:highlight w:val="none"/>
              </w:rPr>
              <w:t>精</w:t>
            </w:r>
          </w:p>
        </w:tc>
      </w:tr>
      <w:tr w14:paraId="5C80B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restart"/>
            <w:tcBorders>
              <w:tl2br w:val="nil"/>
              <w:tr2bl w:val="nil"/>
            </w:tcBorders>
            <w:noWrap w:val="0"/>
            <w:vAlign w:val="center"/>
          </w:tcPr>
          <w:p w14:paraId="5EE327B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3</w:t>
            </w:r>
          </w:p>
        </w:tc>
        <w:tc>
          <w:tcPr>
            <w:tcW w:w="2762" w:type="dxa"/>
            <w:tcBorders>
              <w:tl2br w:val="nil"/>
              <w:tr2bl w:val="nil"/>
            </w:tcBorders>
            <w:noWrap w:val="0"/>
            <w:vAlign w:val="center"/>
          </w:tcPr>
          <w:p w14:paraId="6A58CAC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主要选矿技术指标</w:t>
            </w:r>
          </w:p>
        </w:tc>
        <w:tc>
          <w:tcPr>
            <w:tcW w:w="1700" w:type="dxa"/>
            <w:tcBorders>
              <w:tl2br w:val="nil"/>
              <w:tr2bl w:val="nil"/>
            </w:tcBorders>
            <w:noWrap w:val="0"/>
            <w:vAlign w:val="center"/>
          </w:tcPr>
          <w:p w14:paraId="1A614EF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369" w:type="dxa"/>
            <w:tcBorders>
              <w:tl2br w:val="nil"/>
              <w:tr2bl w:val="nil"/>
            </w:tcBorders>
            <w:noWrap w:val="0"/>
            <w:vAlign w:val="center"/>
          </w:tcPr>
          <w:p w14:paraId="1818A91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698" w:type="dxa"/>
            <w:tcBorders>
              <w:tl2br w:val="nil"/>
              <w:tr2bl w:val="nil"/>
            </w:tcBorders>
            <w:noWrap w:val="0"/>
            <w:vAlign w:val="center"/>
          </w:tcPr>
          <w:p w14:paraId="7185EED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5E30B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5488CEC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7AE9DE4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原矿量</w:t>
            </w:r>
          </w:p>
        </w:tc>
        <w:tc>
          <w:tcPr>
            <w:tcW w:w="1700" w:type="dxa"/>
            <w:tcBorders>
              <w:tl2br w:val="nil"/>
              <w:tr2bl w:val="nil"/>
            </w:tcBorders>
            <w:noWrap w:val="0"/>
            <w:vAlign w:val="center"/>
          </w:tcPr>
          <w:p w14:paraId="376ACB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万t/a</w:t>
            </w:r>
          </w:p>
        </w:tc>
        <w:tc>
          <w:tcPr>
            <w:tcW w:w="1369" w:type="dxa"/>
            <w:tcBorders>
              <w:tl2br w:val="nil"/>
              <w:tr2bl w:val="nil"/>
            </w:tcBorders>
            <w:noWrap w:val="0"/>
            <w:vAlign w:val="center"/>
          </w:tcPr>
          <w:p w14:paraId="000527C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30</w:t>
            </w:r>
          </w:p>
        </w:tc>
        <w:tc>
          <w:tcPr>
            <w:tcW w:w="1698" w:type="dxa"/>
            <w:tcBorders>
              <w:tl2br w:val="nil"/>
              <w:tr2bl w:val="nil"/>
            </w:tcBorders>
            <w:noWrap w:val="0"/>
            <w:vAlign w:val="center"/>
          </w:tcPr>
          <w:p w14:paraId="12C8A8C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63CEB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48ACFF7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4563426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精矿（萤石粉）</w:t>
            </w:r>
          </w:p>
        </w:tc>
        <w:tc>
          <w:tcPr>
            <w:tcW w:w="1700" w:type="dxa"/>
            <w:tcBorders>
              <w:tl2br w:val="nil"/>
              <w:tr2bl w:val="nil"/>
            </w:tcBorders>
            <w:noWrap w:val="0"/>
            <w:vAlign w:val="center"/>
          </w:tcPr>
          <w:p w14:paraId="231F5AD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万t/a</w:t>
            </w:r>
          </w:p>
        </w:tc>
        <w:tc>
          <w:tcPr>
            <w:tcW w:w="1369" w:type="dxa"/>
            <w:tcBorders>
              <w:tl2br w:val="nil"/>
              <w:tr2bl w:val="nil"/>
            </w:tcBorders>
            <w:noWrap w:val="0"/>
            <w:vAlign w:val="center"/>
          </w:tcPr>
          <w:p w14:paraId="6A0B163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12.5</w:t>
            </w:r>
          </w:p>
        </w:tc>
        <w:tc>
          <w:tcPr>
            <w:tcW w:w="1698" w:type="dxa"/>
            <w:tcBorders>
              <w:tl2br w:val="nil"/>
              <w:tr2bl w:val="nil"/>
            </w:tcBorders>
            <w:noWrap w:val="0"/>
            <w:vAlign w:val="center"/>
          </w:tcPr>
          <w:p w14:paraId="72BD438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品位97.66%</w:t>
            </w:r>
          </w:p>
        </w:tc>
      </w:tr>
      <w:tr w14:paraId="1E694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1D4E423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5C3FAC7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选矿比</w:t>
            </w:r>
          </w:p>
        </w:tc>
        <w:tc>
          <w:tcPr>
            <w:tcW w:w="1700" w:type="dxa"/>
            <w:tcBorders>
              <w:tl2br w:val="nil"/>
              <w:tr2bl w:val="nil"/>
            </w:tcBorders>
            <w:noWrap w:val="0"/>
            <w:vAlign w:val="center"/>
          </w:tcPr>
          <w:p w14:paraId="3919633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369" w:type="dxa"/>
            <w:tcBorders>
              <w:tl2br w:val="nil"/>
              <w:tr2bl w:val="nil"/>
            </w:tcBorders>
            <w:noWrap w:val="0"/>
            <w:vAlign w:val="center"/>
          </w:tcPr>
          <w:p w14:paraId="4D8C234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2.4</w:t>
            </w:r>
          </w:p>
        </w:tc>
        <w:tc>
          <w:tcPr>
            <w:tcW w:w="1698" w:type="dxa"/>
            <w:tcBorders>
              <w:tl2br w:val="nil"/>
              <w:tr2bl w:val="nil"/>
            </w:tcBorders>
            <w:noWrap w:val="0"/>
            <w:vAlign w:val="center"/>
          </w:tcPr>
          <w:p w14:paraId="2218925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01B06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08FB454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6F9BA76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回收率</w:t>
            </w:r>
          </w:p>
        </w:tc>
        <w:tc>
          <w:tcPr>
            <w:tcW w:w="1700" w:type="dxa"/>
            <w:tcBorders>
              <w:tl2br w:val="nil"/>
              <w:tr2bl w:val="nil"/>
            </w:tcBorders>
            <w:noWrap w:val="0"/>
            <w:vAlign w:val="center"/>
          </w:tcPr>
          <w:p w14:paraId="5936895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w:t>
            </w:r>
          </w:p>
        </w:tc>
        <w:tc>
          <w:tcPr>
            <w:tcW w:w="1369" w:type="dxa"/>
            <w:tcBorders>
              <w:tl2br w:val="nil"/>
              <w:tr2bl w:val="nil"/>
            </w:tcBorders>
            <w:noWrap w:val="0"/>
            <w:vAlign w:val="center"/>
          </w:tcPr>
          <w:p w14:paraId="7C0C3AC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90.4</w:t>
            </w:r>
          </w:p>
        </w:tc>
        <w:tc>
          <w:tcPr>
            <w:tcW w:w="1698" w:type="dxa"/>
            <w:tcBorders>
              <w:tl2br w:val="nil"/>
              <w:tr2bl w:val="nil"/>
            </w:tcBorders>
            <w:noWrap w:val="0"/>
            <w:vAlign w:val="center"/>
          </w:tcPr>
          <w:p w14:paraId="63DE942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06E97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2A2B076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69301B8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尾矿</w:t>
            </w:r>
          </w:p>
        </w:tc>
        <w:tc>
          <w:tcPr>
            <w:tcW w:w="1700" w:type="dxa"/>
            <w:tcBorders>
              <w:tl2br w:val="nil"/>
              <w:tr2bl w:val="nil"/>
            </w:tcBorders>
            <w:noWrap w:val="0"/>
            <w:vAlign w:val="center"/>
          </w:tcPr>
          <w:p w14:paraId="0DDEE0C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万t/a</w:t>
            </w:r>
          </w:p>
        </w:tc>
        <w:tc>
          <w:tcPr>
            <w:tcW w:w="1369" w:type="dxa"/>
            <w:tcBorders>
              <w:tl2br w:val="nil"/>
              <w:tr2bl w:val="nil"/>
            </w:tcBorders>
            <w:noWrap w:val="0"/>
            <w:vAlign w:val="center"/>
          </w:tcPr>
          <w:p w14:paraId="149B14D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17.5</w:t>
            </w:r>
          </w:p>
        </w:tc>
        <w:tc>
          <w:tcPr>
            <w:tcW w:w="1698" w:type="dxa"/>
            <w:tcBorders>
              <w:tl2br w:val="nil"/>
              <w:tr2bl w:val="nil"/>
            </w:tcBorders>
            <w:noWrap w:val="0"/>
            <w:vAlign w:val="center"/>
          </w:tcPr>
          <w:p w14:paraId="3E71B80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7B185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5"/>
            <w:tcBorders>
              <w:tl2br w:val="nil"/>
              <w:tr2bl w:val="nil"/>
            </w:tcBorders>
            <w:noWrap w:val="0"/>
            <w:vAlign w:val="center"/>
          </w:tcPr>
          <w:p w14:paraId="2958879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二、公辅设施</w:t>
            </w:r>
          </w:p>
        </w:tc>
      </w:tr>
      <w:tr w14:paraId="797DA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restart"/>
            <w:tcBorders>
              <w:tl2br w:val="nil"/>
              <w:tr2bl w:val="nil"/>
            </w:tcBorders>
            <w:noWrap w:val="0"/>
            <w:vAlign w:val="center"/>
          </w:tcPr>
          <w:p w14:paraId="7ED2936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1</w:t>
            </w:r>
          </w:p>
        </w:tc>
        <w:tc>
          <w:tcPr>
            <w:tcW w:w="2762" w:type="dxa"/>
            <w:tcBorders>
              <w:tl2br w:val="nil"/>
              <w:tr2bl w:val="nil"/>
            </w:tcBorders>
            <w:noWrap w:val="0"/>
            <w:vAlign w:val="center"/>
          </w:tcPr>
          <w:p w14:paraId="0C747BE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供电</w:t>
            </w:r>
          </w:p>
        </w:tc>
        <w:tc>
          <w:tcPr>
            <w:tcW w:w="4767" w:type="dxa"/>
            <w:gridSpan w:val="3"/>
            <w:tcBorders>
              <w:tl2br w:val="nil"/>
              <w:tr2bl w:val="nil"/>
            </w:tcBorders>
            <w:noWrap w:val="0"/>
            <w:vAlign w:val="center"/>
          </w:tcPr>
          <w:p w14:paraId="7A501D2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3B218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4A5A1AC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67E6337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选矿厂总安装容量</w:t>
            </w:r>
          </w:p>
        </w:tc>
        <w:tc>
          <w:tcPr>
            <w:tcW w:w="1700" w:type="dxa"/>
            <w:tcBorders>
              <w:tl2br w:val="nil"/>
              <w:tr2bl w:val="nil"/>
            </w:tcBorders>
            <w:noWrap w:val="0"/>
            <w:vAlign w:val="center"/>
          </w:tcPr>
          <w:p w14:paraId="28FEC64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KW</w:t>
            </w:r>
          </w:p>
        </w:tc>
        <w:tc>
          <w:tcPr>
            <w:tcW w:w="1369" w:type="dxa"/>
            <w:tcBorders>
              <w:tl2br w:val="nil"/>
              <w:tr2bl w:val="nil"/>
            </w:tcBorders>
            <w:noWrap w:val="0"/>
            <w:vAlign w:val="center"/>
          </w:tcPr>
          <w:p w14:paraId="42404D4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3200</w:t>
            </w:r>
          </w:p>
        </w:tc>
        <w:tc>
          <w:tcPr>
            <w:tcW w:w="1698" w:type="dxa"/>
            <w:tcBorders>
              <w:tl2br w:val="nil"/>
              <w:tr2bl w:val="nil"/>
            </w:tcBorders>
            <w:noWrap w:val="0"/>
            <w:vAlign w:val="center"/>
          </w:tcPr>
          <w:p w14:paraId="4A8E2D1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45840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36C63FA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22D6336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选矿厂年总耗电量</w:t>
            </w:r>
          </w:p>
        </w:tc>
        <w:tc>
          <w:tcPr>
            <w:tcW w:w="1700" w:type="dxa"/>
            <w:tcBorders>
              <w:tl2br w:val="nil"/>
              <w:tr2bl w:val="nil"/>
            </w:tcBorders>
            <w:noWrap w:val="0"/>
            <w:vAlign w:val="center"/>
          </w:tcPr>
          <w:p w14:paraId="5E8BF56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万KW.h</w:t>
            </w:r>
          </w:p>
        </w:tc>
        <w:tc>
          <w:tcPr>
            <w:tcW w:w="1369" w:type="dxa"/>
            <w:tcBorders>
              <w:tl2br w:val="nil"/>
              <w:tr2bl w:val="nil"/>
            </w:tcBorders>
            <w:noWrap w:val="0"/>
            <w:vAlign w:val="center"/>
          </w:tcPr>
          <w:p w14:paraId="1EF468D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769</w:t>
            </w:r>
          </w:p>
        </w:tc>
        <w:tc>
          <w:tcPr>
            <w:tcW w:w="1698" w:type="dxa"/>
            <w:tcBorders>
              <w:tl2br w:val="nil"/>
              <w:tr2bl w:val="nil"/>
            </w:tcBorders>
            <w:noWrap w:val="0"/>
            <w:vAlign w:val="center"/>
          </w:tcPr>
          <w:p w14:paraId="67F3000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3037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restart"/>
            <w:tcBorders>
              <w:tl2br w:val="nil"/>
              <w:tr2bl w:val="nil"/>
            </w:tcBorders>
            <w:noWrap w:val="0"/>
            <w:vAlign w:val="center"/>
          </w:tcPr>
          <w:p w14:paraId="7AF481A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2</w:t>
            </w:r>
          </w:p>
        </w:tc>
        <w:tc>
          <w:tcPr>
            <w:tcW w:w="2762" w:type="dxa"/>
            <w:tcBorders>
              <w:tl2br w:val="nil"/>
              <w:tr2bl w:val="nil"/>
            </w:tcBorders>
            <w:noWrap w:val="0"/>
            <w:vAlign w:val="center"/>
          </w:tcPr>
          <w:p w14:paraId="5FEC60E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给排水</w:t>
            </w:r>
          </w:p>
        </w:tc>
        <w:tc>
          <w:tcPr>
            <w:tcW w:w="4767" w:type="dxa"/>
            <w:gridSpan w:val="3"/>
            <w:tcBorders>
              <w:tl2br w:val="nil"/>
              <w:tr2bl w:val="nil"/>
            </w:tcBorders>
            <w:noWrap w:val="0"/>
            <w:vAlign w:val="center"/>
          </w:tcPr>
          <w:p w14:paraId="45CB2DB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7AF43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053F504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1D014B7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生产新水用水量</w:t>
            </w:r>
          </w:p>
        </w:tc>
        <w:tc>
          <w:tcPr>
            <w:tcW w:w="1700" w:type="dxa"/>
            <w:tcBorders>
              <w:tl2br w:val="nil"/>
              <w:tr2bl w:val="nil"/>
            </w:tcBorders>
            <w:noWrap w:val="0"/>
            <w:vAlign w:val="center"/>
          </w:tcPr>
          <w:p w14:paraId="33C102C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m</w:t>
            </w:r>
            <w:r>
              <w:rPr>
                <w:rFonts w:hint="eastAsia"/>
                <w:b w:val="0"/>
                <w:color w:val="auto"/>
                <w:kern w:val="0"/>
                <w:highlight w:val="none"/>
                <w:vertAlign w:val="superscript"/>
                <w:lang w:val="en-US" w:eastAsia="zh-CN"/>
              </w:rPr>
              <w:t>3</w:t>
            </w:r>
            <w:r>
              <w:rPr>
                <w:rFonts w:hint="eastAsia"/>
                <w:b w:val="0"/>
                <w:color w:val="auto"/>
                <w:kern w:val="0"/>
                <w:highlight w:val="none"/>
                <w:lang w:val="en-US" w:eastAsia="zh-CN"/>
              </w:rPr>
              <w:t>/a</w:t>
            </w:r>
          </w:p>
        </w:tc>
        <w:tc>
          <w:tcPr>
            <w:tcW w:w="1369" w:type="dxa"/>
            <w:tcBorders>
              <w:tl2br w:val="nil"/>
              <w:tr2bl w:val="nil"/>
            </w:tcBorders>
            <w:noWrap w:val="0"/>
            <w:vAlign w:val="center"/>
          </w:tcPr>
          <w:p w14:paraId="3773E3D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540</w:t>
            </w:r>
          </w:p>
        </w:tc>
        <w:tc>
          <w:tcPr>
            <w:tcW w:w="1698" w:type="dxa"/>
            <w:tcBorders>
              <w:tl2br w:val="nil"/>
              <w:tr2bl w:val="nil"/>
            </w:tcBorders>
            <w:noWrap w:val="0"/>
            <w:vAlign w:val="center"/>
          </w:tcPr>
          <w:p w14:paraId="762CDFD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4A2CC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78C06DF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14F10BB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中水用水指标</w:t>
            </w:r>
          </w:p>
        </w:tc>
        <w:tc>
          <w:tcPr>
            <w:tcW w:w="1700" w:type="dxa"/>
            <w:tcBorders>
              <w:tl2br w:val="nil"/>
              <w:tr2bl w:val="nil"/>
            </w:tcBorders>
            <w:noWrap w:val="0"/>
            <w:vAlign w:val="center"/>
          </w:tcPr>
          <w:p w14:paraId="56F6235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m</w:t>
            </w:r>
            <w:r>
              <w:rPr>
                <w:rFonts w:hint="eastAsia"/>
                <w:b w:val="0"/>
                <w:color w:val="auto"/>
                <w:kern w:val="0"/>
                <w:highlight w:val="none"/>
                <w:vertAlign w:val="superscript"/>
                <w:lang w:val="en-US" w:eastAsia="zh-CN"/>
              </w:rPr>
              <w:t>3</w:t>
            </w:r>
            <w:r>
              <w:rPr>
                <w:rFonts w:hint="eastAsia"/>
                <w:b w:val="0"/>
                <w:color w:val="auto"/>
                <w:kern w:val="0"/>
                <w:highlight w:val="none"/>
                <w:lang w:val="en-US" w:eastAsia="zh-CN"/>
              </w:rPr>
              <w:t>/a</w:t>
            </w:r>
          </w:p>
        </w:tc>
        <w:tc>
          <w:tcPr>
            <w:tcW w:w="1369" w:type="dxa"/>
            <w:tcBorders>
              <w:tl2br w:val="nil"/>
              <w:tr2bl w:val="nil"/>
            </w:tcBorders>
            <w:noWrap w:val="0"/>
            <w:vAlign w:val="center"/>
          </w:tcPr>
          <w:p w14:paraId="689C7E3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37800</w:t>
            </w:r>
          </w:p>
        </w:tc>
        <w:tc>
          <w:tcPr>
            <w:tcW w:w="1698" w:type="dxa"/>
            <w:tcBorders>
              <w:tl2br w:val="nil"/>
              <w:tr2bl w:val="nil"/>
            </w:tcBorders>
            <w:noWrap w:val="0"/>
            <w:vAlign w:val="center"/>
          </w:tcPr>
          <w:p w14:paraId="0AF5E0B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18EC2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131060C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0554CB8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水循环利用率</w:t>
            </w:r>
          </w:p>
        </w:tc>
        <w:tc>
          <w:tcPr>
            <w:tcW w:w="1700" w:type="dxa"/>
            <w:tcBorders>
              <w:tl2br w:val="nil"/>
              <w:tr2bl w:val="nil"/>
            </w:tcBorders>
            <w:noWrap w:val="0"/>
            <w:vAlign w:val="center"/>
          </w:tcPr>
          <w:p w14:paraId="2F2FDEB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w:t>
            </w:r>
          </w:p>
        </w:tc>
        <w:tc>
          <w:tcPr>
            <w:tcW w:w="1369" w:type="dxa"/>
            <w:tcBorders>
              <w:tl2br w:val="nil"/>
              <w:tr2bl w:val="nil"/>
            </w:tcBorders>
            <w:noWrap w:val="0"/>
            <w:vAlign w:val="center"/>
          </w:tcPr>
          <w:p w14:paraId="53E3A48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89.9</w:t>
            </w:r>
          </w:p>
        </w:tc>
        <w:tc>
          <w:tcPr>
            <w:tcW w:w="1698" w:type="dxa"/>
            <w:tcBorders>
              <w:tl2br w:val="nil"/>
              <w:tr2bl w:val="nil"/>
            </w:tcBorders>
            <w:noWrap w:val="0"/>
            <w:vAlign w:val="center"/>
          </w:tcPr>
          <w:p w14:paraId="03773FF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15589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5"/>
            <w:tcBorders>
              <w:tl2br w:val="nil"/>
              <w:tr2bl w:val="nil"/>
            </w:tcBorders>
            <w:noWrap w:val="0"/>
            <w:vAlign w:val="center"/>
          </w:tcPr>
          <w:p w14:paraId="6F35626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三、技经、概算</w:t>
            </w:r>
          </w:p>
        </w:tc>
      </w:tr>
      <w:tr w14:paraId="6FFBA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restart"/>
            <w:tcBorders>
              <w:tl2br w:val="nil"/>
              <w:tr2bl w:val="nil"/>
            </w:tcBorders>
            <w:noWrap w:val="0"/>
            <w:vAlign w:val="center"/>
          </w:tcPr>
          <w:p w14:paraId="69AE710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1</w:t>
            </w:r>
          </w:p>
        </w:tc>
        <w:tc>
          <w:tcPr>
            <w:tcW w:w="2762" w:type="dxa"/>
            <w:tcBorders>
              <w:tl2br w:val="nil"/>
              <w:tr2bl w:val="nil"/>
            </w:tcBorders>
            <w:noWrap w:val="0"/>
            <w:vAlign w:val="center"/>
          </w:tcPr>
          <w:p w14:paraId="76B17D2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职工定员</w:t>
            </w:r>
          </w:p>
        </w:tc>
        <w:tc>
          <w:tcPr>
            <w:tcW w:w="1700" w:type="dxa"/>
            <w:tcBorders>
              <w:tl2br w:val="nil"/>
              <w:tr2bl w:val="nil"/>
            </w:tcBorders>
            <w:noWrap w:val="0"/>
            <w:vAlign w:val="center"/>
          </w:tcPr>
          <w:p w14:paraId="445BA2D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人</w:t>
            </w:r>
          </w:p>
        </w:tc>
        <w:tc>
          <w:tcPr>
            <w:tcW w:w="1369" w:type="dxa"/>
            <w:tcBorders>
              <w:tl2br w:val="nil"/>
              <w:tr2bl w:val="nil"/>
            </w:tcBorders>
            <w:noWrap w:val="0"/>
            <w:vAlign w:val="center"/>
          </w:tcPr>
          <w:p w14:paraId="37E8B6E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60</w:t>
            </w:r>
          </w:p>
        </w:tc>
        <w:tc>
          <w:tcPr>
            <w:tcW w:w="1698" w:type="dxa"/>
            <w:tcBorders>
              <w:tl2br w:val="nil"/>
              <w:tr2bl w:val="nil"/>
            </w:tcBorders>
            <w:noWrap w:val="0"/>
            <w:vAlign w:val="center"/>
          </w:tcPr>
          <w:p w14:paraId="703ABB0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1EE68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63F3762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08E0573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选矿生产工人</w:t>
            </w:r>
          </w:p>
        </w:tc>
        <w:tc>
          <w:tcPr>
            <w:tcW w:w="1700" w:type="dxa"/>
            <w:tcBorders>
              <w:tl2br w:val="nil"/>
              <w:tr2bl w:val="nil"/>
            </w:tcBorders>
            <w:noWrap w:val="0"/>
            <w:vAlign w:val="center"/>
          </w:tcPr>
          <w:p w14:paraId="5D2BD40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人</w:t>
            </w:r>
          </w:p>
        </w:tc>
        <w:tc>
          <w:tcPr>
            <w:tcW w:w="1369" w:type="dxa"/>
            <w:tcBorders>
              <w:tl2br w:val="nil"/>
              <w:tr2bl w:val="nil"/>
            </w:tcBorders>
            <w:noWrap w:val="0"/>
            <w:vAlign w:val="center"/>
          </w:tcPr>
          <w:p w14:paraId="230A212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45</w:t>
            </w:r>
          </w:p>
        </w:tc>
        <w:tc>
          <w:tcPr>
            <w:tcW w:w="1698" w:type="dxa"/>
            <w:tcBorders>
              <w:tl2br w:val="nil"/>
              <w:tr2bl w:val="nil"/>
            </w:tcBorders>
            <w:noWrap w:val="0"/>
            <w:vAlign w:val="center"/>
          </w:tcPr>
          <w:p w14:paraId="050036A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193E2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422C97E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289B41A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管理及服务人员</w:t>
            </w:r>
          </w:p>
        </w:tc>
        <w:tc>
          <w:tcPr>
            <w:tcW w:w="1700" w:type="dxa"/>
            <w:tcBorders>
              <w:tl2br w:val="nil"/>
              <w:tr2bl w:val="nil"/>
            </w:tcBorders>
            <w:noWrap w:val="0"/>
            <w:vAlign w:val="center"/>
          </w:tcPr>
          <w:p w14:paraId="14C8709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人</w:t>
            </w:r>
          </w:p>
        </w:tc>
        <w:tc>
          <w:tcPr>
            <w:tcW w:w="1369" w:type="dxa"/>
            <w:tcBorders>
              <w:tl2br w:val="nil"/>
              <w:tr2bl w:val="nil"/>
            </w:tcBorders>
            <w:noWrap w:val="0"/>
            <w:vAlign w:val="center"/>
          </w:tcPr>
          <w:p w14:paraId="281E260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15</w:t>
            </w:r>
          </w:p>
        </w:tc>
        <w:tc>
          <w:tcPr>
            <w:tcW w:w="1698" w:type="dxa"/>
            <w:tcBorders>
              <w:tl2br w:val="nil"/>
              <w:tr2bl w:val="nil"/>
            </w:tcBorders>
            <w:noWrap w:val="0"/>
            <w:vAlign w:val="center"/>
          </w:tcPr>
          <w:p w14:paraId="22E7209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7EA38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restart"/>
            <w:tcBorders>
              <w:tl2br w:val="nil"/>
              <w:tr2bl w:val="nil"/>
            </w:tcBorders>
            <w:noWrap w:val="0"/>
            <w:vAlign w:val="center"/>
          </w:tcPr>
          <w:p w14:paraId="1393424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2</w:t>
            </w:r>
          </w:p>
        </w:tc>
        <w:tc>
          <w:tcPr>
            <w:tcW w:w="2762" w:type="dxa"/>
            <w:tcBorders>
              <w:tl2br w:val="nil"/>
              <w:tr2bl w:val="nil"/>
            </w:tcBorders>
            <w:noWrap w:val="0"/>
            <w:vAlign w:val="center"/>
          </w:tcPr>
          <w:p w14:paraId="41BF357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全员劳动生产率</w:t>
            </w:r>
          </w:p>
        </w:tc>
        <w:tc>
          <w:tcPr>
            <w:tcW w:w="1700" w:type="dxa"/>
            <w:tcBorders>
              <w:tl2br w:val="nil"/>
              <w:tr2bl w:val="nil"/>
            </w:tcBorders>
            <w:noWrap w:val="0"/>
            <w:vAlign w:val="center"/>
          </w:tcPr>
          <w:p w14:paraId="17F1979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369" w:type="dxa"/>
            <w:tcBorders>
              <w:tl2br w:val="nil"/>
              <w:tr2bl w:val="nil"/>
            </w:tcBorders>
            <w:noWrap w:val="0"/>
            <w:vAlign w:val="center"/>
          </w:tcPr>
          <w:p w14:paraId="2CFC216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698" w:type="dxa"/>
            <w:tcBorders>
              <w:tl2br w:val="nil"/>
              <w:tr2bl w:val="nil"/>
            </w:tcBorders>
            <w:noWrap w:val="0"/>
            <w:vAlign w:val="center"/>
          </w:tcPr>
          <w:p w14:paraId="305AD7D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1890B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2DC5ACD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7877445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选矿全员劳动生产率</w:t>
            </w:r>
          </w:p>
        </w:tc>
        <w:tc>
          <w:tcPr>
            <w:tcW w:w="1700" w:type="dxa"/>
            <w:tcBorders>
              <w:tl2br w:val="nil"/>
              <w:tr2bl w:val="nil"/>
            </w:tcBorders>
            <w:noWrap w:val="0"/>
            <w:vAlign w:val="center"/>
          </w:tcPr>
          <w:p w14:paraId="358D596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t矿</w:t>
            </w:r>
            <w:r>
              <w:rPr>
                <w:rFonts w:hint="default"/>
                <w:b w:val="0"/>
                <w:color w:val="auto"/>
                <w:kern w:val="0"/>
                <w:highlight w:val="none"/>
                <w:lang w:val="en-US" w:eastAsia="zh-CN"/>
              </w:rPr>
              <w:t>/</w:t>
            </w:r>
            <w:r>
              <w:rPr>
                <w:rFonts w:hint="eastAsia"/>
                <w:b w:val="0"/>
                <w:color w:val="auto"/>
                <w:kern w:val="0"/>
                <w:highlight w:val="none"/>
                <w:lang w:val="en-US" w:eastAsia="zh-CN"/>
              </w:rPr>
              <w:t>人</w:t>
            </w:r>
            <w:r>
              <w:rPr>
                <w:rFonts w:hint="default"/>
                <w:b w:val="0"/>
                <w:color w:val="auto"/>
                <w:kern w:val="0"/>
                <w:highlight w:val="none"/>
                <w:lang w:val="en-US" w:eastAsia="zh-CN"/>
              </w:rPr>
              <w:t>a</w:t>
            </w:r>
          </w:p>
        </w:tc>
        <w:tc>
          <w:tcPr>
            <w:tcW w:w="1369" w:type="dxa"/>
            <w:tcBorders>
              <w:tl2br w:val="nil"/>
              <w:tr2bl w:val="nil"/>
            </w:tcBorders>
            <w:noWrap w:val="0"/>
            <w:vAlign w:val="center"/>
          </w:tcPr>
          <w:p w14:paraId="38CFE1C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5000</w:t>
            </w:r>
          </w:p>
        </w:tc>
        <w:tc>
          <w:tcPr>
            <w:tcW w:w="1698" w:type="dxa"/>
            <w:tcBorders>
              <w:tl2br w:val="nil"/>
              <w:tr2bl w:val="nil"/>
            </w:tcBorders>
            <w:noWrap w:val="0"/>
            <w:vAlign w:val="center"/>
          </w:tcPr>
          <w:p w14:paraId="7DB9758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2F5D2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restart"/>
            <w:tcBorders>
              <w:tl2br w:val="nil"/>
              <w:tr2bl w:val="nil"/>
            </w:tcBorders>
            <w:noWrap w:val="0"/>
            <w:vAlign w:val="center"/>
          </w:tcPr>
          <w:p w14:paraId="3440486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3</w:t>
            </w:r>
          </w:p>
        </w:tc>
        <w:tc>
          <w:tcPr>
            <w:tcW w:w="2762" w:type="dxa"/>
            <w:tcBorders>
              <w:tl2br w:val="nil"/>
              <w:tr2bl w:val="nil"/>
            </w:tcBorders>
            <w:noWrap w:val="0"/>
            <w:vAlign w:val="center"/>
          </w:tcPr>
          <w:p w14:paraId="450833B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投入总资金</w:t>
            </w:r>
          </w:p>
        </w:tc>
        <w:tc>
          <w:tcPr>
            <w:tcW w:w="1700" w:type="dxa"/>
            <w:tcBorders>
              <w:tl2br w:val="nil"/>
              <w:tr2bl w:val="nil"/>
            </w:tcBorders>
            <w:noWrap w:val="0"/>
            <w:vAlign w:val="center"/>
          </w:tcPr>
          <w:p w14:paraId="3BFAB81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400</w:t>
            </w:r>
          </w:p>
        </w:tc>
        <w:tc>
          <w:tcPr>
            <w:tcW w:w="1369" w:type="dxa"/>
            <w:tcBorders>
              <w:tl2br w:val="nil"/>
              <w:tr2bl w:val="nil"/>
            </w:tcBorders>
            <w:noWrap w:val="0"/>
            <w:vAlign w:val="center"/>
          </w:tcPr>
          <w:p w14:paraId="24BE735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698" w:type="dxa"/>
            <w:tcBorders>
              <w:tl2br w:val="nil"/>
              <w:tr2bl w:val="nil"/>
            </w:tcBorders>
            <w:noWrap w:val="0"/>
            <w:vAlign w:val="center"/>
          </w:tcPr>
          <w:p w14:paraId="0C3C142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757AB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vMerge w:val="continue"/>
            <w:tcBorders>
              <w:tl2br w:val="nil"/>
              <w:tr2bl w:val="nil"/>
            </w:tcBorders>
            <w:noWrap w:val="0"/>
            <w:vAlign w:val="center"/>
          </w:tcPr>
          <w:p w14:paraId="3AE8F71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2762" w:type="dxa"/>
            <w:tcBorders>
              <w:tl2br w:val="nil"/>
              <w:tr2bl w:val="nil"/>
            </w:tcBorders>
            <w:noWrap w:val="0"/>
            <w:vAlign w:val="center"/>
          </w:tcPr>
          <w:p w14:paraId="5376828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其中：建设投资</w:t>
            </w:r>
          </w:p>
        </w:tc>
        <w:tc>
          <w:tcPr>
            <w:tcW w:w="1700" w:type="dxa"/>
            <w:tcBorders>
              <w:tl2br w:val="nil"/>
              <w:tr2bl w:val="nil"/>
            </w:tcBorders>
            <w:noWrap w:val="0"/>
            <w:vAlign w:val="center"/>
          </w:tcPr>
          <w:p w14:paraId="0E1F1DF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400</w:t>
            </w:r>
          </w:p>
        </w:tc>
        <w:tc>
          <w:tcPr>
            <w:tcW w:w="1369" w:type="dxa"/>
            <w:tcBorders>
              <w:tl2br w:val="nil"/>
              <w:tr2bl w:val="nil"/>
            </w:tcBorders>
            <w:noWrap w:val="0"/>
            <w:vAlign w:val="center"/>
          </w:tcPr>
          <w:p w14:paraId="768AB3C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698" w:type="dxa"/>
            <w:tcBorders>
              <w:tl2br w:val="nil"/>
              <w:tr2bl w:val="nil"/>
            </w:tcBorders>
            <w:noWrap w:val="0"/>
            <w:vAlign w:val="center"/>
          </w:tcPr>
          <w:p w14:paraId="713A072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6C817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tcBorders>
              <w:tl2br w:val="nil"/>
              <w:tr2bl w:val="nil"/>
            </w:tcBorders>
            <w:noWrap w:val="0"/>
            <w:vAlign w:val="center"/>
          </w:tcPr>
          <w:p w14:paraId="536C330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4</w:t>
            </w:r>
          </w:p>
        </w:tc>
        <w:tc>
          <w:tcPr>
            <w:tcW w:w="2762" w:type="dxa"/>
            <w:tcBorders>
              <w:tl2br w:val="nil"/>
              <w:tr2bl w:val="nil"/>
            </w:tcBorders>
            <w:noWrap w:val="0"/>
            <w:vAlign w:val="center"/>
          </w:tcPr>
          <w:p w14:paraId="0CE36DD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生产成本</w:t>
            </w:r>
          </w:p>
        </w:tc>
        <w:tc>
          <w:tcPr>
            <w:tcW w:w="1700" w:type="dxa"/>
            <w:tcBorders>
              <w:tl2br w:val="nil"/>
              <w:tr2bl w:val="nil"/>
            </w:tcBorders>
            <w:noWrap w:val="0"/>
            <w:vAlign w:val="center"/>
          </w:tcPr>
          <w:p w14:paraId="471B54C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369" w:type="dxa"/>
            <w:tcBorders>
              <w:tl2br w:val="nil"/>
              <w:tr2bl w:val="nil"/>
            </w:tcBorders>
            <w:noWrap w:val="0"/>
            <w:vAlign w:val="center"/>
          </w:tcPr>
          <w:p w14:paraId="1457834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c>
          <w:tcPr>
            <w:tcW w:w="1698" w:type="dxa"/>
            <w:tcBorders>
              <w:tl2br w:val="nil"/>
              <w:tr2bl w:val="nil"/>
            </w:tcBorders>
            <w:noWrap w:val="0"/>
            <w:vAlign w:val="center"/>
          </w:tcPr>
          <w:p w14:paraId="4072918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614B1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tcBorders>
              <w:tl2br w:val="nil"/>
              <w:tr2bl w:val="nil"/>
            </w:tcBorders>
            <w:noWrap w:val="0"/>
            <w:vAlign w:val="center"/>
          </w:tcPr>
          <w:p w14:paraId="03F2135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5</w:t>
            </w:r>
          </w:p>
        </w:tc>
        <w:tc>
          <w:tcPr>
            <w:tcW w:w="2762" w:type="dxa"/>
            <w:tcBorders>
              <w:tl2br w:val="nil"/>
              <w:tr2bl w:val="nil"/>
            </w:tcBorders>
            <w:noWrap w:val="0"/>
            <w:vAlign w:val="center"/>
          </w:tcPr>
          <w:p w14:paraId="5F235F9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项目投资财务内部收益率</w:t>
            </w:r>
          </w:p>
        </w:tc>
        <w:tc>
          <w:tcPr>
            <w:tcW w:w="1700" w:type="dxa"/>
            <w:tcBorders>
              <w:tl2br w:val="nil"/>
              <w:tr2bl w:val="nil"/>
            </w:tcBorders>
            <w:noWrap w:val="0"/>
            <w:vAlign w:val="center"/>
          </w:tcPr>
          <w:p w14:paraId="5C04FAB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w:t>
            </w:r>
          </w:p>
        </w:tc>
        <w:tc>
          <w:tcPr>
            <w:tcW w:w="1369" w:type="dxa"/>
            <w:tcBorders>
              <w:tl2br w:val="nil"/>
              <w:tr2bl w:val="nil"/>
            </w:tcBorders>
            <w:noWrap w:val="0"/>
            <w:vAlign w:val="center"/>
          </w:tcPr>
          <w:p w14:paraId="542CAFD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142.94%</w:t>
            </w:r>
          </w:p>
        </w:tc>
        <w:tc>
          <w:tcPr>
            <w:tcW w:w="1698" w:type="dxa"/>
            <w:tcBorders>
              <w:tl2br w:val="nil"/>
              <w:tr2bl w:val="nil"/>
            </w:tcBorders>
            <w:noWrap w:val="0"/>
            <w:vAlign w:val="center"/>
          </w:tcPr>
          <w:p w14:paraId="6BF9150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1C7DB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tcBorders>
              <w:tl2br w:val="nil"/>
              <w:tr2bl w:val="nil"/>
            </w:tcBorders>
            <w:noWrap w:val="0"/>
            <w:vAlign w:val="center"/>
          </w:tcPr>
          <w:p w14:paraId="7B998E0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6</w:t>
            </w:r>
          </w:p>
        </w:tc>
        <w:tc>
          <w:tcPr>
            <w:tcW w:w="2762" w:type="dxa"/>
            <w:tcBorders>
              <w:tl2br w:val="nil"/>
              <w:tr2bl w:val="nil"/>
            </w:tcBorders>
            <w:noWrap w:val="0"/>
            <w:vAlign w:val="center"/>
          </w:tcPr>
          <w:p w14:paraId="149B42F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计算达产期年销售总额</w:t>
            </w:r>
          </w:p>
        </w:tc>
        <w:tc>
          <w:tcPr>
            <w:tcW w:w="1700" w:type="dxa"/>
            <w:tcBorders>
              <w:tl2br w:val="nil"/>
              <w:tr2bl w:val="nil"/>
            </w:tcBorders>
            <w:noWrap w:val="0"/>
            <w:vAlign w:val="center"/>
          </w:tcPr>
          <w:p w14:paraId="147D7A8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万元</w:t>
            </w:r>
          </w:p>
        </w:tc>
        <w:tc>
          <w:tcPr>
            <w:tcW w:w="1369" w:type="dxa"/>
            <w:tcBorders>
              <w:tl2br w:val="nil"/>
              <w:tr2bl w:val="nil"/>
            </w:tcBorders>
            <w:noWrap w:val="0"/>
            <w:vAlign w:val="center"/>
          </w:tcPr>
          <w:p w14:paraId="10E4D5A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45000</w:t>
            </w:r>
          </w:p>
        </w:tc>
        <w:tc>
          <w:tcPr>
            <w:tcW w:w="1698" w:type="dxa"/>
            <w:tcBorders>
              <w:tl2br w:val="nil"/>
              <w:tr2bl w:val="nil"/>
            </w:tcBorders>
            <w:noWrap w:val="0"/>
            <w:vAlign w:val="center"/>
          </w:tcPr>
          <w:p w14:paraId="7402340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53243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tcBorders>
              <w:tl2br w:val="nil"/>
              <w:tr2bl w:val="nil"/>
            </w:tcBorders>
            <w:noWrap w:val="0"/>
            <w:vAlign w:val="center"/>
          </w:tcPr>
          <w:p w14:paraId="36D02B3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7</w:t>
            </w:r>
          </w:p>
        </w:tc>
        <w:tc>
          <w:tcPr>
            <w:tcW w:w="2762" w:type="dxa"/>
            <w:tcBorders>
              <w:tl2br w:val="nil"/>
              <w:tr2bl w:val="nil"/>
            </w:tcBorders>
            <w:noWrap w:val="0"/>
            <w:vAlign w:val="center"/>
          </w:tcPr>
          <w:p w14:paraId="59A60E6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净现值（Ic=12%）</w:t>
            </w:r>
          </w:p>
        </w:tc>
        <w:tc>
          <w:tcPr>
            <w:tcW w:w="1700" w:type="dxa"/>
            <w:tcBorders>
              <w:tl2br w:val="nil"/>
              <w:tr2bl w:val="nil"/>
            </w:tcBorders>
            <w:noWrap w:val="0"/>
            <w:vAlign w:val="center"/>
          </w:tcPr>
          <w:p w14:paraId="79B7A3B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万元</w:t>
            </w:r>
          </w:p>
        </w:tc>
        <w:tc>
          <w:tcPr>
            <w:tcW w:w="1369" w:type="dxa"/>
            <w:tcBorders>
              <w:tl2br w:val="nil"/>
              <w:tr2bl w:val="nil"/>
            </w:tcBorders>
            <w:noWrap w:val="0"/>
            <w:vAlign w:val="center"/>
          </w:tcPr>
          <w:p w14:paraId="1703CBE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default"/>
                <w:b w:val="0"/>
                <w:color w:val="auto"/>
                <w:kern w:val="0"/>
                <w:highlight w:val="none"/>
                <w:lang w:val="en-US" w:eastAsia="zh-CN"/>
              </w:rPr>
              <w:t>1</w:t>
            </w:r>
            <w:r>
              <w:rPr>
                <w:rFonts w:hint="eastAsia"/>
                <w:b w:val="0"/>
                <w:color w:val="auto"/>
                <w:kern w:val="0"/>
                <w:highlight w:val="none"/>
                <w:lang w:val="en-US" w:eastAsia="zh-CN"/>
              </w:rPr>
              <w:t>9236</w:t>
            </w:r>
            <w:r>
              <w:rPr>
                <w:rFonts w:hint="default"/>
                <w:b w:val="0"/>
                <w:color w:val="auto"/>
                <w:kern w:val="0"/>
                <w:highlight w:val="none"/>
                <w:lang w:val="en-US" w:eastAsia="zh-CN"/>
              </w:rPr>
              <w:t>.17</w:t>
            </w:r>
          </w:p>
        </w:tc>
        <w:tc>
          <w:tcPr>
            <w:tcW w:w="1698" w:type="dxa"/>
            <w:tcBorders>
              <w:tl2br w:val="nil"/>
              <w:tr2bl w:val="nil"/>
            </w:tcBorders>
            <w:noWrap w:val="0"/>
            <w:vAlign w:val="center"/>
          </w:tcPr>
          <w:p w14:paraId="4483E81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p>
        </w:tc>
      </w:tr>
      <w:tr w14:paraId="24983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3" w:type="dxa"/>
            <w:tcBorders>
              <w:tl2br w:val="nil"/>
              <w:tr2bl w:val="nil"/>
            </w:tcBorders>
            <w:noWrap w:val="0"/>
            <w:vAlign w:val="center"/>
          </w:tcPr>
          <w:p w14:paraId="53319E3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8</w:t>
            </w:r>
          </w:p>
        </w:tc>
        <w:tc>
          <w:tcPr>
            <w:tcW w:w="2762" w:type="dxa"/>
            <w:tcBorders>
              <w:tl2br w:val="nil"/>
              <w:tr2bl w:val="nil"/>
            </w:tcBorders>
            <w:noWrap w:val="0"/>
            <w:vAlign w:val="center"/>
          </w:tcPr>
          <w:p w14:paraId="0835117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投资回收期</w:t>
            </w:r>
          </w:p>
        </w:tc>
        <w:tc>
          <w:tcPr>
            <w:tcW w:w="1700" w:type="dxa"/>
            <w:tcBorders>
              <w:tl2br w:val="nil"/>
              <w:tr2bl w:val="nil"/>
            </w:tcBorders>
            <w:noWrap w:val="0"/>
            <w:vAlign w:val="center"/>
          </w:tcPr>
          <w:p w14:paraId="22FBA75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a</w:t>
            </w:r>
          </w:p>
        </w:tc>
        <w:tc>
          <w:tcPr>
            <w:tcW w:w="1369" w:type="dxa"/>
            <w:tcBorders>
              <w:tl2br w:val="nil"/>
              <w:tr2bl w:val="nil"/>
            </w:tcBorders>
            <w:noWrap w:val="0"/>
            <w:vAlign w:val="center"/>
          </w:tcPr>
          <w:p w14:paraId="533F786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0.1</w:t>
            </w:r>
          </w:p>
        </w:tc>
        <w:tc>
          <w:tcPr>
            <w:tcW w:w="1698" w:type="dxa"/>
            <w:tcBorders>
              <w:tl2br w:val="nil"/>
              <w:tr2bl w:val="nil"/>
            </w:tcBorders>
            <w:noWrap w:val="0"/>
            <w:vAlign w:val="center"/>
          </w:tcPr>
          <w:p w14:paraId="685ACA8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highlight w:val="none"/>
                <w:lang w:val="en-US" w:eastAsia="zh-CN"/>
              </w:rPr>
            </w:pPr>
            <w:r>
              <w:rPr>
                <w:rFonts w:hint="eastAsia"/>
                <w:b w:val="0"/>
                <w:color w:val="auto"/>
                <w:kern w:val="0"/>
                <w:highlight w:val="none"/>
                <w:lang w:val="en-US" w:eastAsia="zh-CN"/>
              </w:rPr>
              <w:t>税后，含建设期0.4年</w:t>
            </w:r>
          </w:p>
        </w:tc>
      </w:tr>
    </w:tbl>
    <w:p w14:paraId="1097B78D">
      <w:pPr>
        <w:pStyle w:val="4"/>
        <w:spacing w:before="120" w:after="120"/>
        <w:rPr>
          <w:rFonts w:hint="eastAsia"/>
          <w:color w:val="auto"/>
          <w:highlight w:val="none"/>
        </w:rPr>
      </w:pPr>
      <w:bookmarkStart w:id="93" w:name="_Toc13542"/>
      <w:r>
        <w:rPr>
          <w:rFonts w:hint="eastAsia"/>
          <w:color w:val="auto"/>
          <w:highlight w:val="none"/>
          <w:lang w:val="en-US" w:eastAsia="zh-CN"/>
        </w:rPr>
        <w:t>租用场地现存在环境问题及整改要求</w:t>
      </w:r>
      <w:bookmarkEnd w:id="93"/>
    </w:p>
    <w:p w14:paraId="126DE0EA">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（1）租用地块用地情况：</w:t>
      </w:r>
    </w:p>
    <w:p w14:paraId="338FC5F4">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本项目租赁多伦县隆盛新型建材有限公司盟东水泥厂</w:t>
      </w:r>
      <w:r>
        <w:rPr>
          <w:rFonts w:hint="eastAsia" w:ascii="Times New Roman" w:hAnsi="Times New Roman" w:eastAsia="宋体" w:cs="Times New Roman"/>
          <w:color w:val="auto"/>
          <w:kern w:val="0"/>
          <w:sz w:val="24"/>
          <w:szCs w:val="24"/>
          <w:highlight w:val="none"/>
          <w:lang w:val="en-US" w:eastAsia="zh-CN" w:bidi="ar"/>
        </w:rPr>
        <w:t>东部分</w:t>
      </w:r>
      <w:r>
        <w:rPr>
          <w:rFonts w:hint="default" w:ascii="Times New Roman" w:hAnsi="Times New Roman" w:eastAsia="宋体" w:cs="Times New Roman"/>
          <w:color w:val="auto"/>
          <w:kern w:val="0"/>
          <w:sz w:val="24"/>
          <w:szCs w:val="24"/>
          <w:highlight w:val="none"/>
          <w:lang w:val="en-US" w:eastAsia="zh-CN" w:bidi="ar"/>
        </w:rPr>
        <w:t>闲置土地</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占地面积约25亩</w:t>
      </w:r>
      <w:r>
        <w:rPr>
          <w:rFonts w:hint="eastAsia" w:ascii="Times New Roman" w:hAnsi="Times New Roman" w:eastAsia="宋体" w:cs="Times New Roman"/>
          <w:color w:val="auto"/>
          <w:kern w:val="0"/>
          <w:sz w:val="24"/>
          <w:szCs w:val="24"/>
          <w:highlight w:val="none"/>
          <w:lang w:val="en-US" w:eastAsia="zh-CN" w:bidi="ar"/>
        </w:rPr>
        <w:t>。本项目租用地块东部原有一座150m×20m盟东水泥厂辅助材料库房，现已拆除平整场地；其他区域为预留用地，未曾露天堆放过</w:t>
      </w:r>
      <w:r>
        <w:rPr>
          <w:rFonts w:hint="eastAsia" w:cs="Times New Roman"/>
          <w:color w:val="auto"/>
          <w:kern w:val="0"/>
          <w:sz w:val="24"/>
          <w:szCs w:val="24"/>
          <w:highlight w:val="none"/>
          <w:lang w:val="en-US" w:eastAsia="zh-CN" w:bidi="ar"/>
        </w:rPr>
        <w:t>物料</w:t>
      </w:r>
      <w:r>
        <w:rPr>
          <w:rFonts w:hint="eastAsia" w:ascii="Times New Roman" w:hAnsi="Times New Roman" w:eastAsia="宋体" w:cs="Times New Roman"/>
          <w:color w:val="auto"/>
          <w:kern w:val="0"/>
          <w:sz w:val="24"/>
          <w:szCs w:val="24"/>
          <w:highlight w:val="none"/>
          <w:lang w:val="en-US" w:eastAsia="zh-CN" w:bidi="ar"/>
        </w:rPr>
        <w:t>及固体废物，地面为裸露地面，未进行硬化及绿化。</w:t>
      </w:r>
    </w:p>
    <w:p w14:paraId="5AD84053">
      <w:pPr>
        <w:keepNext w:val="0"/>
        <w:keepLines w:val="0"/>
        <w:widowControl/>
        <w:suppressLineNumbers w:val="0"/>
        <w:jc w:val="left"/>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租用场地现在存在环境问题：</w:t>
      </w:r>
    </w:p>
    <w:p w14:paraId="6D5C7333">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①厂区内地面未</w:t>
      </w:r>
      <w:r>
        <w:rPr>
          <w:rFonts w:hint="eastAsia" w:ascii="Times New Roman" w:hAnsi="Times New Roman" w:eastAsia="宋体" w:cs="Times New Roman"/>
          <w:color w:val="auto"/>
          <w:kern w:val="0"/>
          <w:sz w:val="24"/>
          <w:szCs w:val="24"/>
          <w:highlight w:val="none"/>
          <w:lang w:val="en-US" w:eastAsia="zh-CN" w:bidi="ar"/>
        </w:rPr>
        <w:t>进行</w:t>
      </w:r>
      <w:r>
        <w:rPr>
          <w:rFonts w:hint="default" w:ascii="Times New Roman" w:hAnsi="Times New Roman" w:eastAsia="宋体" w:cs="Times New Roman"/>
          <w:color w:val="auto"/>
          <w:kern w:val="0"/>
          <w:sz w:val="24"/>
          <w:szCs w:val="24"/>
          <w:highlight w:val="none"/>
          <w:lang w:val="en-US" w:eastAsia="zh-CN" w:bidi="ar"/>
        </w:rPr>
        <w:t>硬化，车辆行驶过程中易产生扬尘；</w:t>
      </w:r>
    </w:p>
    <w:p w14:paraId="6A3CF64C">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w:t>
      </w:r>
      <w:r>
        <w:rPr>
          <w:rFonts w:hint="eastAsia" w:ascii="Times New Roman" w:hAnsi="Times New Roman" w:eastAsia="宋体" w:cs="Times New Roman"/>
          <w:color w:val="auto"/>
          <w:kern w:val="0"/>
          <w:sz w:val="24"/>
          <w:szCs w:val="24"/>
          <w:highlight w:val="none"/>
          <w:lang w:val="en-US" w:eastAsia="zh-CN" w:bidi="ar"/>
        </w:rPr>
        <w:t>部分</w:t>
      </w:r>
      <w:r>
        <w:rPr>
          <w:rFonts w:hint="default" w:ascii="Times New Roman" w:hAnsi="Times New Roman" w:eastAsia="宋体" w:cs="Times New Roman"/>
          <w:color w:val="auto"/>
          <w:kern w:val="0"/>
          <w:sz w:val="24"/>
          <w:szCs w:val="24"/>
          <w:highlight w:val="none"/>
          <w:lang w:val="en-US" w:eastAsia="zh-CN" w:bidi="ar"/>
        </w:rPr>
        <w:t>建筑垃圾</w:t>
      </w:r>
      <w:r>
        <w:rPr>
          <w:rFonts w:hint="eastAsia" w:ascii="Times New Roman" w:hAnsi="Times New Roman" w:eastAsia="宋体" w:cs="Times New Roman"/>
          <w:color w:val="auto"/>
          <w:kern w:val="0"/>
          <w:sz w:val="24"/>
          <w:szCs w:val="24"/>
          <w:highlight w:val="none"/>
          <w:lang w:val="en-US" w:eastAsia="zh-CN" w:bidi="ar"/>
        </w:rPr>
        <w:t>未清除完成，厂区内</w:t>
      </w:r>
      <w:r>
        <w:rPr>
          <w:rFonts w:hint="default" w:ascii="Times New Roman" w:hAnsi="Times New Roman" w:eastAsia="宋体" w:cs="Times New Roman"/>
          <w:color w:val="auto"/>
          <w:kern w:val="0"/>
          <w:sz w:val="24"/>
          <w:szCs w:val="24"/>
          <w:highlight w:val="none"/>
          <w:lang w:val="en-US" w:eastAsia="zh-CN" w:bidi="ar"/>
        </w:rPr>
        <w:t>存在乱</w:t>
      </w:r>
      <w:r>
        <w:rPr>
          <w:rFonts w:hint="eastAsia" w:ascii="Times New Roman" w:hAnsi="Times New Roman" w:eastAsia="宋体" w:cs="Times New Roman"/>
          <w:color w:val="auto"/>
          <w:kern w:val="0"/>
          <w:sz w:val="24"/>
          <w:szCs w:val="24"/>
          <w:highlight w:val="none"/>
          <w:lang w:val="en-US" w:eastAsia="zh-CN" w:bidi="ar"/>
        </w:rPr>
        <w:t>堆</w:t>
      </w:r>
      <w:r>
        <w:rPr>
          <w:rFonts w:hint="default" w:ascii="Times New Roman" w:hAnsi="Times New Roman" w:eastAsia="宋体" w:cs="Times New Roman"/>
          <w:color w:val="auto"/>
          <w:kern w:val="0"/>
          <w:sz w:val="24"/>
          <w:szCs w:val="24"/>
          <w:highlight w:val="none"/>
          <w:lang w:val="en-US" w:eastAsia="zh-CN" w:bidi="ar"/>
        </w:rPr>
        <w:t>现象；</w:t>
      </w:r>
    </w:p>
    <w:p w14:paraId="6B75900C">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整改措施 </w:t>
      </w:r>
      <w:r>
        <w:rPr>
          <w:rFonts w:hint="eastAsia" w:cs="Times New Roman"/>
          <w:color w:val="auto"/>
          <w:kern w:val="0"/>
          <w:sz w:val="24"/>
          <w:szCs w:val="24"/>
          <w:highlight w:val="none"/>
          <w:lang w:val="en-US" w:eastAsia="zh-CN" w:bidi="ar"/>
        </w:rPr>
        <w:t>：</w:t>
      </w:r>
    </w:p>
    <w:p w14:paraId="244C93C6">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①加强对道路洒水抑尘，地面尽快进行硬化，减少扬尘产生量。</w:t>
      </w:r>
    </w:p>
    <w:p w14:paraId="0E0F958E">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w:t>
      </w:r>
      <w:r>
        <w:rPr>
          <w:rFonts w:hint="eastAsia" w:cs="Times New Roman"/>
          <w:color w:val="auto"/>
          <w:kern w:val="0"/>
          <w:sz w:val="24"/>
          <w:szCs w:val="24"/>
          <w:highlight w:val="none"/>
          <w:lang w:val="en-US" w:eastAsia="zh-CN" w:bidi="ar"/>
        </w:rPr>
        <w:t>厂内堆存的</w:t>
      </w:r>
      <w:r>
        <w:rPr>
          <w:rFonts w:hint="default" w:ascii="Times New Roman" w:hAnsi="Times New Roman" w:eastAsia="宋体" w:cs="Times New Roman"/>
          <w:color w:val="auto"/>
          <w:kern w:val="0"/>
          <w:sz w:val="24"/>
          <w:szCs w:val="24"/>
          <w:highlight w:val="none"/>
          <w:lang w:val="en-US" w:eastAsia="zh-CN" w:bidi="ar"/>
        </w:rPr>
        <w:t>建筑垃圾，</w:t>
      </w:r>
      <w:r>
        <w:rPr>
          <w:rFonts w:hint="eastAsia" w:cs="Times New Roman"/>
          <w:color w:val="auto"/>
          <w:kern w:val="0"/>
          <w:sz w:val="24"/>
          <w:szCs w:val="24"/>
          <w:highlight w:val="none"/>
          <w:lang w:val="en-US" w:eastAsia="zh-CN" w:bidi="ar"/>
        </w:rPr>
        <w:t>尽快</w:t>
      </w:r>
      <w:r>
        <w:rPr>
          <w:rFonts w:hint="default" w:ascii="Times New Roman" w:hAnsi="Times New Roman" w:eastAsia="宋体" w:cs="Times New Roman"/>
          <w:color w:val="auto"/>
          <w:kern w:val="0"/>
          <w:sz w:val="24"/>
          <w:szCs w:val="24"/>
          <w:highlight w:val="none"/>
          <w:lang w:val="en-US" w:eastAsia="zh-CN" w:bidi="ar"/>
        </w:rPr>
        <w:t>拉运至当地建筑垃圾接收场处理处置。</w:t>
      </w:r>
    </w:p>
    <w:p w14:paraId="7904A2D8">
      <w:pPr>
        <w:rPr>
          <w:rFonts w:hint="eastAsia"/>
          <w:color w:val="auto"/>
          <w:highlight w:val="none"/>
        </w:rPr>
      </w:pPr>
    </w:p>
    <w:p w14:paraId="66D82F89">
      <w:pPr>
        <w:pStyle w:val="199"/>
        <w:spacing w:before="120"/>
        <w:rPr>
          <w:rFonts w:hint="eastAsia"/>
          <w:color w:val="auto"/>
          <w:sz w:val="24"/>
          <w:highlight w:val="none"/>
        </w:rPr>
      </w:pPr>
    </w:p>
    <w:p w14:paraId="6B150114">
      <w:pPr>
        <w:ind w:firstLine="480"/>
        <w:rPr>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14:paraId="7B7455D0">
      <w:pPr>
        <w:pStyle w:val="4"/>
        <w:spacing w:before="120" w:after="120"/>
        <w:rPr>
          <w:color w:val="auto"/>
          <w:highlight w:val="none"/>
        </w:rPr>
      </w:pPr>
      <w:bookmarkStart w:id="94" w:name="_Toc24447614"/>
      <w:bookmarkStart w:id="95" w:name="_Toc6719"/>
      <w:bookmarkStart w:id="96" w:name="_Toc24447103"/>
      <w:bookmarkStart w:id="97" w:name="_Toc24340219"/>
      <w:r>
        <w:rPr>
          <w:rFonts w:hint="eastAsia"/>
          <w:color w:val="auto"/>
          <w:highlight w:val="none"/>
        </w:rPr>
        <w:t>工艺流程及产排污分析</w:t>
      </w:r>
      <w:bookmarkEnd w:id="94"/>
      <w:bookmarkEnd w:id="95"/>
      <w:bookmarkEnd w:id="96"/>
      <w:bookmarkEnd w:id="97"/>
    </w:p>
    <w:p w14:paraId="2D90AFC4">
      <w:pPr>
        <w:pStyle w:val="5"/>
        <w:rPr>
          <w:color w:val="auto"/>
          <w:highlight w:val="none"/>
        </w:rPr>
      </w:pPr>
      <w:bookmarkStart w:id="98" w:name="_Toc24447104"/>
      <w:r>
        <w:rPr>
          <w:rFonts w:hint="eastAsia"/>
          <w:color w:val="auto"/>
          <w:highlight w:val="none"/>
          <w:lang w:val="en-US" w:eastAsia="zh-CN"/>
        </w:rPr>
        <w:t>施工期</w:t>
      </w:r>
      <w:r>
        <w:rPr>
          <w:rFonts w:hint="eastAsia"/>
          <w:color w:val="auto"/>
          <w:highlight w:val="none"/>
        </w:rPr>
        <w:t>工艺流程</w:t>
      </w:r>
      <w:bookmarkEnd w:id="98"/>
      <w:r>
        <w:rPr>
          <w:rFonts w:hint="eastAsia"/>
          <w:color w:val="auto"/>
          <w:highlight w:val="none"/>
          <w:lang w:val="en-US" w:eastAsia="zh-CN"/>
        </w:rPr>
        <w:t>及产排污节点</w:t>
      </w:r>
    </w:p>
    <w:p w14:paraId="61EA3DE4">
      <w:pPr>
        <w:ind w:firstLine="480"/>
        <w:rPr>
          <w:rFonts w:hint="eastAsia"/>
          <w:color w:val="auto"/>
          <w:highlight w:val="none"/>
          <w:lang w:val="en-US" w:eastAsia="zh-CN"/>
        </w:rPr>
      </w:pPr>
      <w:r>
        <w:rPr>
          <w:rFonts w:hint="eastAsia"/>
          <w:color w:val="auto"/>
          <w:highlight w:val="none"/>
          <w:lang w:val="en-US" w:eastAsia="zh-CN"/>
        </w:rPr>
        <w:t>工艺流程简述：施工期主要工程行为包括场地平整、建构筑物以及运输道路建设、设备安装；施工期的污染源主要来自施工过程中的扬尘、员工生活污水、车辆冲洗废水、车辆噪声、工人生活垃圾以及建筑垃圾。排污节点汇总及具体防治措施见表3.11-1，施工期工艺流程及排污节点见图3.11-1。</w:t>
      </w:r>
    </w:p>
    <w:p w14:paraId="7209A7D7">
      <w:pPr>
        <w:pStyle w:val="199"/>
        <w:spacing w:before="120"/>
        <w:rPr>
          <w:rFonts w:hint="eastAsia"/>
          <w:color w:val="auto"/>
          <w:sz w:val="24"/>
          <w:highlight w:val="none"/>
          <w:lang w:val="en-US" w:eastAsia="zh-CN"/>
        </w:rPr>
      </w:pPr>
      <w:r>
        <w:rPr>
          <w:rFonts w:hint="eastAsia"/>
          <w:color w:val="auto"/>
          <w:sz w:val="24"/>
          <w:highlight w:val="none"/>
          <w:lang w:val="en-US" w:eastAsia="zh-CN"/>
        </w:rPr>
        <w:t>表3.11-1  施工期主要排污节点表</w:t>
      </w:r>
    </w:p>
    <w:tbl>
      <w:tblPr>
        <w:tblStyle w:val="29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65"/>
        <w:gridCol w:w="1550"/>
        <w:gridCol w:w="1052"/>
        <w:gridCol w:w="5330"/>
      </w:tblGrid>
      <w:tr w14:paraId="66ED18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 w:type="pct"/>
            <w:tcBorders>
              <w:tl2br w:val="nil"/>
              <w:tr2bl w:val="nil"/>
            </w:tcBorders>
            <w:noWrap w:val="0"/>
            <w:textDirection w:val="tbRlV"/>
            <w:vAlign w:val="center"/>
          </w:tcPr>
          <w:p w14:paraId="5671774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类型</w:t>
            </w:r>
          </w:p>
        </w:tc>
        <w:tc>
          <w:tcPr>
            <w:tcW w:w="934" w:type="pct"/>
            <w:tcBorders>
              <w:tl2br w:val="nil"/>
              <w:tr2bl w:val="nil"/>
            </w:tcBorders>
            <w:noWrap w:val="0"/>
            <w:vAlign w:val="center"/>
          </w:tcPr>
          <w:p w14:paraId="7C20281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污染源</w:t>
            </w:r>
          </w:p>
        </w:tc>
        <w:tc>
          <w:tcPr>
            <w:tcW w:w="634" w:type="pct"/>
            <w:tcBorders>
              <w:tl2br w:val="nil"/>
              <w:tr2bl w:val="nil"/>
            </w:tcBorders>
            <w:noWrap w:val="0"/>
            <w:vAlign w:val="center"/>
          </w:tcPr>
          <w:p w14:paraId="1A9E094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主要污染物</w:t>
            </w:r>
          </w:p>
        </w:tc>
        <w:tc>
          <w:tcPr>
            <w:tcW w:w="3211" w:type="pct"/>
            <w:tcBorders>
              <w:tl2br w:val="nil"/>
              <w:tr2bl w:val="nil"/>
            </w:tcBorders>
            <w:noWrap w:val="0"/>
            <w:vAlign w:val="center"/>
          </w:tcPr>
          <w:p w14:paraId="6A80905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防治措施</w:t>
            </w:r>
          </w:p>
        </w:tc>
      </w:tr>
      <w:tr w14:paraId="3B60D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 w:type="pct"/>
            <w:tcBorders>
              <w:tl2br w:val="nil"/>
              <w:tr2bl w:val="nil"/>
            </w:tcBorders>
            <w:noWrap w:val="0"/>
            <w:textDirection w:val="tbRlV"/>
            <w:vAlign w:val="center"/>
          </w:tcPr>
          <w:p w14:paraId="19970C5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废气</w:t>
            </w:r>
          </w:p>
        </w:tc>
        <w:tc>
          <w:tcPr>
            <w:tcW w:w="934" w:type="pct"/>
            <w:tcBorders>
              <w:tl2br w:val="nil"/>
              <w:tr2bl w:val="nil"/>
            </w:tcBorders>
            <w:noWrap w:val="0"/>
            <w:vAlign w:val="center"/>
          </w:tcPr>
          <w:p w14:paraId="69598A8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场地平整、构筑物、道路施工</w:t>
            </w:r>
          </w:p>
        </w:tc>
        <w:tc>
          <w:tcPr>
            <w:tcW w:w="634" w:type="pct"/>
            <w:tcBorders>
              <w:tl2br w:val="nil"/>
              <w:tr2bl w:val="nil"/>
            </w:tcBorders>
            <w:noWrap w:val="0"/>
            <w:vAlign w:val="center"/>
          </w:tcPr>
          <w:p w14:paraId="7407AFC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粉尘</w:t>
            </w:r>
          </w:p>
        </w:tc>
        <w:tc>
          <w:tcPr>
            <w:tcW w:w="3211" w:type="pct"/>
            <w:tcBorders>
              <w:tl2br w:val="nil"/>
              <w:tr2bl w:val="nil"/>
            </w:tcBorders>
            <w:noWrap w:val="0"/>
            <w:vAlign w:val="center"/>
          </w:tcPr>
          <w:p w14:paraId="42192E4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设置高于堆存物料高度的防尘围挡；</w:t>
            </w:r>
          </w:p>
          <w:p w14:paraId="6A6E068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施工现场及时清理，定时洒水，大风天气增加洒水次数；物料运输车辆限速形式，散装物料采用密闭罐车或斗车，块状物料装载高度布袋超过车辆槽帮上沿40cm，加盖苫布。</w:t>
            </w:r>
          </w:p>
        </w:tc>
      </w:tr>
      <w:tr w14:paraId="215C01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 w:type="pct"/>
            <w:vMerge w:val="restart"/>
            <w:tcBorders>
              <w:tl2br w:val="nil"/>
              <w:tr2bl w:val="nil"/>
            </w:tcBorders>
            <w:noWrap w:val="0"/>
            <w:textDirection w:val="tbRlV"/>
            <w:vAlign w:val="center"/>
          </w:tcPr>
          <w:p w14:paraId="50AB77C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废水</w:t>
            </w:r>
          </w:p>
        </w:tc>
        <w:tc>
          <w:tcPr>
            <w:tcW w:w="934" w:type="pct"/>
            <w:tcBorders>
              <w:tl2br w:val="nil"/>
              <w:tr2bl w:val="nil"/>
            </w:tcBorders>
            <w:noWrap w:val="0"/>
            <w:vAlign w:val="center"/>
          </w:tcPr>
          <w:p w14:paraId="1766348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车辆冲洗废水</w:t>
            </w:r>
          </w:p>
        </w:tc>
        <w:tc>
          <w:tcPr>
            <w:tcW w:w="634" w:type="pct"/>
            <w:tcBorders>
              <w:tl2br w:val="nil"/>
              <w:tr2bl w:val="nil"/>
            </w:tcBorders>
            <w:noWrap w:val="0"/>
            <w:vAlign w:val="center"/>
          </w:tcPr>
          <w:p w14:paraId="46D1911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SS</w:t>
            </w:r>
          </w:p>
        </w:tc>
        <w:tc>
          <w:tcPr>
            <w:tcW w:w="3211" w:type="pct"/>
            <w:tcBorders>
              <w:tl2br w:val="nil"/>
              <w:tr2bl w:val="nil"/>
            </w:tcBorders>
            <w:noWrap w:val="0"/>
            <w:vAlign w:val="center"/>
          </w:tcPr>
          <w:p w14:paraId="4A307D2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全部用于项目场地洒水抑尘。</w:t>
            </w:r>
          </w:p>
        </w:tc>
      </w:tr>
      <w:tr w14:paraId="2146F6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 w:type="pct"/>
            <w:vMerge w:val="continue"/>
            <w:tcBorders>
              <w:tl2br w:val="nil"/>
              <w:tr2bl w:val="nil"/>
            </w:tcBorders>
            <w:noWrap w:val="0"/>
            <w:textDirection w:val="tbRlV"/>
            <w:vAlign w:val="center"/>
          </w:tcPr>
          <w:p w14:paraId="63D6E32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934" w:type="pct"/>
            <w:tcBorders>
              <w:tl2br w:val="nil"/>
              <w:tr2bl w:val="nil"/>
            </w:tcBorders>
            <w:noWrap w:val="0"/>
            <w:vAlign w:val="center"/>
          </w:tcPr>
          <w:p w14:paraId="19B79AA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工人生活污水</w:t>
            </w:r>
          </w:p>
        </w:tc>
        <w:tc>
          <w:tcPr>
            <w:tcW w:w="634" w:type="pct"/>
            <w:tcBorders>
              <w:tl2br w:val="nil"/>
              <w:tr2bl w:val="nil"/>
            </w:tcBorders>
            <w:noWrap w:val="0"/>
            <w:vAlign w:val="center"/>
          </w:tcPr>
          <w:p w14:paraId="3089E61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SS、COD、氨氮</w:t>
            </w:r>
          </w:p>
        </w:tc>
        <w:tc>
          <w:tcPr>
            <w:tcW w:w="3211" w:type="pct"/>
            <w:tcBorders>
              <w:tl2br w:val="nil"/>
              <w:tr2bl w:val="nil"/>
            </w:tcBorders>
            <w:noWrap w:val="0"/>
            <w:vAlign w:val="center"/>
          </w:tcPr>
          <w:p w14:paraId="1E24BA6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依托多伦县盟东水泥厂，先排入化粪池，定期拉运至诺尔镇污水处理厂。</w:t>
            </w:r>
          </w:p>
        </w:tc>
      </w:tr>
      <w:tr w14:paraId="793479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 w:type="pct"/>
            <w:vMerge w:val="restart"/>
            <w:tcBorders>
              <w:tl2br w:val="nil"/>
              <w:tr2bl w:val="nil"/>
            </w:tcBorders>
            <w:noWrap w:val="0"/>
            <w:textDirection w:val="tbRlV"/>
            <w:vAlign w:val="center"/>
          </w:tcPr>
          <w:p w14:paraId="7CA735E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固废</w:t>
            </w:r>
          </w:p>
        </w:tc>
        <w:tc>
          <w:tcPr>
            <w:tcW w:w="934" w:type="pct"/>
            <w:tcBorders>
              <w:tl2br w:val="nil"/>
              <w:tr2bl w:val="nil"/>
            </w:tcBorders>
            <w:noWrap w:val="0"/>
            <w:vAlign w:val="center"/>
          </w:tcPr>
          <w:p w14:paraId="422F8F3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场地平整、构筑物、道路施工</w:t>
            </w:r>
          </w:p>
        </w:tc>
        <w:tc>
          <w:tcPr>
            <w:tcW w:w="634" w:type="pct"/>
            <w:tcBorders>
              <w:tl2br w:val="nil"/>
              <w:tr2bl w:val="nil"/>
            </w:tcBorders>
            <w:noWrap w:val="0"/>
            <w:vAlign w:val="center"/>
          </w:tcPr>
          <w:p w14:paraId="418AF5B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建筑垃圾</w:t>
            </w:r>
          </w:p>
        </w:tc>
        <w:tc>
          <w:tcPr>
            <w:tcW w:w="3211" w:type="pct"/>
            <w:tcBorders>
              <w:tl2br w:val="nil"/>
              <w:tr2bl w:val="nil"/>
            </w:tcBorders>
            <w:noWrap w:val="0"/>
            <w:vAlign w:val="center"/>
          </w:tcPr>
          <w:p w14:paraId="113AD13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优先考虑回用，剩余部分及时清运，送至区域指定建筑垃圾堆放场</w:t>
            </w:r>
          </w:p>
        </w:tc>
      </w:tr>
      <w:tr w14:paraId="76B7F1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 w:type="pct"/>
            <w:vMerge w:val="continue"/>
            <w:tcBorders>
              <w:tl2br w:val="nil"/>
              <w:tr2bl w:val="nil"/>
            </w:tcBorders>
            <w:noWrap w:val="0"/>
            <w:textDirection w:val="tbRlV"/>
            <w:vAlign w:val="center"/>
          </w:tcPr>
          <w:p w14:paraId="5F2DA38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934" w:type="pct"/>
            <w:tcBorders>
              <w:tl2br w:val="nil"/>
              <w:tr2bl w:val="nil"/>
            </w:tcBorders>
            <w:noWrap w:val="0"/>
            <w:vAlign w:val="center"/>
          </w:tcPr>
          <w:p w14:paraId="494A155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施工人员</w:t>
            </w:r>
          </w:p>
        </w:tc>
        <w:tc>
          <w:tcPr>
            <w:tcW w:w="634" w:type="pct"/>
            <w:tcBorders>
              <w:tl2br w:val="nil"/>
              <w:tr2bl w:val="nil"/>
            </w:tcBorders>
            <w:noWrap w:val="0"/>
            <w:vAlign w:val="center"/>
          </w:tcPr>
          <w:p w14:paraId="0D47291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生活垃圾</w:t>
            </w:r>
          </w:p>
        </w:tc>
        <w:tc>
          <w:tcPr>
            <w:tcW w:w="3211" w:type="pct"/>
            <w:tcBorders>
              <w:tl2br w:val="nil"/>
              <w:tr2bl w:val="nil"/>
            </w:tcBorders>
            <w:noWrap w:val="0"/>
            <w:vAlign w:val="center"/>
          </w:tcPr>
          <w:p w14:paraId="1849452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生活垃圾集中收集后交由当地环卫部门处理，不外排</w:t>
            </w:r>
          </w:p>
        </w:tc>
      </w:tr>
      <w:tr w14:paraId="157DB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 w:type="pct"/>
            <w:vMerge w:val="restart"/>
            <w:tcBorders>
              <w:tl2br w:val="nil"/>
              <w:tr2bl w:val="nil"/>
            </w:tcBorders>
            <w:noWrap w:val="0"/>
            <w:textDirection w:val="tbRlV"/>
            <w:vAlign w:val="center"/>
          </w:tcPr>
          <w:p w14:paraId="2DAEFCA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噪声</w:t>
            </w:r>
          </w:p>
        </w:tc>
        <w:tc>
          <w:tcPr>
            <w:tcW w:w="934" w:type="pct"/>
            <w:tcBorders>
              <w:tl2br w:val="nil"/>
              <w:tr2bl w:val="nil"/>
            </w:tcBorders>
            <w:noWrap w:val="0"/>
            <w:vAlign w:val="center"/>
          </w:tcPr>
          <w:p w14:paraId="691B5BF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施工机械设备</w:t>
            </w:r>
          </w:p>
        </w:tc>
        <w:tc>
          <w:tcPr>
            <w:tcW w:w="634" w:type="pct"/>
            <w:tcBorders>
              <w:tl2br w:val="nil"/>
              <w:tr2bl w:val="nil"/>
            </w:tcBorders>
            <w:noWrap w:val="0"/>
            <w:vAlign w:val="center"/>
          </w:tcPr>
          <w:p w14:paraId="4F40F1A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等效连续A声级</w:t>
            </w:r>
          </w:p>
        </w:tc>
        <w:tc>
          <w:tcPr>
            <w:tcW w:w="3211" w:type="pct"/>
            <w:vMerge w:val="restart"/>
            <w:tcBorders>
              <w:tl2br w:val="nil"/>
              <w:tr2bl w:val="nil"/>
            </w:tcBorders>
            <w:noWrap w:val="0"/>
            <w:vAlign w:val="center"/>
          </w:tcPr>
          <w:p w14:paraId="3016011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选用性能良好且低噪声的施工机械；</w:t>
            </w:r>
          </w:p>
          <w:p w14:paraId="6E2DA73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加强管理、文明施工；运输车辆低速行驶，尽量避免鸣笛等措施</w:t>
            </w:r>
          </w:p>
        </w:tc>
      </w:tr>
      <w:tr w14:paraId="03C37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 w:type="pct"/>
            <w:vMerge w:val="continue"/>
            <w:tcBorders>
              <w:tl2br w:val="nil"/>
              <w:tr2bl w:val="nil"/>
            </w:tcBorders>
            <w:noWrap w:val="0"/>
            <w:textDirection w:val="tbRlV"/>
            <w:vAlign w:val="center"/>
          </w:tcPr>
          <w:p w14:paraId="7E6D278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934" w:type="pct"/>
            <w:tcBorders>
              <w:tl2br w:val="nil"/>
              <w:tr2bl w:val="nil"/>
            </w:tcBorders>
            <w:noWrap w:val="0"/>
            <w:vAlign w:val="center"/>
          </w:tcPr>
          <w:p w14:paraId="3391E7D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运输车辆</w:t>
            </w:r>
          </w:p>
        </w:tc>
        <w:tc>
          <w:tcPr>
            <w:tcW w:w="634" w:type="pct"/>
            <w:tcBorders>
              <w:tl2br w:val="nil"/>
              <w:tr2bl w:val="nil"/>
            </w:tcBorders>
            <w:noWrap w:val="0"/>
            <w:vAlign w:val="center"/>
          </w:tcPr>
          <w:p w14:paraId="3CAC43F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等效连续A声级</w:t>
            </w:r>
          </w:p>
        </w:tc>
        <w:tc>
          <w:tcPr>
            <w:tcW w:w="3211" w:type="pct"/>
            <w:vMerge w:val="continue"/>
            <w:tcBorders>
              <w:tl2br w:val="nil"/>
              <w:tr2bl w:val="nil"/>
            </w:tcBorders>
            <w:noWrap w:val="0"/>
            <w:vAlign w:val="center"/>
          </w:tcPr>
          <w:p w14:paraId="3185C25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bl>
    <w:p w14:paraId="02EAA644">
      <w:pPr>
        <w:pStyle w:val="2"/>
        <w:keepNext w:val="0"/>
        <w:keepLines w:val="0"/>
        <w:pageBreakBefore w:val="0"/>
        <w:widowControl w:val="0"/>
        <w:kinsoku/>
        <w:wordWrap/>
        <w:overflowPunct/>
        <w:topLinePunct w:val="0"/>
        <w:autoSpaceDE/>
        <w:autoSpaceDN/>
        <w:bidi w:val="0"/>
        <w:spacing w:after="0" w:line="360" w:lineRule="auto"/>
        <w:ind w:right="0"/>
        <w:rPr>
          <w:rFonts w:hint="default" w:ascii="Times New Roman" w:hAnsi="Times New Roman" w:eastAsia="宋体" w:cs="Times New Roman"/>
          <w:b w:val="0"/>
          <w:bCs w:val="0"/>
          <w:color w:val="auto"/>
          <w:spacing w:val="-1"/>
          <w:sz w:val="24"/>
          <w:szCs w:val="24"/>
          <w:highlight w:val="none"/>
          <w:lang w:val="en-US" w:eastAsia="zh-CN"/>
        </w:rPr>
      </w:pPr>
    </w:p>
    <w:p w14:paraId="09B20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spacing w:val="-2"/>
          <w:sz w:val="24"/>
          <w:szCs w:val="24"/>
          <w:highlight w:val="none"/>
          <w:lang w:val="en-US" w:eastAsia="zh-CN"/>
        </w:rPr>
      </w:pPr>
      <w:r>
        <w:rPr>
          <w:color w:val="auto"/>
          <w:highlight w:val="none"/>
          <w:bdr w:val="single" w:color="000000" w:sz="4" w:space="0"/>
        </w:rPr>
        <w:drawing>
          <wp:inline distT="0" distB="0" distL="114300" distR="114300">
            <wp:extent cx="5275580" cy="1677035"/>
            <wp:effectExtent l="0" t="0" r="1270" b="18415"/>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pic:cNvPicPr>
                  </pic:nvPicPr>
                  <pic:blipFill>
                    <a:blip r:embed="rId37"/>
                    <a:stretch>
                      <a:fillRect/>
                    </a:stretch>
                  </pic:blipFill>
                  <pic:spPr>
                    <a:xfrm>
                      <a:off x="0" y="0"/>
                      <a:ext cx="5275580" cy="1677035"/>
                    </a:xfrm>
                    <a:prstGeom prst="rect">
                      <a:avLst/>
                    </a:prstGeom>
                    <a:noFill/>
                    <a:ln>
                      <a:noFill/>
                    </a:ln>
                  </pic:spPr>
                </pic:pic>
              </a:graphicData>
            </a:graphic>
          </wp:inline>
        </w:drawing>
      </w:r>
    </w:p>
    <w:p w14:paraId="4446ABFF">
      <w:pPr>
        <w:keepNext w:val="0"/>
        <w:keepLines w:val="0"/>
        <w:pageBreakBefore w:val="0"/>
        <w:widowControl/>
        <w:suppressLineNumbers w:val="0"/>
        <w:kinsoku/>
        <w:wordWrap/>
        <w:overflowPunct/>
        <w:topLinePunct w:val="0"/>
        <w:autoSpaceDE/>
        <w:autoSpaceDN/>
        <w:bidi w:val="0"/>
        <w:adjustRightInd/>
        <w:snapToGrid/>
        <w:spacing w:before="157" w:beforeLines="50" w:line="240" w:lineRule="auto"/>
        <w:ind w:firstLine="482" w:firstLineChars="200"/>
        <w:jc w:val="center"/>
        <w:textAlignment w:val="auto"/>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图3.1</w:t>
      </w:r>
      <w:r>
        <w:rPr>
          <w:rFonts w:hint="eastAsia" w:cs="Times New Roman"/>
          <w:b/>
          <w:color w:val="auto"/>
          <w:kern w:val="2"/>
          <w:sz w:val="24"/>
          <w:szCs w:val="24"/>
          <w:highlight w:val="none"/>
          <w:lang w:val="en-US" w:eastAsia="zh-CN" w:bidi="ar-SA"/>
        </w:rPr>
        <w:t>1</w:t>
      </w:r>
      <w:r>
        <w:rPr>
          <w:rFonts w:hint="eastAsia" w:ascii="Times New Roman" w:hAnsi="Times New Roman" w:eastAsia="宋体" w:cs="Times New Roman"/>
          <w:b/>
          <w:color w:val="auto"/>
          <w:kern w:val="2"/>
          <w:sz w:val="24"/>
          <w:szCs w:val="24"/>
          <w:highlight w:val="none"/>
          <w:lang w:val="en-US" w:eastAsia="zh-CN" w:bidi="ar-SA"/>
        </w:rPr>
        <w:t>-1  施工期工艺流程及产污节点图</w:t>
      </w:r>
    </w:p>
    <w:p w14:paraId="6B9D6C72">
      <w:pPr>
        <w:pStyle w:val="5"/>
        <w:rPr>
          <w:rFonts w:hint="eastAsia"/>
          <w:color w:val="auto"/>
          <w:highlight w:val="none"/>
          <w:lang w:val="en-US" w:eastAsia="zh-CN"/>
        </w:rPr>
      </w:pPr>
      <w:r>
        <w:rPr>
          <w:rFonts w:hint="eastAsia"/>
          <w:color w:val="auto"/>
          <w:highlight w:val="none"/>
          <w:lang w:val="en-US" w:eastAsia="zh-CN"/>
        </w:rPr>
        <w:t>运营期工艺流程及排污节点</w:t>
      </w:r>
    </w:p>
    <w:p w14:paraId="2C13824B">
      <w:pPr>
        <w:ind w:firstLine="480"/>
        <w:rPr>
          <w:rFonts w:hint="eastAsia"/>
          <w:color w:val="auto"/>
          <w:highlight w:val="none"/>
          <w:lang w:val="en-US" w:eastAsia="zh-CN"/>
        </w:rPr>
      </w:pPr>
      <w:r>
        <w:rPr>
          <w:rFonts w:hint="eastAsia"/>
          <w:color w:val="auto"/>
          <w:highlight w:val="none"/>
          <w:lang w:val="en-US" w:eastAsia="zh-CN"/>
        </w:rPr>
        <w:t>本项目主要工艺为：破碎、筛选、磨矿、浮选；采用“三段闭路”的破碎流程，由于萤石矿硬度较低，目前碎矿系统可以满足企业生产要求。磨矿主要采用两段闭路磨矿，选别工艺采用浮选工艺，浮选精矿均采用“浓缩+过滤”的两段脱水流程，经过脱水后各矿含水率≤10%,进入精矿库堆存，最终通过汽车外运。</w:t>
      </w:r>
    </w:p>
    <w:p w14:paraId="172CB966">
      <w:pPr>
        <w:pStyle w:val="6"/>
        <w:rPr>
          <w:rFonts w:hint="eastAsia"/>
          <w:color w:val="auto"/>
          <w:highlight w:val="none"/>
          <w:lang w:val="en-US" w:eastAsia="zh-CN"/>
        </w:rPr>
      </w:pPr>
      <w:r>
        <w:rPr>
          <w:rFonts w:hint="eastAsia"/>
          <w:color w:val="auto"/>
          <w:highlight w:val="none"/>
          <w:lang w:val="en-US" w:eastAsia="zh-CN"/>
        </w:rPr>
        <w:t xml:space="preserve"> 破碎、筛分系统</w:t>
      </w:r>
    </w:p>
    <w:p w14:paraId="535168A3">
      <w:pPr>
        <w:ind w:firstLine="480"/>
        <w:rPr>
          <w:rFonts w:hint="eastAsia"/>
          <w:color w:val="auto"/>
          <w:highlight w:val="none"/>
          <w:lang w:val="en-US" w:eastAsia="zh-CN"/>
        </w:rPr>
      </w:pPr>
      <w:r>
        <w:rPr>
          <w:rFonts w:hint="eastAsia"/>
          <w:color w:val="auto"/>
          <w:highlight w:val="none"/>
          <w:lang w:val="en-US" w:eastAsia="zh-CN"/>
        </w:rPr>
        <w:t>选矿厂破碎系统利用现有的“三段闭路”的破碎设备。矿石由采场用汽车运至原料矿石堆存库内，由铲车将原矿铲至1台980×1240槽式给矿机给入1台PE600×900颚式破碎机进行粗碎，粗碎后物料通过带式输送机给入2台PE250×1200锷式碎机进行细碎，细碎后物料通过带式输送机给入2000×4000双层振动筛进行筛分，筛下料通过带式输送机进进入细料仓供车间使用，筛上料通过带式输送机进入155锤式破碎机进行破碎，细料经振动筛，筛下料通过带式输送机进入细料仓，筛上料再返回155锤式破碎机，形成闭路。</w:t>
      </w:r>
    </w:p>
    <w:p w14:paraId="47281560">
      <w:pPr>
        <w:ind w:firstLine="480"/>
        <w:rPr>
          <w:rFonts w:hint="eastAsia"/>
          <w:b/>
          <w:bCs/>
          <w:color w:val="auto"/>
          <w:highlight w:val="none"/>
          <w:lang w:val="en-US" w:eastAsia="zh-CN"/>
        </w:rPr>
      </w:pPr>
      <w:r>
        <w:rPr>
          <w:rFonts w:hint="eastAsia"/>
          <w:b/>
          <w:bCs/>
          <w:color w:val="auto"/>
          <w:highlight w:val="none"/>
          <w:lang w:val="en-US" w:eastAsia="zh-CN"/>
        </w:rPr>
        <w:t>产污环节：</w:t>
      </w:r>
    </w:p>
    <w:p w14:paraId="0EBB439C">
      <w:pPr>
        <w:ind w:firstLine="480"/>
        <w:rPr>
          <w:rFonts w:hint="eastAsia"/>
          <w:color w:val="auto"/>
          <w:highlight w:val="none"/>
          <w:lang w:val="en-US" w:eastAsia="zh-CN"/>
        </w:rPr>
      </w:pPr>
      <w:r>
        <w:rPr>
          <w:rFonts w:hint="eastAsia"/>
          <w:color w:val="auto"/>
          <w:highlight w:val="none"/>
          <w:lang w:val="en-US" w:eastAsia="zh-CN"/>
        </w:rPr>
        <w:t>G1：原料运输道路扬尘，采取道路洒水抑尘，运输车辆加盖苫布、车辆减速慢行等措施。</w:t>
      </w:r>
    </w:p>
    <w:p w14:paraId="39E74A15">
      <w:pPr>
        <w:ind w:firstLine="480"/>
        <w:rPr>
          <w:rFonts w:hint="eastAsia"/>
          <w:color w:val="auto"/>
          <w:highlight w:val="none"/>
          <w:lang w:val="en-US" w:eastAsia="zh-CN"/>
        </w:rPr>
      </w:pPr>
      <w:r>
        <w:rPr>
          <w:rFonts w:hint="eastAsia"/>
          <w:color w:val="auto"/>
          <w:highlight w:val="none"/>
          <w:lang w:val="en-US" w:eastAsia="zh-CN"/>
        </w:rPr>
        <w:t>G2：原矿堆存及卸料过程扬尘，建设全封闭厂房，采取洒水抑尘措施。</w:t>
      </w:r>
    </w:p>
    <w:p w14:paraId="06D354C8">
      <w:pPr>
        <w:ind w:firstLine="480"/>
        <w:rPr>
          <w:rFonts w:hint="eastAsia"/>
          <w:color w:val="auto"/>
          <w:highlight w:val="none"/>
          <w:lang w:val="en-US" w:eastAsia="zh-CN"/>
        </w:rPr>
      </w:pPr>
      <w:r>
        <w:rPr>
          <w:rFonts w:hint="eastAsia"/>
          <w:color w:val="auto"/>
          <w:highlight w:val="none"/>
          <w:lang w:val="en-US" w:eastAsia="zh-CN"/>
        </w:rPr>
        <w:t>G3-1：上料口、粗破、皮带落料点产生粉尘，给料机上料口设水喷淋装置，粗破落料口粉尘采用集气罩收集，合并为有组织粉尘，经1套布袋除尘器处理后，通过15m高DA001排气筒排放；未被收集的部分为破碎、筛分车间无组织粉尘G4。</w:t>
      </w:r>
    </w:p>
    <w:p w14:paraId="7CE03E4A">
      <w:pPr>
        <w:ind w:firstLine="480"/>
        <w:rPr>
          <w:rFonts w:hint="eastAsia"/>
          <w:color w:val="auto"/>
          <w:highlight w:val="none"/>
          <w:lang w:val="en-US" w:eastAsia="zh-CN"/>
        </w:rPr>
      </w:pPr>
      <w:r>
        <w:rPr>
          <w:rFonts w:hint="eastAsia"/>
          <w:color w:val="auto"/>
          <w:highlight w:val="none"/>
          <w:lang w:val="en-US" w:eastAsia="zh-CN"/>
        </w:rPr>
        <w:t>G3-2：细破、皮带落料点产生粉尘，细破落料口粉尘采用集气罩收集，合并为有组织粉尘，经1套布袋除尘器处理后，通过15m高DA001排气筒排放；未被收集的部分为破碎、筛分车间无组织粉尘G4。</w:t>
      </w:r>
    </w:p>
    <w:p w14:paraId="63B07A09">
      <w:pPr>
        <w:ind w:firstLine="480"/>
        <w:rPr>
          <w:rFonts w:hint="eastAsia"/>
          <w:color w:val="auto"/>
          <w:highlight w:val="none"/>
          <w:lang w:val="en-US" w:eastAsia="zh-CN"/>
        </w:rPr>
      </w:pPr>
      <w:r>
        <w:rPr>
          <w:rFonts w:hint="eastAsia"/>
          <w:color w:val="auto"/>
          <w:highlight w:val="none"/>
          <w:lang w:val="en-US" w:eastAsia="zh-CN"/>
        </w:rPr>
        <w:t>G3-3：筛分、皮带落料点产生粉尘，筛分落料口粉尘采用集气罩收集，合并为有组织粉尘，经1套布袋除尘器处理后，通过15m高DA001排气筒排放；未被收集的部分为破碎、筛分车间无组织粉尘G4。</w:t>
      </w:r>
    </w:p>
    <w:p w14:paraId="26BA9EEC">
      <w:pPr>
        <w:ind w:firstLine="480"/>
        <w:rPr>
          <w:rFonts w:hint="eastAsia"/>
          <w:color w:val="auto"/>
          <w:highlight w:val="none"/>
          <w:lang w:val="en-US" w:eastAsia="zh-CN"/>
        </w:rPr>
      </w:pPr>
      <w:r>
        <w:rPr>
          <w:rFonts w:hint="eastAsia"/>
          <w:color w:val="auto"/>
          <w:highlight w:val="none"/>
          <w:lang w:val="en-US" w:eastAsia="zh-CN"/>
        </w:rPr>
        <w:t>S1：布袋除尘器收集除尘灰，直接送入球磨、洗选工序，不外排；</w:t>
      </w:r>
    </w:p>
    <w:p w14:paraId="78205A04">
      <w:pPr>
        <w:ind w:firstLine="480"/>
        <w:rPr>
          <w:rFonts w:hint="eastAsia"/>
          <w:color w:val="auto"/>
          <w:highlight w:val="none"/>
          <w:lang w:val="en-US" w:eastAsia="zh-CN"/>
        </w:rPr>
      </w:pPr>
      <w:r>
        <w:rPr>
          <w:rFonts w:hint="eastAsia"/>
          <w:color w:val="auto"/>
          <w:highlight w:val="none"/>
          <w:lang w:val="en-US" w:eastAsia="zh-CN"/>
        </w:rPr>
        <w:t>N：车辆运输噪声及装载机上料、鄂式破碎机、振动筛、给矿机、皮带输送机设备噪声，运输噪声采取选用低噪声设备、控制车速、减速慢行措施，设备噪声采取基础减振和厂房隔声措施；</w:t>
      </w:r>
    </w:p>
    <w:p w14:paraId="6C32BDD2">
      <w:pPr>
        <w:pStyle w:val="6"/>
        <w:rPr>
          <w:rFonts w:hint="eastAsia"/>
          <w:color w:val="auto"/>
          <w:highlight w:val="none"/>
          <w:lang w:val="en-US" w:eastAsia="zh-CN"/>
        </w:rPr>
      </w:pPr>
      <w:r>
        <w:rPr>
          <w:rFonts w:hint="eastAsia"/>
          <w:color w:val="auto"/>
          <w:highlight w:val="none"/>
          <w:lang w:val="en-US" w:eastAsia="zh-CN"/>
        </w:rPr>
        <w:t xml:space="preserve"> 球磨系统</w:t>
      </w:r>
    </w:p>
    <w:p w14:paraId="656454E5">
      <w:pPr>
        <w:ind w:firstLine="480"/>
        <w:rPr>
          <w:rFonts w:hint="eastAsia"/>
          <w:color w:val="auto"/>
          <w:highlight w:val="none"/>
          <w:lang w:val="en-US" w:eastAsia="zh-CN"/>
        </w:rPr>
      </w:pPr>
      <w:r>
        <w:rPr>
          <w:rFonts w:hint="eastAsia"/>
          <w:color w:val="auto"/>
          <w:highlight w:val="none"/>
          <w:lang w:val="en-US" w:eastAsia="zh-CN"/>
        </w:rPr>
        <w:t>选矿厂利用2段磨矿系统。细料仓的物料通过1台带式输送机给入1台φ2400×6000球磨机，并与一段FG-D2400高堰式分级机和1台1830×7000和1台旋流器组组成2段闭路磨矿系统。1500×3600球磨机，与其组成2段闭路磨矿系统。</w:t>
      </w:r>
    </w:p>
    <w:p w14:paraId="78D0B550">
      <w:pPr>
        <w:ind w:firstLine="480"/>
        <w:rPr>
          <w:rFonts w:hint="eastAsia"/>
          <w:b/>
          <w:bCs/>
          <w:color w:val="auto"/>
          <w:highlight w:val="none"/>
          <w:lang w:val="en-US" w:eastAsia="zh-CN"/>
        </w:rPr>
      </w:pPr>
      <w:r>
        <w:rPr>
          <w:rFonts w:hint="eastAsia"/>
          <w:b/>
          <w:bCs/>
          <w:color w:val="auto"/>
          <w:highlight w:val="none"/>
          <w:lang w:val="en-US" w:eastAsia="zh-CN"/>
        </w:rPr>
        <w:t>产污环节：</w:t>
      </w:r>
    </w:p>
    <w:p w14:paraId="13084C2A">
      <w:pPr>
        <w:ind w:firstLine="480"/>
        <w:rPr>
          <w:rFonts w:hint="eastAsia"/>
          <w:b w:val="0"/>
          <w:bCs w:val="0"/>
          <w:color w:val="auto"/>
          <w:highlight w:val="none"/>
          <w:lang w:val="en-US" w:eastAsia="zh-CN"/>
        </w:rPr>
      </w:pPr>
      <w:r>
        <w:rPr>
          <w:rFonts w:hint="eastAsia"/>
          <w:b w:val="0"/>
          <w:bCs w:val="0"/>
          <w:color w:val="auto"/>
          <w:highlight w:val="none"/>
          <w:lang w:val="en-US" w:eastAsia="zh-CN"/>
        </w:rPr>
        <w:t>S2：球磨机定期更换下来的废钢球，属于一般工业固废，废钢球在第三方供应商更换回收再利用，不落地，不外排；</w:t>
      </w:r>
    </w:p>
    <w:p w14:paraId="2175215D">
      <w:pPr>
        <w:ind w:firstLine="480"/>
        <w:rPr>
          <w:rFonts w:hint="eastAsia"/>
          <w:color w:val="auto"/>
          <w:highlight w:val="none"/>
          <w:lang w:val="en-US" w:eastAsia="zh-CN"/>
        </w:rPr>
      </w:pPr>
      <w:r>
        <w:rPr>
          <w:rFonts w:hint="eastAsia"/>
          <w:color w:val="auto"/>
          <w:highlight w:val="none"/>
          <w:lang w:val="en-US" w:eastAsia="zh-CN"/>
        </w:rPr>
        <w:t>N：球磨机、分级机、旋流器、输送带、泵类运转噪声，采取基础减振和厂房隔声措施。</w:t>
      </w:r>
    </w:p>
    <w:p w14:paraId="50DDC7BA">
      <w:pPr>
        <w:pStyle w:val="6"/>
        <w:rPr>
          <w:rFonts w:hint="eastAsia"/>
          <w:color w:val="auto"/>
          <w:highlight w:val="none"/>
          <w:lang w:val="en-US" w:eastAsia="zh-CN"/>
        </w:rPr>
      </w:pPr>
      <w:r>
        <w:rPr>
          <w:rFonts w:hint="eastAsia"/>
          <w:color w:val="auto"/>
          <w:highlight w:val="none"/>
          <w:lang w:val="en-US" w:eastAsia="zh-CN"/>
        </w:rPr>
        <w:t xml:space="preserve"> 浮选系统</w:t>
      </w:r>
    </w:p>
    <w:p w14:paraId="072D9914">
      <w:pPr>
        <w:ind w:firstLine="480"/>
        <w:rPr>
          <w:rFonts w:hint="eastAsia"/>
          <w:color w:val="auto"/>
          <w:highlight w:val="none"/>
          <w:lang w:val="en-US" w:eastAsia="zh-CN"/>
        </w:rPr>
      </w:pPr>
      <w:r>
        <w:rPr>
          <w:rFonts w:hint="eastAsia"/>
          <w:color w:val="auto"/>
          <w:highlight w:val="none"/>
          <w:lang w:val="en-US" w:eastAsia="zh-CN"/>
        </w:rPr>
        <w:t>磨矿后物料进入浮选系统，通过“一粗、三扫、八精”的工艺流程浮选出萤石精矿，萤石精矿及萤石次精矿经压滤后，出料送精矿粉产品贮存库。</w:t>
      </w:r>
    </w:p>
    <w:p w14:paraId="44293986">
      <w:pPr>
        <w:ind w:firstLine="480"/>
        <w:rPr>
          <w:rFonts w:hint="eastAsia"/>
          <w:color w:val="auto"/>
          <w:highlight w:val="none"/>
          <w:lang w:val="en-US" w:eastAsia="zh-CN"/>
        </w:rPr>
      </w:pPr>
      <w:r>
        <w:rPr>
          <w:rFonts w:hint="eastAsia"/>
          <w:color w:val="auto"/>
          <w:highlight w:val="none"/>
          <w:lang w:val="en-US" w:eastAsia="zh-CN"/>
        </w:rPr>
        <w:t>（1）浮选工作原理</w:t>
      </w:r>
    </w:p>
    <w:p w14:paraId="01A9EF21">
      <w:pPr>
        <w:ind w:firstLine="480"/>
        <w:rPr>
          <w:rFonts w:hint="eastAsia"/>
          <w:color w:val="auto"/>
          <w:highlight w:val="none"/>
          <w:lang w:val="en-US" w:eastAsia="zh-CN"/>
        </w:rPr>
      </w:pPr>
      <w:r>
        <w:rPr>
          <w:rFonts w:hint="eastAsia"/>
          <w:color w:val="auto"/>
          <w:highlight w:val="none"/>
          <w:lang w:val="en-US" w:eastAsia="zh-CN"/>
        </w:rPr>
        <w:t>矿粒因自身表面的疏水特性或经浮选药剂作用后获得的疏水（亲气或油）特性，可在液-气或水-油界面发生聚集。向磨矿后的矿浆加入各种浮选药剂并搅拌调和，使与矿物颗粒作用，以扩大不同矿物颗粒间的可浮性差别。调好的矿浆送入浮选槽，搅拌充气。矿浆中的矿粒与气泡接触、碰撞，可浮性好的矿粒选择性的粘附于气泡并携带上升称为气-液-固三相组成的矿化泡沫层，经机械刮取或从矿浆面溢出，再脱水成精矿产品。不能浮选的矿物颗粒，随矿浆从浮选槽底部作为尾矿产品排出。</w:t>
      </w:r>
    </w:p>
    <w:p w14:paraId="7A1EA723">
      <w:pPr>
        <w:ind w:firstLine="480"/>
        <w:rPr>
          <w:rFonts w:hint="eastAsia"/>
          <w:color w:val="auto"/>
          <w:highlight w:val="none"/>
          <w:lang w:val="en-US" w:eastAsia="zh-CN"/>
        </w:rPr>
      </w:pPr>
      <w:r>
        <w:rPr>
          <w:rFonts w:hint="eastAsia"/>
          <w:color w:val="auto"/>
          <w:highlight w:val="none"/>
          <w:lang w:val="en-US" w:eastAsia="zh-CN"/>
        </w:rPr>
        <w:t>本项目用油酸作为捕收剂，水玻璃作为脉石抑制剂。</w:t>
      </w:r>
    </w:p>
    <w:p w14:paraId="766DBF4D">
      <w:pPr>
        <w:ind w:firstLine="480"/>
        <w:rPr>
          <w:rFonts w:hint="eastAsia"/>
          <w:color w:val="auto"/>
          <w:highlight w:val="none"/>
          <w:lang w:val="en-US" w:eastAsia="zh-CN"/>
        </w:rPr>
      </w:pPr>
      <w:r>
        <w:rPr>
          <w:rFonts w:hint="eastAsia"/>
          <w:color w:val="auto"/>
          <w:highlight w:val="none"/>
          <w:lang w:val="en-US" w:eastAsia="zh-CN"/>
        </w:rPr>
        <w:t>（2）一粗选</w:t>
      </w:r>
    </w:p>
    <w:p w14:paraId="3EF3ECA2">
      <w:pPr>
        <w:ind w:firstLine="480"/>
        <w:rPr>
          <w:rFonts w:hint="eastAsia"/>
          <w:color w:val="auto"/>
          <w:highlight w:val="none"/>
          <w:lang w:val="en-US" w:eastAsia="zh-CN"/>
        </w:rPr>
      </w:pPr>
      <w:r>
        <w:rPr>
          <w:rFonts w:hint="eastAsia"/>
          <w:color w:val="auto"/>
          <w:highlight w:val="none"/>
          <w:lang w:val="en-US" w:eastAsia="zh-CN"/>
        </w:rPr>
        <w:t>药剂槽配置药剂，加药调浆，送入搅拌槽内搅拌，溢流出的细矿粒与药剂混合均匀后再进入浮选工序粗选工段。浮选药剂反应时间15-20分钟。混合好的矿浆送入浮选槽，搅拌充气。矿浆中的矿粒与气泡接触、碰撞，可浮性好的矿粒选择性的粘附于气泡并携带上升称为气-液-固三相组成的矿化泡沫层，经机械刮取或从矿浆面溢出进入精选1工段；不能浮选的矿物颗粒，随矿浆从浮选槽底部排出进入扫选1工段。</w:t>
      </w:r>
    </w:p>
    <w:p w14:paraId="12356A3B">
      <w:pPr>
        <w:ind w:firstLine="480"/>
        <w:rPr>
          <w:rFonts w:hint="eastAsia"/>
          <w:color w:val="auto"/>
          <w:highlight w:val="none"/>
          <w:lang w:val="en-US" w:eastAsia="zh-CN"/>
        </w:rPr>
      </w:pPr>
      <w:r>
        <w:rPr>
          <w:rFonts w:hint="eastAsia"/>
          <w:color w:val="auto"/>
          <w:highlight w:val="none"/>
          <w:lang w:val="en-US" w:eastAsia="zh-CN"/>
        </w:rPr>
        <w:t>（3）八精选</w:t>
      </w:r>
    </w:p>
    <w:p w14:paraId="11C388B6">
      <w:pPr>
        <w:ind w:firstLine="480"/>
        <w:rPr>
          <w:rFonts w:hint="eastAsia"/>
          <w:color w:val="auto"/>
          <w:highlight w:val="none"/>
          <w:lang w:val="en-US" w:eastAsia="zh-CN"/>
        </w:rPr>
      </w:pPr>
      <w:r>
        <w:rPr>
          <w:rFonts w:hint="eastAsia"/>
          <w:color w:val="auto"/>
          <w:highlight w:val="none"/>
          <w:lang w:val="en-US" w:eastAsia="zh-CN"/>
        </w:rPr>
        <w:t>粗选后精矿由精矿泵泵入精选1工段浮选机，在浮选机内不断搅拌充气，矿浆中的矿粒与气泡接触、碰撞，可浮性好的矿粒选择性的粘附于气泡并携带上升称为气-液-固三相组成的矿化泡沫层，经机械刮取或从矿浆面溢出进入精选2工段；不能浮选的脉石等矿物颗粒，随矿浆从浮选槽底部排出返回粗选工段。</w:t>
      </w:r>
    </w:p>
    <w:p w14:paraId="509B2BD6">
      <w:pPr>
        <w:ind w:firstLine="480"/>
        <w:rPr>
          <w:rFonts w:hint="eastAsia"/>
          <w:color w:val="auto"/>
          <w:highlight w:val="none"/>
          <w:lang w:val="en-US" w:eastAsia="zh-CN"/>
        </w:rPr>
      </w:pPr>
      <w:r>
        <w:rPr>
          <w:rFonts w:hint="eastAsia"/>
          <w:color w:val="auto"/>
          <w:highlight w:val="none"/>
          <w:lang w:val="en-US" w:eastAsia="zh-CN"/>
        </w:rPr>
        <w:t>其他精选工段精矿均进入下一个精选工段，浮选槽底部的矿浆均返回前一个精选工段，即精选2工段后精矿由精矿泵泵入精选3工段，浮选槽底部的矿浆均返回精选1工段；精选3工段后精矿由精矿泵泵入精选4工段，浮选槽底部的矿浆均返回精选2工段；精选4工段后精矿由精矿泵泵入精选5工段，浮选槽底部的矿浆均返回精选3工段；精选5工段后精矿由精矿泵泵入精选6工段，浮选槽底部的矿浆均返回精选4工段；精选6工段后精矿由精矿泵泵入精选7工段，浮选槽底部的矿浆均返回精选5工段；精选7工段后精矿由精矿泵泵入精选8工段，浮选槽底部的矿浆均返回精选6工段；精选8工段后精矿由精矿泵泵入泵入浓缩工序，浮选槽底部的矿浆均返回精选5工段。如此往复循环，形成闭路。</w:t>
      </w:r>
    </w:p>
    <w:p w14:paraId="4D0C867E">
      <w:pPr>
        <w:ind w:firstLine="480"/>
        <w:rPr>
          <w:rFonts w:hint="eastAsia"/>
          <w:color w:val="auto"/>
          <w:highlight w:val="none"/>
          <w:lang w:val="en-US" w:eastAsia="zh-CN"/>
        </w:rPr>
      </w:pPr>
      <w:r>
        <w:rPr>
          <w:rFonts w:hint="eastAsia"/>
          <w:color w:val="auto"/>
          <w:highlight w:val="none"/>
          <w:lang w:val="en-US" w:eastAsia="zh-CN"/>
        </w:rPr>
        <w:t>（4）三扫选</w:t>
      </w:r>
    </w:p>
    <w:p w14:paraId="505819CF">
      <w:pPr>
        <w:ind w:firstLine="480"/>
        <w:rPr>
          <w:rFonts w:hint="eastAsia"/>
          <w:color w:val="auto"/>
          <w:highlight w:val="none"/>
          <w:lang w:val="en-US" w:eastAsia="zh-CN"/>
        </w:rPr>
      </w:pPr>
      <w:r>
        <w:rPr>
          <w:rFonts w:hint="eastAsia"/>
          <w:color w:val="auto"/>
          <w:highlight w:val="none"/>
          <w:lang w:val="en-US" w:eastAsia="zh-CN"/>
        </w:rPr>
        <w:t>从粗选浮选槽底部排出的矿浆进入扫选1工段。在浮选机内不断搅拌充气，矿浆中的矿粒与气泡接触、碰撞，可浮性好的矿粒选择性的粘附于气泡并携带上升称为气-液-固三相组成的矿化泡沫层，经机械刮取或从矿浆面溢出进入扫选2工段；不能浮选的矿物颗粒，随矿浆从浮选槽底部排出返回粗选工段，扫选2工段后矿浆进入扫选3工段，不能浮选的矿物颗粒均返回扫选2工段，扫选3工段后，尾矿进入浓缩工序，不能浮选的矿物颗粒，随矿浆从浮选槽底部返回扫选1工段。如此往复循环，形成闭路。</w:t>
      </w:r>
    </w:p>
    <w:p w14:paraId="585E5E8B">
      <w:pPr>
        <w:ind w:firstLine="480"/>
        <w:rPr>
          <w:rFonts w:hint="eastAsia"/>
          <w:b/>
          <w:bCs/>
          <w:color w:val="auto"/>
          <w:highlight w:val="none"/>
          <w:lang w:val="en-US" w:eastAsia="zh-CN"/>
        </w:rPr>
      </w:pPr>
      <w:r>
        <w:rPr>
          <w:rFonts w:hint="eastAsia"/>
          <w:b/>
          <w:bCs/>
          <w:color w:val="auto"/>
          <w:highlight w:val="none"/>
          <w:lang w:val="en-US" w:eastAsia="zh-CN"/>
        </w:rPr>
        <w:t>产污环节：</w:t>
      </w:r>
    </w:p>
    <w:p w14:paraId="21FF1AB2">
      <w:pPr>
        <w:ind w:firstLine="480"/>
        <w:rPr>
          <w:rFonts w:hint="default"/>
          <w:b w:val="0"/>
          <w:bCs w:val="0"/>
          <w:color w:val="auto"/>
          <w:highlight w:val="none"/>
          <w:lang w:val="en-US" w:eastAsia="zh-CN"/>
        </w:rPr>
      </w:pPr>
      <w:r>
        <w:rPr>
          <w:rFonts w:hint="eastAsia"/>
          <w:b w:val="0"/>
          <w:bCs w:val="0"/>
          <w:color w:val="auto"/>
          <w:highlight w:val="none"/>
          <w:lang w:val="en-US" w:eastAsia="zh-CN"/>
        </w:rPr>
        <w:t>S3：设备维修更换下的废机油及废油桶，属于危险废物，临时暂存于危险废物暂存间内，再定期委托具有危险废物经营许可证单位处置。</w:t>
      </w:r>
    </w:p>
    <w:p w14:paraId="0367EF69">
      <w:pPr>
        <w:ind w:firstLine="480"/>
        <w:rPr>
          <w:rFonts w:hint="eastAsia"/>
          <w:color w:val="auto"/>
          <w:highlight w:val="none"/>
          <w:lang w:val="en-US" w:eastAsia="zh-CN"/>
        </w:rPr>
      </w:pPr>
      <w:r>
        <w:rPr>
          <w:rFonts w:hint="eastAsia"/>
          <w:color w:val="auto"/>
          <w:highlight w:val="none"/>
          <w:lang w:val="en-US" w:eastAsia="zh-CN"/>
        </w:rPr>
        <w:t>N：各个浮选机运行噪声。</w:t>
      </w:r>
    </w:p>
    <w:p w14:paraId="4AB12008">
      <w:pPr>
        <w:pStyle w:val="6"/>
        <w:rPr>
          <w:rFonts w:hint="eastAsia"/>
          <w:color w:val="auto"/>
          <w:highlight w:val="none"/>
          <w:lang w:val="en-US" w:eastAsia="zh-CN"/>
        </w:rPr>
      </w:pPr>
      <w:r>
        <w:rPr>
          <w:rFonts w:hint="eastAsia"/>
          <w:color w:val="auto"/>
          <w:highlight w:val="none"/>
          <w:lang w:val="en-US" w:eastAsia="zh-CN"/>
        </w:rPr>
        <w:t xml:space="preserve"> 浓缩、压滤</w:t>
      </w:r>
    </w:p>
    <w:p w14:paraId="3562590D">
      <w:pPr>
        <w:ind w:firstLine="480"/>
        <w:rPr>
          <w:rFonts w:hint="eastAsia"/>
          <w:color w:val="auto"/>
          <w:highlight w:val="none"/>
          <w:lang w:val="en-US" w:eastAsia="zh-CN"/>
        </w:rPr>
      </w:pPr>
      <w:r>
        <w:rPr>
          <w:rFonts w:hint="eastAsia"/>
          <w:color w:val="auto"/>
          <w:highlight w:val="none"/>
          <w:lang w:val="en-US" w:eastAsia="zh-CN"/>
        </w:rPr>
        <w:t>（1）精矿脱水压滤</w:t>
      </w:r>
    </w:p>
    <w:p w14:paraId="4437875F">
      <w:pPr>
        <w:ind w:firstLine="480"/>
        <w:rPr>
          <w:rFonts w:hint="eastAsia"/>
          <w:color w:val="auto"/>
          <w:highlight w:val="none"/>
          <w:lang w:val="en-US" w:eastAsia="zh-CN"/>
        </w:rPr>
      </w:pPr>
      <w:r>
        <w:rPr>
          <w:rFonts w:hint="eastAsia"/>
          <w:color w:val="auto"/>
          <w:highlight w:val="none"/>
          <w:lang w:val="en-US" w:eastAsia="zh-CN"/>
        </w:rPr>
        <w:t>精矿浆采用浓缩、过滤脱水，其中浓缩采用中心传动的浓缩机重力脱水，在精矿的浓缩过程，悬浮在矿浆中的颗粒由于自身重力的作用向下沉降，最终沉降到底部的矿粒在耙子刮板的挤压和刮拢作用下，使沉淀的矿粒进一步浓缩，然后由卸料口排出，溢流出的水流入蓄水池。浓缩后精矿含水率一般在40%-60%之间，经过浓缩后矿粒采用圆盘真空过滤机进一步脱水，经过滤后精矿的含水率一般在10%以下，精矿脱水后形成的精矿即为高品位萤石精矿，送成品库储存待售；过滤水回用于生产工序。</w:t>
      </w:r>
    </w:p>
    <w:p w14:paraId="37037338">
      <w:pPr>
        <w:ind w:firstLine="480"/>
        <w:rPr>
          <w:rFonts w:hint="eastAsia"/>
          <w:b/>
          <w:bCs/>
          <w:color w:val="auto"/>
          <w:highlight w:val="none"/>
          <w:lang w:val="en-US" w:eastAsia="zh-CN"/>
        </w:rPr>
      </w:pPr>
      <w:r>
        <w:rPr>
          <w:rFonts w:hint="eastAsia"/>
          <w:b/>
          <w:bCs/>
          <w:color w:val="auto"/>
          <w:highlight w:val="none"/>
          <w:lang w:val="en-US" w:eastAsia="zh-CN"/>
        </w:rPr>
        <w:t>产污环节：</w:t>
      </w:r>
    </w:p>
    <w:p w14:paraId="648F26BB">
      <w:pPr>
        <w:ind w:firstLine="480"/>
        <w:rPr>
          <w:rFonts w:hint="eastAsia"/>
          <w:color w:val="auto"/>
          <w:highlight w:val="none"/>
          <w:lang w:val="en-US" w:eastAsia="zh-CN"/>
        </w:rPr>
      </w:pPr>
      <w:r>
        <w:rPr>
          <w:rFonts w:hint="eastAsia"/>
          <w:color w:val="auto"/>
          <w:highlight w:val="none"/>
          <w:lang w:val="en-US" w:eastAsia="zh-CN"/>
        </w:rPr>
        <w:t>G4：精矿粉堆存产生粉尘，压滤后精矿粉自带水分，精矿堆存库采取封闭措施后，粉尘产生量极少；</w:t>
      </w:r>
    </w:p>
    <w:p w14:paraId="745BA3CB">
      <w:pPr>
        <w:ind w:firstLine="480"/>
        <w:rPr>
          <w:rFonts w:hint="eastAsia"/>
          <w:color w:val="auto"/>
          <w:highlight w:val="none"/>
          <w:lang w:val="en-US" w:eastAsia="zh-CN"/>
        </w:rPr>
      </w:pPr>
      <w:r>
        <w:rPr>
          <w:rFonts w:hint="eastAsia"/>
          <w:color w:val="auto"/>
          <w:highlight w:val="none"/>
          <w:lang w:val="en-US" w:eastAsia="zh-CN"/>
        </w:rPr>
        <w:t>W1、W2：精矿浓缩溢流水和压滤水，流入循环水池回用于选矿生产循环利用，不外排。</w:t>
      </w:r>
    </w:p>
    <w:p w14:paraId="7E3EF84C">
      <w:pPr>
        <w:ind w:firstLine="480"/>
        <w:rPr>
          <w:rFonts w:hint="eastAsia"/>
          <w:color w:val="auto"/>
          <w:highlight w:val="none"/>
          <w:lang w:val="en-US" w:eastAsia="zh-CN"/>
        </w:rPr>
      </w:pPr>
      <w:r>
        <w:rPr>
          <w:rFonts w:hint="eastAsia"/>
          <w:color w:val="auto"/>
          <w:highlight w:val="none"/>
          <w:lang w:val="en-US" w:eastAsia="zh-CN"/>
        </w:rPr>
        <w:t>N：浓缩机、盘式过滤机等运转噪声，采取基础减振和厂房隔声措施；</w:t>
      </w:r>
    </w:p>
    <w:p w14:paraId="4B187EEF">
      <w:pPr>
        <w:ind w:firstLine="480"/>
        <w:rPr>
          <w:rFonts w:hint="eastAsia"/>
          <w:color w:val="auto"/>
          <w:highlight w:val="none"/>
          <w:lang w:val="en-US" w:eastAsia="zh-CN"/>
        </w:rPr>
      </w:pPr>
      <w:r>
        <w:rPr>
          <w:rFonts w:hint="eastAsia"/>
          <w:color w:val="auto"/>
          <w:highlight w:val="none"/>
          <w:lang w:val="en-US" w:eastAsia="zh-CN"/>
        </w:rPr>
        <w:t>（2）尾矿脱水压滤</w:t>
      </w:r>
    </w:p>
    <w:p w14:paraId="5CA9876E">
      <w:pPr>
        <w:ind w:firstLine="480"/>
        <w:rPr>
          <w:rFonts w:hint="eastAsia"/>
          <w:color w:val="auto"/>
          <w:highlight w:val="none"/>
          <w:lang w:val="en-US" w:eastAsia="zh-CN"/>
        </w:rPr>
      </w:pPr>
      <w:r>
        <w:rPr>
          <w:rFonts w:hint="eastAsia"/>
          <w:color w:val="auto"/>
          <w:highlight w:val="none"/>
          <w:lang w:val="en-US" w:eastAsia="zh-CN"/>
        </w:rPr>
        <w:t>扫选尾矿采用浓缩压滤脱水，其中浓缩采用中心传动的浓缩机重力脱水，在精矿的浓缩过程，悬浮在矿浆中的颗粒由于自身重力的作用向下沉降，最终沉降到底部的矿粒在耙子刮板的挤压和刮拢作用下，使沉淀的矿粒进一步浓缩，然后由卸料口排出，溢流出的水流入回水池。浓缩后的尾矿给入尾矿压滤机进行压滤，压滤后得到尾矿。尾矿最终产品水分小于25%。送入尾矿砂临时贮存库，定期外运。</w:t>
      </w:r>
    </w:p>
    <w:p w14:paraId="05586C39">
      <w:pPr>
        <w:ind w:firstLine="480"/>
        <w:rPr>
          <w:rFonts w:hint="eastAsia"/>
          <w:b/>
          <w:bCs/>
          <w:color w:val="auto"/>
          <w:highlight w:val="none"/>
          <w:lang w:val="en-US" w:eastAsia="zh-CN"/>
        </w:rPr>
      </w:pPr>
      <w:r>
        <w:rPr>
          <w:rFonts w:hint="eastAsia"/>
          <w:b/>
          <w:bCs/>
          <w:color w:val="auto"/>
          <w:highlight w:val="none"/>
          <w:lang w:val="en-US" w:eastAsia="zh-CN"/>
        </w:rPr>
        <w:t>产污环节：</w:t>
      </w:r>
    </w:p>
    <w:p w14:paraId="158BA21B">
      <w:pPr>
        <w:ind w:firstLine="480"/>
        <w:rPr>
          <w:rFonts w:hint="eastAsia"/>
          <w:color w:val="auto"/>
          <w:highlight w:val="none"/>
          <w:lang w:val="en-US" w:eastAsia="zh-CN"/>
        </w:rPr>
      </w:pPr>
      <w:r>
        <w:rPr>
          <w:rFonts w:hint="eastAsia"/>
          <w:color w:val="auto"/>
          <w:highlight w:val="none"/>
          <w:lang w:val="en-US" w:eastAsia="zh-CN"/>
        </w:rPr>
        <w:t>G5：尾矿砂堆存产生粉尘，压滤后尾矿砂自带水分，精矿堆存库采取封闭措施后，粉尘产生量极少；</w:t>
      </w:r>
    </w:p>
    <w:p w14:paraId="5DEE2DB2">
      <w:pPr>
        <w:ind w:firstLine="480"/>
        <w:rPr>
          <w:rFonts w:hint="eastAsia"/>
          <w:color w:val="auto"/>
          <w:highlight w:val="none"/>
          <w:lang w:val="en-US" w:eastAsia="zh-CN"/>
        </w:rPr>
      </w:pPr>
      <w:r>
        <w:rPr>
          <w:rFonts w:hint="eastAsia"/>
          <w:b w:val="0"/>
          <w:bCs w:val="0"/>
          <w:color w:val="auto"/>
          <w:highlight w:val="none"/>
          <w:lang w:val="en-US" w:eastAsia="zh-CN"/>
        </w:rPr>
        <w:t>W3、W4：尾矿</w:t>
      </w:r>
      <w:r>
        <w:rPr>
          <w:rFonts w:hint="eastAsia"/>
          <w:color w:val="auto"/>
          <w:highlight w:val="none"/>
          <w:lang w:val="en-US" w:eastAsia="zh-CN"/>
        </w:rPr>
        <w:t>浓缩溢流水、尾矿压滤水流入循环水池回用于选矿生产循环利用，不外排。</w:t>
      </w:r>
    </w:p>
    <w:p w14:paraId="5C90FFB9">
      <w:pPr>
        <w:ind w:firstLine="480"/>
        <w:rPr>
          <w:rFonts w:hint="eastAsia"/>
          <w:color w:val="auto"/>
          <w:highlight w:val="none"/>
          <w:lang w:val="en-US" w:eastAsia="zh-CN"/>
        </w:rPr>
      </w:pPr>
      <w:r>
        <w:rPr>
          <w:rFonts w:hint="eastAsia"/>
          <w:color w:val="auto"/>
          <w:highlight w:val="none"/>
          <w:lang w:val="en-US" w:eastAsia="zh-CN"/>
        </w:rPr>
        <w:t>S4：尾矿砂，暂存于尾矿砂贮存库后，供给</w:t>
      </w:r>
      <w:r>
        <w:rPr>
          <w:rFonts w:hint="eastAsia"/>
          <w:color w:val="auto"/>
          <w:highlight w:val="yellow"/>
          <w:lang w:val="en-US" w:eastAsia="zh-CN"/>
        </w:rPr>
        <w:t>河北围场满族蒙古族自治县联玉墙体材料厂和隆化县皓诚新型节能砖厂</w:t>
      </w:r>
      <w:r>
        <w:rPr>
          <w:rFonts w:hint="eastAsia"/>
          <w:color w:val="auto"/>
          <w:highlight w:val="none"/>
          <w:lang w:val="en-US" w:eastAsia="zh-CN"/>
        </w:rPr>
        <w:t>作制砖原材料，全部资源化综合利用。</w:t>
      </w:r>
    </w:p>
    <w:p w14:paraId="06F65A8E">
      <w:pPr>
        <w:ind w:firstLine="480"/>
        <w:rPr>
          <w:rFonts w:hint="eastAsia"/>
          <w:color w:val="auto"/>
          <w:highlight w:val="none"/>
          <w:lang w:val="en-US" w:eastAsia="zh-CN"/>
        </w:rPr>
      </w:pPr>
      <w:r>
        <w:rPr>
          <w:rFonts w:hint="eastAsia"/>
          <w:color w:val="auto"/>
          <w:highlight w:val="none"/>
          <w:lang w:val="en-US" w:eastAsia="zh-CN"/>
        </w:rPr>
        <w:t>N：浓缩机、压滤机运转噪声，采取基础减振和厂房隔声措施；</w:t>
      </w:r>
    </w:p>
    <w:p w14:paraId="039181B5">
      <w:pPr>
        <w:ind w:firstLine="480"/>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lang w:val="en-US" w:eastAsia="zh-CN"/>
        </w:rPr>
        <w:t>生产工艺</w:t>
      </w:r>
      <w:r>
        <w:rPr>
          <w:rFonts w:hint="eastAsia"/>
          <w:color w:val="auto"/>
          <w:highlight w:val="none"/>
          <w:lang w:val="en-US" w:eastAsia="zh-CN"/>
        </w:rPr>
        <w:t>流程</w:t>
      </w:r>
      <w:r>
        <w:rPr>
          <w:rFonts w:hint="default"/>
          <w:color w:val="auto"/>
          <w:highlight w:val="none"/>
          <w:lang w:val="en-US" w:eastAsia="zh-CN"/>
        </w:rPr>
        <w:t>及</w:t>
      </w:r>
      <w:r>
        <w:rPr>
          <w:rFonts w:hint="eastAsia"/>
          <w:color w:val="auto"/>
          <w:highlight w:val="none"/>
          <w:lang w:val="en-US" w:eastAsia="zh-CN"/>
        </w:rPr>
        <w:t>产</w:t>
      </w:r>
      <w:r>
        <w:rPr>
          <w:rFonts w:hint="default"/>
          <w:color w:val="auto"/>
          <w:highlight w:val="none"/>
          <w:lang w:val="en-US" w:eastAsia="zh-CN"/>
        </w:rPr>
        <w:t>排污</w:t>
      </w:r>
      <w:r>
        <w:rPr>
          <w:rFonts w:hint="eastAsia"/>
          <w:color w:val="auto"/>
          <w:highlight w:val="none"/>
          <w:lang w:val="en-US" w:eastAsia="zh-CN"/>
        </w:rPr>
        <w:t>环节</w:t>
      </w:r>
      <w:r>
        <w:rPr>
          <w:rFonts w:hint="default"/>
          <w:color w:val="auto"/>
          <w:highlight w:val="none"/>
          <w:lang w:val="en-US" w:eastAsia="zh-CN"/>
        </w:rPr>
        <w:t>见</w:t>
      </w:r>
      <w:r>
        <w:rPr>
          <w:rFonts w:hint="eastAsia"/>
          <w:color w:val="auto"/>
          <w:highlight w:val="none"/>
          <w:lang w:val="en-US" w:eastAsia="zh-CN"/>
        </w:rPr>
        <w:t>表3.11-2</w:t>
      </w:r>
      <w:r>
        <w:rPr>
          <w:rFonts w:hint="default"/>
          <w:color w:val="auto"/>
          <w:highlight w:val="none"/>
          <w:lang w:val="en-US" w:eastAsia="zh-CN"/>
        </w:rPr>
        <w:t>图</w:t>
      </w:r>
      <w:r>
        <w:rPr>
          <w:rFonts w:hint="eastAsia"/>
          <w:color w:val="auto"/>
          <w:highlight w:val="none"/>
          <w:lang w:val="en-US" w:eastAsia="zh-CN"/>
        </w:rPr>
        <w:t>3.11-2</w:t>
      </w:r>
      <w:r>
        <w:rPr>
          <w:rFonts w:hint="default"/>
          <w:color w:val="auto"/>
          <w:highlight w:val="none"/>
          <w:lang w:val="en-US" w:eastAsia="zh-CN"/>
        </w:rPr>
        <w:t>。</w:t>
      </w:r>
    </w:p>
    <w:p w14:paraId="1E005D41">
      <w:pPr>
        <w:pStyle w:val="199"/>
        <w:spacing w:before="120"/>
        <w:ind w:firstLine="420" w:firstLineChars="0"/>
        <w:rPr>
          <w:rFonts w:hint="eastAsia"/>
          <w:color w:val="auto"/>
          <w:sz w:val="24"/>
          <w:highlight w:val="none"/>
          <w:lang w:val="en-US" w:eastAsia="zh-CN"/>
        </w:rPr>
      </w:pPr>
    </w:p>
    <w:p w14:paraId="2AF909DF">
      <w:pPr>
        <w:pStyle w:val="199"/>
        <w:spacing w:before="120"/>
        <w:ind w:firstLine="420" w:firstLineChars="0"/>
        <w:rPr>
          <w:rFonts w:hint="eastAsia"/>
          <w:color w:val="auto"/>
          <w:sz w:val="24"/>
          <w:highlight w:val="none"/>
          <w:lang w:val="en-US" w:eastAsia="zh-CN"/>
        </w:rPr>
      </w:pPr>
    </w:p>
    <w:p w14:paraId="6AD6F7E3">
      <w:pPr>
        <w:pStyle w:val="199"/>
        <w:spacing w:before="120"/>
        <w:ind w:firstLine="420" w:firstLineChars="0"/>
        <w:rPr>
          <w:rFonts w:hint="eastAsia"/>
          <w:color w:val="auto"/>
          <w:sz w:val="24"/>
          <w:highlight w:val="none"/>
          <w:lang w:val="en-US" w:eastAsia="zh-CN"/>
        </w:rPr>
      </w:pPr>
    </w:p>
    <w:p w14:paraId="2F37A3E6">
      <w:pPr>
        <w:pStyle w:val="199"/>
        <w:spacing w:before="120"/>
        <w:ind w:firstLine="420" w:firstLineChars="0"/>
        <w:rPr>
          <w:rFonts w:hint="eastAsia"/>
          <w:color w:val="auto"/>
          <w:sz w:val="24"/>
          <w:highlight w:val="none"/>
          <w:lang w:val="en-US" w:eastAsia="zh-CN"/>
        </w:rPr>
      </w:pPr>
    </w:p>
    <w:p w14:paraId="4CAD160E">
      <w:pPr>
        <w:pStyle w:val="199"/>
        <w:spacing w:before="120"/>
        <w:ind w:firstLine="420" w:firstLineChars="0"/>
        <w:rPr>
          <w:rFonts w:hint="eastAsia"/>
          <w:color w:val="auto"/>
          <w:sz w:val="24"/>
          <w:highlight w:val="none"/>
          <w:lang w:val="en-US" w:eastAsia="zh-CN"/>
        </w:rPr>
      </w:pPr>
    </w:p>
    <w:p w14:paraId="514C600C">
      <w:pPr>
        <w:pStyle w:val="199"/>
        <w:spacing w:before="120"/>
        <w:ind w:firstLine="420" w:firstLineChars="0"/>
        <w:rPr>
          <w:rFonts w:hint="eastAsia"/>
          <w:color w:val="auto"/>
          <w:sz w:val="24"/>
          <w:highlight w:val="none"/>
          <w:lang w:val="en-US" w:eastAsia="zh-CN"/>
        </w:rPr>
      </w:pPr>
      <w:r>
        <w:rPr>
          <w:rFonts w:hint="eastAsia"/>
          <w:color w:val="auto"/>
          <w:sz w:val="24"/>
          <w:highlight w:val="none"/>
          <w:lang w:val="en-US" w:eastAsia="zh-CN"/>
        </w:rPr>
        <w:t>表3.11-2   本项目排污节点一览表</w:t>
      </w:r>
    </w:p>
    <w:tbl>
      <w:tblPr>
        <w:tblStyle w:val="29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58"/>
        <w:gridCol w:w="988"/>
        <w:gridCol w:w="1445"/>
        <w:gridCol w:w="927"/>
        <w:gridCol w:w="3788"/>
        <w:gridCol w:w="694"/>
      </w:tblGrid>
      <w:tr w14:paraId="5011C8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tcBorders>
              <w:tl2br w:val="nil"/>
              <w:tr2bl w:val="nil"/>
            </w:tcBorders>
            <w:noWrap w:val="0"/>
            <w:textDirection w:val="tbRlV"/>
            <w:vAlign w:val="center"/>
          </w:tcPr>
          <w:p w14:paraId="7876321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类别</w:t>
            </w:r>
          </w:p>
        </w:tc>
        <w:tc>
          <w:tcPr>
            <w:tcW w:w="595" w:type="pct"/>
            <w:tcBorders>
              <w:tl2br w:val="nil"/>
              <w:tr2bl w:val="nil"/>
            </w:tcBorders>
            <w:noWrap w:val="0"/>
            <w:vAlign w:val="center"/>
          </w:tcPr>
          <w:p w14:paraId="22A7EA4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排污</w:t>
            </w:r>
          </w:p>
          <w:p w14:paraId="0371B26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节点</w:t>
            </w:r>
          </w:p>
        </w:tc>
        <w:tc>
          <w:tcPr>
            <w:tcW w:w="870" w:type="pct"/>
            <w:tcBorders>
              <w:tl2br w:val="nil"/>
              <w:tr2bl w:val="nil"/>
            </w:tcBorders>
            <w:noWrap w:val="0"/>
            <w:vAlign w:val="center"/>
          </w:tcPr>
          <w:p w14:paraId="6A71DFF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污染</w:t>
            </w:r>
          </w:p>
          <w:p w14:paraId="021661D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工序</w:t>
            </w:r>
          </w:p>
        </w:tc>
        <w:tc>
          <w:tcPr>
            <w:tcW w:w="558" w:type="pct"/>
            <w:tcBorders>
              <w:tl2br w:val="nil"/>
              <w:tr2bl w:val="nil"/>
            </w:tcBorders>
            <w:noWrap w:val="0"/>
            <w:vAlign w:val="center"/>
          </w:tcPr>
          <w:p w14:paraId="30D9A25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污染</w:t>
            </w:r>
          </w:p>
          <w:p w14:paraId="2C53219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因子</w:t>
            </w:r>
          </w:p>
        </w:tc>
        <w:tc>
          <w:tcPr>
            <w:tcW w:w="2281" w:type="pct"/>
            <w:tcBorders>
              <w:tl2br w:val="nil"/>
              <w:tr2bl w:val="nil"/>
            </w:tcBorders>
            <w:noWrap w:val="0"/>
            <w:vAlign w:val="center"/>
          </w:tcPr>
          <w:p w14:paraId="3C121D4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措施及去向</w:t>
            </w:r>
          </w:p>
        </w:tc>
        <w:tc>
          <w:tcPr>
            <w:tcW w:w="418" w:type="pct"/>
            <w:tcBorders>
              <w:tl2br w:val="nil"/>
              <w:tr2bl w:val="nil"/>
            </w:tcBorders>
            <w:noWrap w:val="0"/>
            <w:vAlign w:val="center"/>
          </w:tcPr>
          <w:p w14:paraId="53D634E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排放</w:t>
            </w:r>
          </w:p>
          <w:p w14:paraId="6AE0A6B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方式</w:t>
            </w:r>
          </w:p>
        </w:tc>
      </w:tr>
      <w:tr w14:paraId="5F4652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restart"/>
            <w:tcBorders>
              <w:tl2br w:val="nil"/>
              <w:tr2bl w:val="nil"/>
            </w:tcBorders>
            <w:noWrap w:val="0"/>
            <w:textDirection w:val="tbRlV"/>
            <w:vAlign w:val="center"/>
          </w:tcPr>
          <w:p w14:paraId="4D2EB55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废气</w:t>
            </w:r>
          </w:p>
        </w:tc>
        <w:tc>
          <w:tcPr>
            <w:tcW w:w="595" w:type="pct"/>
            <w:tcBorders>
              <w:tl2br w:val="nil"/>
              <w:tr2bl w:val="nil"/>
            </w:tcBorders>
            <w:noWrap w:val="0"/>
            <w:vAlign w:val="center"/>
          </w:tcPr>
          <w:p w14:paraId="1AAB130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G1</w:t>
            </w:r>
          </w:p>
        </w:tc>
        <w:tc>
          <w:tcPr>
            <w:tcW w:w="870" w:type="pct"/>
            <w:tcBorders>
              <w:tl2br w:val="nil"/>
              <w:tr2bl w:val="nil"/>
            </w:tcBorders>
            <w:noWrap w:val="0"/>
            <w:vAlign w:val="center"/>
          </w:tcPr>
          <w:p w14:paraId="37009CC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原料运输扬尘</w:t>
            </w:r>
          </w:p>
        </w:tc>
        <w:tc>
          <w:tcPr>
            <w:tcW w:w="558" w:type="pct"/>
            <w:tcBorders>
              <w:tl2br w:val="nil"/>
              <w:tr2bl w:val="nil"/>
            </w:tcBorders>
            <w:noWrap w:val="0"/>
            <w:vAlign w:val="center"/>
          </w:tcPr>
          <w:p w14:paraId="4436EB5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颗粒物</w:t>
            </w:r>
          </w:p>
        </w:tc>
        <w:tc>
          <w:tcPr>
            <w:tcW w:w="2281" w:type="pct"/>
            <w:tcBorders>
              <w:tl2br w:val="nil"/>
              <w:tr2bl w:val="nil"/>
            </w:tcBorders>
            <w:noWrap w:val="0"/>
            <w:vAlign w:val="center"/>
          </w:tcPr>
          <w:p w14:paraId="69C919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道路洒水抑尘，运输车辆加盖苫布、车辆减速慢行等措施。</w:t>
            </w:r>
          </w:p>
        </w:tc>
        <w:tc>
          <w:tcPr>
            <w:tcW w:w="418" w:type="pct"/>
            <w:tcBorders>
              <w:tl2br w:val="nil"/>
              <w:tr2bl w:val="nil"/>
            </w:tcBorders>
            <w:noWrap w:val="0"/>
            <w:vAlign w:val="center"/>
          </w:tcPr>
          <w:p w14:paraId="27FB39D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w:t>
            </w:r>
          </w:p>
        </w:tc>
      </w:tr>
      <w:tr w14:paraId="4FE1FC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21284D7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20EF14F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G2</w:t>
            </w:r>
          </w:p>
        </w:tc>
        <w:tc>
          <w:tcPr>
            <w:tcW w:w="870" w:type="pct"/>
            <w:tcBorders>
              <w:tl2br w:val="nil"/>
              <w:tr2bl w:val="nil"/>
            </w:tcBorders>
            <w:noWrap w:val="0"/>
            <w:vAlign w:val="center"/>
          </w:tcPr>
          <w:p w14:paraId="1E687E0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原矿堆存及卸料粉尘</w:t>
            </w:r>
          </w:p>
        </w:tc>
        <w:tc>
          <w:tcPr>
            <w:tcW w:w="558" w:type="pct"/>
            <w:tcBorders>
              <w:tl2br w:val="nil"/>
              <w:tr2bl w:val="nil"/>
            </w:tcBorders>
            <w:noWrap w:val="0"/>
            <w:vAlign w:val="center"/>
          </w:tcPr>
          <w:p w14:paraId="5D84159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颗粒物</w:t>
            </w:r>
          </w:p>
        </w:tc>
        <w:tc>
          <w:tcPr>
            <w:tcW w:w="2281" w:type="pct"/>
            <w:tcBorders>
              <w:tl2br w:val="nil"/>
              <w:tr2bl w:val="nil"/>
            </w:tcBorders>
            <w:noWrap w:val="0"/>
            <w:vAlign w:val="center"/>
          </w:tcPr>
          <w:p w14:paraId="50A75DE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设置全封闭贮存库，卸料过程降低卸料高度，采取洒水抑尘措施。</w:t>
            </w:r>
          </w:p>
        </w:tc>
        <w:tc>
          <w:tcPr>
            <w:tcW w:w="418" w:type="pct"/>
            <w:tcBorders>
              <w:tl2br w:val="nil"/>
              <w:tr2bl w:val="nil"/>
            </w:tcBorders>
            <w:noWrap w:val="0"/>
            <w:vAlign w:val="center"/>
          </w:tcPr>
          <w:p w14:paraId="7248865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无组织</w:t>
            </w:r>
          </w:p>
        </w:tc>
      </w:tr>
      <w:tr w14:paraId="700F00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3911D2F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1653DC4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G3-1</w:t>
            </w:r>
          </w:p>
        </w:tc>
        <w:tc>
          <w:tcPr>
            <w:tcW w:w="870" w:type="pct"/>
            <w:tcBorders>
              <w:tl2br w:val="nil"/>
              <w:tr2bl w:val="nil"/>
            </w:tcBorders>
            <w:noWrap w:val="0"/>
            <w:vAlign w:val="center"/>
          </w:tcPr>
          <w:p w14:paraId="63381F3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上料口、粗破粉尘、皮带落料点粉尘</w:t>
            </w:r>
          </w:p>
        </w:tc>
        <w:tc>
          <w:tcPr>
            <w:tcW w:w="558" w:type="pct"/>
            <w:tcBorders>
              <w:tl2br w:val="nil"/>
              <w:tr2bl w:val="nil"/>
            </w:tcBorders>
            <w:noWrap w:val="0"/>
            <w:vAlign w:val="center"/>
          </w:tcPr>
          <w:p w14:paraId="0C7DC97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颗粒物</w:t>
            </w:r>
          </w:p>
        </w:tc>
        <w:tc>
          <w:tcPr>
            <w:tcW w:w="2281" w:type="pct"/>
            <w:tcBorders>
              <w:tl2br w:val="nil"/>
              <w:tr2bl w:val="nil"/>
            </w:tcBorders>
            <w:noWrap w:val="0"/>
            <w:vAlign w:val="center"/>
          </w:tcPr>
          <w:p w14:paraId="3587951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给料机上料口设水喷淋装置，粗破落料口设</w:t>
            </w:r>
            <w:r>
              <w:rPr>
                <w:rFonts w:hint="eastAsia"/>
                <w:b w:val="0"/>
                <w:bCs w:val="0"/>
                <w:color w:val="auto"/>
                <w:kern w:val="0"/>
                <w:sz w:val="21"/>
                <w:szCs w:val="21"/>
                <w:highlight w:val="none"/>
                <w:lang w:val="en-US" w:eastAsia="zh-CN"/>
              </w:rPr>
              <w:t>1套</w:t>
            </w:r>
            <w:r>
              <w:rPr>
                <w:rFonts w:hint="eastAsia"/>
                <w:b w:val="0"/>
                <w:bCs w:val="0"/>
                <w:color w:val="auto"/>
                <w:highlight w:val="none"/>
                <w:lang w:val="en-US" w:eastAsia="zh-CN"/>
              </w:rPr>
              <w:t>1.2m×1.5m</w:t>
            </w:r>
            <w:r>
              <w:rPr>
                <w:rFonts w:hint="eastAsia"/>
                <w:b w:val="0"/>
                <w:color w:val="auto"/>
                <w:kern w:val="0"/>
                <w:sz w:val="21"/>
                <w:szCs w:val="21"/>
                <w:highlight w:val="none"/>
                <w:lang w:val="en-US" w:eastAsia="zh-CN"/>
              </w:rPr>
              <w:t>集气罩，合并为有组织粉尘经布袋除尘器处理后，通过15m高DA001排气筒排放。</w:t>
            </w:r>
          </w:p>
        </w:tc>
        <w:tc>
          <w:tcPr>
            <w:tcW w:w="418" w:type="pct"/>
            <w:vMerge w:val="restart"/>
            <w:tcBorders>
              <w:tl2br w:val="nil"/>
              <w:tr2bl w:val="nil"/>
            </w:tcBorders>
            <w:noWrap w:val="0"/>
            <w:vAlign w:val="center"/>
          </w:tcPr>
          <w:p w14:paraId="24973AC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有组织</w:t>
            </w:r>
          </w:p>
        </w:tc>
      </w:tr>
      <w:tr w14:paraId="295B92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4772181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0A837B2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G3-2</w:t>
            </w:r>
          </w:p>
        </w:tc>
        <w:tc>
          <w:tcPr>
            <w:tcW w:w="870" w:type="pct"/>
            <w:tcBorders>
              <w:tl2br w:val="nil"/>
              <w:tr2bl w:val="nil"/>
            </w:tcBorders>
            <w:noWrap w:val="0"/>
            <w:vAlign w:val="center"/>
          </w:tcPr>
          <w:p w14:paraId="7E5901D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细破粉尘、皮带落料点粉尘</w:t>
            </w:r>
          </w:p>
        </w:tc>
        <w:tc>
          <w:tcPr>
            <w:tcW w:w="558" w:type="pct"/>
            <w:tcBorders>
              <w:tl2br w:val="nil"/>
              <w:tr2bl w:val="nil"/>
            </w:tcBorders>
            <w:noWrap w:val="0"/>
            <w:vAlign w:val="center"/>
          </w:tcPr>
          <w:p w14:paraId="20457E0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颗粒物</w:t>
            </w:r>
          </w:p>
        </w:tc>
        <w:tc>
          <w:tcPr>
            <w:tcW w:w="2281" w:type="pct"/>
            <w:tcBorders>
              <w:tl2br w:val="nil"/>
              <w:tr2bl w:val="nil"/>
            </w:tcBorders>
            <w:noWrap w:val="0"/>
            <w:vAlign w:val="center"/>
          </w:tcPr>
          <w:p w14:paraId="4114CB3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细破落料口设</w:t>
            </w:r>
            <w:r>
              <w:rPr>
                <w:rFonts w:hint="eastAsia"/>
                <w:b w:val="0"/>
                <w:bCs w:val="0"/>
                <w:color w:val="auto"/>
                <w:kern w:val="0"/>
                <w:sz w:val="21"/>
                <w:szCs w:val="21"/>
                <w:highlight w:val="none"/>
                <w:lang w:val="en-US" w:eastAsia="zh-CN"/>
              </w:rPr>
              <w:t>2套</w:t>
            </w:r>
            <w:r>
              <w:rPr>
                <w:rFonts w:hint="eastAsia"/>
                <w:b w:val="0"/>
                <w:bCs w:val="0"/>
                <w:color w:val="auto"/>
                <w:highlight w:val="none"/>
                <w:lang w:val="en-US" w:eastAsia="zh-CN"/>
              </w:rPr>
              <w:t>1.2m×1.5m</w:t>
            </w:r>
            <w:r>
              <w:rPr>
                <w:rFonts w:hint="eastAsia"/>
                <w:b w:val="0"/>
                <w:color w:val="auto"/>
                <w:kern w:val="0"/>
                <w:sz w:val="21"/>
                <w:szCs w:val="21"/>
                <w:highlight w:val="none"/>
                <w:lang w:val="en-US" w:eastAsia="zh-CN"/>
              </w:rPr>
              <w:t>集气罩，合并为有组织粉尘经布袋除尘器处理后，通过15m高DA001排气筒排放。</w:t>
            </w:r>
          </w:p>
        </w:tc>
        <w:tc>
          <w:tcPr>
            <w:tcW w:w="418" w:type="pct"/>
            <w:vMerge w:val="continue"/>
            <w:tcBorders>
              <w:tl2br w:val="nil"/>
              <w:tr2bl w:val="nil"/>
            </w:tcBorders>
            <w:noWrap w:val="0"/>
            <w:vAlign w:val="center"/>
          </w:tcPr>
          <w:p w14:paraId="2739588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50F814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17F5704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549BC03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G3-3</w:t>
            </w:r>
          </w:p>
        </w:tc>
        <w:tc>
          <w:tcPr>
            <w:tcW w:w="870" w:type="pct"/>
            <w:tcBorders>
              <w:tl2br w:val="nil"/>
              <w:tr2bl w:val="nil"/>
            </w:tcBorders>
            <w:noWrap w:val="0"/>
            <w:vAlign w:val="center"/>
          </w:tcPr>
          <w:p w14:paraId="625EC2E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筛分粉尘、皮带落料点粉尘</w:t>
            </w:r>
          </w:p>
        </w:tc>
        <w:tc>
          <w:tcPr>
            <w:tcW w:w="558" w:type="pct"/>
            <w:tcBorders>
              <w:tl2br w:val="nil"/>
              <w:tr2bl w:val="nil"/>
            </w:tcBorders>
            <w:noWrap w:val="0"/>
            <w:vAlign w:val="center"/>
          </w:tcPr>
          <w:p w14:paraId="33FA6F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颗粒物</w:t>
            </w:r>
          </w:p>
        </w:tc>
        <w:tc>
          <w:tcPr>
            <w:tcW w:w="2281" w:type="pct"/>
            <w:tcBorders>
              <w:tl2br w:val="nil"/>
              <w:tr2bl w:val="nil"/>
            </w:tcBorders>
            <w:noWrap w:val="0"/>
            <w:vAlign w:val="center"/>
          </w:tcPr>
          <w:p w14:paraId="7992572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筛分落料口设</w:t>
            </w:r>
            <w:r>
              <w:rPr>
                <w:rFonts w:hint="eastAsia"/>
                <w:b w:val="0"/>
                <w:bCs w:val="0"/>
                <w:color w:val="auto"/>
                <w:kern w:val="0"/>
                <w:sz w:val="21"/>
                <w:szCs w:val="21"/>
                <w:highlight w:val="none"/>
                <w:lang w:val="en-US" w:eastAsia="zh-CN"/>
              </w:rPr>
              <w:t>1套</w:t>
            </w:r>
            <w:r>
              <w:rPr>
                <w:rFonts w:hint="eastAsia"/>
                <w:b w:val="0"/>
                <w:bCs w:val="0"/>
                <w:color w:val="auto"/>
                <w:highlight w:val="none"/>
                <w:lang w:val="en-US" w:eastAsia="zh-CN"/>
              </w:rPr>
              <w:t>1.1m×1.2m</w:t>
            </w:r>
            <w:r>
              <w:rPr>
                <w:rFonts w:hint="eastAsia"/>
                <w:b w:val="0"/>
                <w:color w:val="auto"/>
                <w:kern w:val="0"/>
                <w:sz w:val="21"/>
                <w:szCs w:val="21"/>
                <w:highlight w:val="none"/>
                <w:lang w:val="en-US" w:eastAsia="zh-CN"/>
              </w:rPr>
              <w:t>集气罩，合并为有组织粉尘经布袋除尘器处理后，通过15m高DA001排气筒排放。</w:t>
            </w:r>
          </w:p>
        </w:tc>
        <w:tc>
          <w:tcPr>
            <w:tcW w:w="418" w:type="pct"/>
            <w:vMerge w:val="continue"/>
            <w:tcBorders>
              <w:tl2br w:val="nil"/>
              <w:tr2bl w:val="nil"/>
            </w:tcBorders>
            <w:noWrap w:val="0"/>
            <w:vAlign w:val="center"/>
          </w:tcPr>
          <w:p w14:paraId="68BE09D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32B014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2ED26F9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2C49C0F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G3</w:t>
            </w:r>
          </w:p>
        </w:tc>
        <w:tc>
          <w:tcPr>
            <w:tcW w:w="870" w:type="pct"/>
            <w:tcBorders>
              <w:tl2br w:val="nil"/>
              <w:tr2bl w:val="nil"/>
            </w:tcBorders>
            <w:noWrap w:val="0"/>
            <w:vAlign w:val="center"/>
          </w:tcPr>
          <w:p w14:paraId="2C4C119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上料、破碎、筛分车间粉尘</w:t>
            </w:r>
          </w:p>
        </w:tc>
        <w:tc>
          <w:tcPr>
            <w:tcW w:w="558" w:type="pct"/>
            <w:tcBorders>
              <w:tl2br w:val="nil"/>
              <w:tr2bl w:val="nil"/>
            </w:tcBorders>
            <w:noWrap w:val="0"/>
            <w:vAlign w:val="center"/>
          </w:tcPr>
          <w:p w14:paraId="1395929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颗粒物</w:t>
            </w:r>
          </w:p>
        </w:tc>
        <w:tc>
          <w:tcPr>
            <w:tcW w:w="2281" w:type="pct"/>
            <w:tcBorders>
              <w:tl2br w:val="nil"/>
              <w:tr2bl w:val="nil"/>
            </w:tcBorders>
            <w:noWrap w:val="0"/>
            <w:vAlign w:val="center"/>
          </w:tcPr>
          <w:p w14:paraId="3A1B818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车间进行全封闭，车间内皮带输送系统均采取全封闭措施。</w:t>
            </w:r>
          </w:p>
        </w:tc>
        <w:tc>
          <w:tcPr>
            <w:tcW w:w="418" w:type="pct"/>
            <w:tcBorders>
              <w:tl2br w:val="nil"/>
              <w:tr2bl w:val="nil"/>
            </w:tcBorders>
            <w:noWrap w:val="0"/>
            <w:vAlign w:val="center"/>
          </w:tcPr>
          <w:p w14:paraId="63F8CFA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无组织</w:t>
            </w:r>
          </w:p>
        </w:tc>
      </w:tr>
      <w:tr w14:paraId="390B58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74228CD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13224A8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G4</w:t>
            </w:r>
          </w:p>
        </w:tc>
        <w:tc>
          <w:tcPr>
            <w:tcW w:w="870" w:type="pct"/>
            <w:tcBorders>
              <w:tl2br w:val="nil"/>
              <w:tr2bl w:val="nil"/>
            </w:tcBorders>
            <w:noWrap w:val="0"/>
            <w:vAlign w:val="center"/>
          </w:tcPr>
          <w:p w14:paraId="0C58B30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精粉堆存</w:t>
            </w:r>
          </w:p>
        </w:tc>
        <w:tc>
          <w:tcPr>
            <w:tcW w:w="558" w:type="pct"/>
            <w:tcBorders>
              <w:tl2br w:val="nil"/>
              <w:tr2bl w:val="nil"/>
            </w:tcBorders>
            <w:noWrap w:val="0"/>
            <w:vAlign w:val="center"/>
          </w:tcPr>
          <w:p w14:paraId="0ABDA01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颗粒物</w:t>
            </w:r>
          </w:p>
        </w:tc>
        <w:tc>
          <w:tcPr>
            <w:tcW w:w="2281" w:type="pct"/>
            <w:tcBorders>
              <w:tl2br w:val="nil"/>
              <w:tr2bl w:val="nil"/>
            </w:tcBorders>
            <w:noWrap w:val="0"/>
            <w:vAlign w:val="center"/>
          </w:tcPr>
          <w:p w14:paraId="76D2617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压滤后尾矿砂自带水分，精矿堆存库采取封闭措施后，粉尘产生量极少。</w:t>
            </w:r>
          </w:p>
        </w:tc>
        <w:tc>
          <w:tcPr>
            <w:tcW w:w="418" w:type="pct"/>
            <w:tcBorders>
              <w:tl2br w:val="nil"/>
              <w:tr2bl w:val="nil"/>
            </w:tcBorders>
            <w:noWrap w:val="0"/>
            <w:vAlign w:val="center"/>
          </w:tcPr>
          <w:p w14:paraId="09B268E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w:t>
            </w:r>
          </w:p>
        </w:tc>
      </w:tr>
      <w:tr w14:paraId="7E142D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0ABADBB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42A994E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G5</w:t>
            </w:r>
          </w:p>
        </w:tc>
        <w:tc>
          <w:tcPr>
            <w:tcW w:w="870" w:type="pct"/>
            <w:tcBorders>
              <w:tl2br w:val="nil"/>
              <w:tr2bl w:val="nil"/>
            </w:tcBorders>
            <w:noWrap w:val="0"/>
            <w:vAlign w:val="center"/>
          </w:tcPr>
          <w:p w14:paraId="195545C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尾矿砂堆存</w:t>
            </w:r>
          </w:p>
        </w:tc>
        <w:tc>
          <w:tcPr>
            <w:tcW w:w="558" w:type="pct"/>
            <w:tcBorders>
              <w:tl2br w:val="nil"/>
              <w:tr2bl w:val="nil"/>
            </w:tcBorders>
            <w:noWrap w:val="0"/>
            <w:vAlign w:val="center"/>
          </w:tcPr>
          <w:p w14:paraId="4B09C89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颗粒物</w:t>
            </w:r>
          </w:p>
        </w:tc>
        <w:tc>
          <w:tcPr>
            <w:tcW w:w="2281" w:type="pct"/>
            <w:tcBorders>
              <w:tl2br w:val="nil"/>
              <w:tr2bl w:val="nil"/>
            </w:tcBorders>
            <w:noWrap w:val="0"/>
            <w:vAlign w:val="center"/>
          </w:tcPr>
          <w:p w14:paraId="46F5C00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压滤后尾矿砂自带水分，精矿堆存库采取封闭措施后，粉尘产生量极少。</w:t>
            </w:r>
          </w:p>
        </w:tc>
        <w:tc>
          <w:tcPr>
            <w:tcW w:w="418" w:type="pct"/>
            <w:tcBorders>
              <w:tl2br w:val="nil"/>
              <w:tr2bl w:val="nil"/>
            </w:tcBorders>
            <w:noWrap w:val="0"/>
            <w:vAlign w:val="center"/>
          </w:tcPr>
          <w:p w14:paraId="0505AED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w:t>
            </w:r>
          </w:p>
        </w:tc>
      </w:tr>
      <w:tr w14:paraId="796D65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restart"/>
            <w:tcBorders>
              <w:tl2br w:val="nil"/>
              <w:tr2bl w:val="nil"/>
            </w:tcBorders>
            <w:noWrap w:val="0"/>
            <w:textDirection w:val="tbRlV"/>
            <w:vAlign w:val="center"/>
          </w:tcPr>
          <w:p w14:paraId="5877218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废水</w:t>
            </w:r>
          </w:p>
        </w:tc>
        <w:tc>
          <w:tcPr>
            <w:tcW w:w="595" w:type="pct"/>
            <w:tcBorders>
              <w:tl2br w:val="nil"/>
              <w:tr2bl w:val="nil"/>
            </w:tcBorders>
            <w:noWrap w:val="0"/>
            <w:vAlign w:val="center"/>
          </w:tcPr>
          <w:p w14:paraId="1DF8ADA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W1</w:t>
            </w:r>
          </w:p>
        </w:tc>
        <w:tc>
          <w:tcPr>
            <w:tcW w:w="870" w:type="pct"/>
            <w:tcBorders>
              <w:tl2br w:val="nil"/>
              <w:tr2bl w:val="nil"/>
            </w:tcBorders>
            <w:noWrap w:val="0"/>
            <w:vAlign w:val="center"/>
          </w:tcPr>
          <w:p w14:paraId="648529D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精矿浓缩溢流</w:t>
            </w:r>
          </w:p>
        </w:tc>
        <w:tc>
          <w:tcPr>
            <w:tcW w:w="558" w:type="pct"/>
            <w:vMerge w:val="restart"/>
            <w:tcBorders>
              <w:tl2br w:val="nil"/>
              <w:tr2bl w:val="nil"/>
            </w:tcBorders>
            <w:noWrap w:val="0"/>
            <w:vAlign w:val="center"/>
          </w:tcPr>
          <w:p w14:paraId="0D6D44C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SS</w:t>
            </w:r>
          </w:p>
          <w:p w14:paraId="3C3E8D4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氟化物</w:t>
            </w:r>
          </w:p>
        </w:tc>
        <w:tc>
          <w:tcPr>
            <w:tcW w:w="2281" w:type="pct"/>
            <w:vMerge w:val="restart"/>
            <w:tcBorders>
              <w:tl2br w:val="nil"/>
              <w:tr2bl w:val="nil"/>
            </w:tcBorders>
            <w:noWrap w:val="0"/>
            <w:vAlign w:val="center"/>
          </w:tcPr>
          <w:p w14:paraId="202F4B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进入循环水池沉淀澄清后返回洗选工序，循环利用。</w:t>
            </w:r>
          </w:p>
        </w:tc>
        <w:tc>
          <w:tcPr>
            <w:tcW w:w="418" w:type="pct"/>
            <w:vMerge w:val="restart"/>
            <w:tcBorders>
              <w:tl2br w:val="nil"/>
              <w:tr2bl w:val="nil"/>
            </w:tcBorders>
            <w:noWrap w:val="0"/>
            <w:vAlign w:val="center"/>
          </w:tcPr>
          <w:p w14:paraId="6C1B32F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不外排</w:t>
            </w:r>
          </w:p>
        </w:tc>
      </w:tr>
      <w:tr w14:paraId="705A0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48D7A31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6AA6C7C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W2</w:t>
            </w:r>
          </w:p>
        </w:tc>
        <w:tc>
          <w:tcPr>
            <w:tcW w:w="870" w:type="pct"/>
            <w:tcBorders>
              <w:tl2br w:val="nil"/>
              <w:tr2bl w:val="nil"/>
            </w:tcBorders>
            <w:noWrap w:val="0"/>
            <w:vAlign w:val="center"/>
          </w:tcPr>
          <w:p w14:paraId="5803FEB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精矿过滤</w:t>
            </w:r>
          </w:p>
        </w:tc>
        <w:tc>
          <w:tcPr>
            <w:tcW w:w="558" w:type="pct"/>
            <w:vMerge w:val="continue"/>
            <w:tcBorders>
              <w:tl2br w:val="nil"/>
              <w:tr2bl w:val="nil"/>
            </w:tcBorders>
            <w:noWrap w:val="0"/>
            <w:vAlign w:val="center"/>
          </w:tcPr>
          <w:p w14:paraId="6CBCCDC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2281" w:type="pct"/>
            <w:vMerge w:val="continue"/>
            <w:tcBorders>
              <w:tl2br w:val="nil"/>
              <w:tr2bl w:val="nil"/>
            </w:tcBorders>
            <w:noWrap w:val="0"/>
            <w:vAlign w:val="center"/>
          </w:tcPr>
          <w:p w14:paraId="350ED42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p>
        </w:tc>
        <w:tc>
          <w:tcPr>
            <w:tcW w:w="418" w:type="pct"/>
            <w:vMerge w:val="continue"/>
            <w:tcBorders>
              <w:tl2br w:val="nil"/>
              <w:tr2bl w:val="nil"/>
            </w:tcBorders>
            <w:noWrap w:val="0"/>
            <w:vAlign w:val="center"/>
          </w:tcPr>
          <w:p w14:paraId="1335C3E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2DD1B1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1E062C8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0DD5479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W3</w:t>
            </w:r>
          </w:p>
        </w:tc>
        <w:tc>
          <w:tcPr>
            <w:tcW w:w="870" w:type="pct"/>
            <w:tcBorders>
              <w:tl2br w:val="nil"/>
              <w:tr2bl w:val="nil"/>
            </w:tcBorders>
            <w:noWrap w:val="0"/>
            <w:vAlign w:val="center"/>
          </w:tcPr>
          <w:p w14:paraId="2AEBE9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尾矿浓缩溢流</w:t>
            </w:r>
          </w:p>
        </w:tc>
        <w:tc>
          <w:tcPr>
            <w:tcW w:w="558" w:type="pct"/>
            <w:vMerge w:val="continue"/>
            <w:tcBorders>
              <w:tl2br w:val="nil"/>
              <w:tr2bl w:val="nil"/>
            </w:tcBorders>
            <w:noWrap w:val="0"/>
            <w:vAlign w:val="center"/>
          </w:tcPr>
          <w:p w14:paraId="0C093B1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2281" w:type="pct"/>
            <w:vMerge w:val="continue"/>
            <w:tcBorders>
              <w:tl2br w:val="nil"/>
              <w:tr2bl w:val="nil"/>
            </w:tcBorders>
            <w:noWrap w:val="0"/>
            <w:vAlign w:val="center"/>
          </w:tcPr>
          <w:p w14:paraId="7D2DCC5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418" w:type="pct"/>
            <w:vMerge w:val="continue"/>
            <w:tcBorders>
              <w:tl2br w:val="nil"/>
              <w:tr2bl w:val="nil"/>
            </w:tcBorders>
            <w:noWrap w:val="0"/>
            <w:vAlign w:val="center"/>
          </w:tcPr>
          <w:p w14:paraId="4D5BB39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1EF064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300760B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5CA3EE4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W4</w:t>
            </w:r>
          </w:p>
        </w:tc>
        <w:tc>
          <w:tcPr>
            <w:tcW w:w="870" w:type="pct"/>
            <w:tcBorders>
              <w:tl2br w:val="nil"/>
              <w:tr2bl w:val="nil"/>
            </w:tcBorders>
            <w:noWrap w:val="0"/>
            <w:vAlign w:val="center"/>
          </w:tcPr>
          <w:p w14:paraId="12D5D0C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尾矿压滤</w:t>
            </w:r>
          </w:p>
        </w:tc>
        <w:tc>
          <w:tcPr>
            <w:tcW w:w="558" w:type="pct"/>
            <w:vMerge w:val="continue"/>
            <w:tcBorders>
              <w:tl2br w:val="nil"/>
              <w:tr2bl w:val="nil"/>
            </w:tcBorders>
            <w:noWrap w:val="0"/>
            <w:vAlign w:val="center"/>
          </w:tcPr>
          <w:p w14:paraId="39843CE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2281" w:type="pct"/>
            <w:vMerge w:val="continue"/>
            <w:tcBorders>
              <w:tl2br w:val="nil"/>
              <w:tr2bl w:val="nil"/>
            </w:tcBorders>
            <w:noWrap w:val="0"/>
            <w:vAlign w:val="center"/>
          </w:tcPr>
          <w:p w14:paraId="5F5F49D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418" w:type="pct"/>
            <w:vMerge w:val="continue"/>
            <w:tcBorders>
              <w:tl2br w:val="nil"/>
              <w:tr2bl w:val="nil"/>
            </w:tcBorders>
            <w:noWrap w:val="0"/>
            <w:vAlign w:val="center"/>
          </w:tcPr>
          <w:p w14:paraId="0E4CBDF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624DEC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4AB4C48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11ABB17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W5</w:t>
            </w:r>
          </w:p>
        </w:tc>
        <w:tc>
          <w:tcPr>
            <w:tcW w:w="870" w:type="pct"/>
            <w:tcBorders>
              <w:tl2br w:val="nil"/>
              <w:tr2bl w:val="nil"/>
            </w:tcBorders>
            <w:noWrap w:val="0"/>
            <w:vAlign w:val="center"/>
          </w:tcPr>
          <w:p w14:paraId="5135BEB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生活污水</w:t>
            </w:r>
          </w:p>
        </w:tc>
        <w:tc>
          <w:tcPr>
            <w:tcW w:w="558" w:type="pct"/>
            <w:tcBorders>
              <w:tl2br w:val="nil"/>
              <w:tr2bl w:val="nil"/>
            </w:tcBorders>
            <w:noWrap w:val="0"/>
            <w:vAlign w:val="center"/>
          </w:tcPr>
          <w:p w14:paraId="310EDF9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pH</w:t>
            </w:r>
          </w:p>
          <w:p w14:paraId="771E0D6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COD</w:t>
            </w:r>
          </w:p>
          <w:p w14:paraId="33DD54D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vertAlign w:val="subscript"/>
                <w:lang w:val="en-US" w:eastAsia="zh-CN"/>
              </w:rPr>
            </w:pPr>
            <w:r>
              <w:rPr>
                <w:rFonts w:hint="eastAsia"/>
                <w:b w:val="0"/>
                <w:color w:val="auto"/>
                <w:kern w:val="0"/>
                <w:sz w:val="21"/>
                <w:szCs w:val="21"/>
                <w:highlight w:val="none"/>
                <w:lang w:val="en-US" w:eastAsia="zh-CN"/>
              </w:rPr>
              <w:t>BOD</w:t>
            </w:r>
            <w:r>
              <w:rPr>
                <w:rFonts w:hint="eastAsia"/>
                <w:b w:val="0"/>
                <w:color w:val="auto"/>
                <w:kern w:val="0"/>
                <w:sz w:val="21"/>
                <w:szCs w:val="21"/>
                <w:highlight w:val="none"/>
                <w:vertAlign w:val="subscript"/>
                <w:lang w:val="en-US" w:eastAsia="zh-CN"/>
              </w:rPr>
              <w:t>5</w:t>
            </w:r>
          </w:p>
          <w:p w14:paraId="4C91E18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vertAlign w:val="baseline"/>
                <w:lang w:val="en-US" w:eastAsia="zh-CN"/>
              </w:rPr>
            </w:pPr>
            <w:r>
              <w:rPr>
                <w:rFonts w:hint="eastAsia"/>
                <w:b w:val="0"/>
                <w:color w:val="auto"/>
                <w:kern w:val="0"/>
                <w:sz w:val="21"/>
                <w:szCs w:val="21"/>
                <w:highlight w:val="none"/>
                <w:vertAlign w:val="baseline"/>
                <w:lang w:val="en-US" w:eastAsia="zh-CN"/>
              </w:rPr>
              <w:t>氨氮</w:t>
            </w:r>
          </w:p>
          <w:p w14:paraId="5D787AF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vertAlign w:val="baseline"/>
                <w:lang w:val="en-US" w:eastAsia="zh-CN"/>
              </w:rPr>
            </w:pPr>
            <w:r>
              <w:rPr>
                <w:rFonts w:hint="eastAsia"/>
                <w:b w:val="0"/>
                <w:color w:val="auto"/>
                <w:kern w:val="0"/>
                <w:sz w:val="21"/>
                <w:szCs w:val="21"/>
                <w:highlight w:val="none"/>
                <w:vertAlign w:val="baseline"/>
                <w:lang w:val="en-US" w:eastAsia="zh-CN"/>
              </w:rPr>
              <w:t>SS</w:t>
            </w:r>
          </w:p>
        </w:tc>
        <w:tc>
          <w:tcPr>
            <w:tcW w:w="2281" w:type="pct"/>
            <w:tcBorders>
              <w:tl2br w:val="nil"/>
              <w:tr2bl w:val="nil"/>
            </w:tcBorders>
            <w:noWrap w:val="0"/>
            <w:vAlign w:val="center"/>
          </w:tcPr>
          <w:p w14:paraId="5D348B1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多伦县盟东水泥厂化粪池，定期拉运至诺尔镇污水处理厂。</w:t>
            </w:r>
          </w:p>
        </w:tc>
        <w:tc>
          <w:tcPr>
            <w:tcW w:w="418" w:type="pct"/>
            <w:tcBorders>
              <w:tl2br w:val="nil"/>
              <w:tr2bl w:val="nil"/>
            </w:tcBorders>
            <w:noWrap w:val="0"/>
            <w:vAlign w:val="center"/>
          </w:tcPr>
          <w:p w14:paraId="0BD67D2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不外排</w:t>
            </w:r>
          </w:p>
        </w:tc>
      </w:tr>
      <w:tr w14:paraId="7C2396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restart"/>
            <w:tcBorders>
              <w:tl2br w:val="nil"/>
              <w:tr2bl w:val="nil"/>
            </w:tcBorders>
            <w:noWrap w:val="0"/>
            <w:textDirection w:val="tbRlV"/>
            <w:vAlign w:val="center"/>
          </w:tcPr>
          <w:p w14:paraId="41041BB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固废</w:t>
            </w:r>
          </w:p>
        </w:tc>
        <w:tc>
          <w:tcPr>
            <w:tcW w:w="595" w:type="pct"/>
            <w:tcBorders>
              <w:tl2br w:val="nil"/>
              <w:tr2bl w:val="nil"/>
            </w:tcBorders>
            <w:noWrap w:val="0"/>
            <w:vAlign w:val="center"/>
          </w:tcPr>
          <w:p w14:paraId="5467180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S1</w:t>
            </w:r>
          </w:p>
        </w:tc>
        <w:tc>
          <w:tcPr>
            <w:tcW w:w="870" w:type="pct"/>
            <w:tcBorders>
              <w:tl2br w:val="nil"/>
              <w:tr2bl w:val="nil"/>
            </w:tcBorders>
            <w:noWrap w:val="0"/>
            <w:vAlign w:val="center"/>
          </w:tcPr>
          <w:p w14:paraId="03571FC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破碎、筛分除尘收集粉尘</w:t>
            </w:r>
          </w:p>
        </w:tc>
        <w:tc>
          <w:tcPr>
            <w:tcW w:w="558" w:type="pct"/>
            <w:tcBorders>
              <w:tl2br w:val="nil"/>
              <w:tr2bl w:val="nil"/>
            </w:tcBorders>
            <w:noWrap w:val="0"/>
            <w:vAlign w:val="center"/>
          </w:tcPr>
          <w:p w14:paraId="0CFDD26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除尘灰</w:t>
            </w:r>
          </w:p>
        </w:tc>
        <w:tc>
          <w:tcPr>
            <w:tcW w:w="2281" w:type="pct"/>
            <w:tcBorders>
              <w:tl2br w:val="nil"/>
              <w:tr2bl w:val="nil"/>
            </w:tcBorders>
            <w:noWrap w:val="0"/>
            <w:vAlign w:val="center"/>
          </w:tcPr>
          <w:p w14:paraId="4A2DB7C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送入球磨工序。</w:t>
            </w:r>
          </w:p>
        </w:tc>
        <w:tc>
          <w:tcPr>
            <w:tcW w:w="418" w:type="pct"/>
            <w:vMerge w:val="restart"/>
            <w:tcBorders>
              <w:tl2br w:val="nil"/>
              <w:tr2bl w:val="nil"/>
            </w:tcBorders>
            <w:noWrap w:val="0"/>
            <w:vAlign w:val="center"/>
          </w:tcPr>
          <w:p w14:paraId="0A8D38B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资源化利用或合理处置</w:t>
            </w:r>
          </w:p>
        </w:tc>
      </w:tr>
      <w:tr w14:paraId="7313AC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68E3E09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3F09F5CD">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S2</w:t>
            </w:r>
          </w:p>
        </w:tc>
        <w:tc>
          <w:tcPr>
            <w:tcW w:w="870" w:type="pct"/>
            <w:tcBorders>
              <w:tl2br w:val="nil"/>
              <w:tr2bl w:val="nil"/>
            </w:tcBorders>
            <w:noWrap w:val="0"/>
            <w:vAlign w:val="center"/>
          </w:tcPr>
          <w:p w14:paraId="78575A26">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球磨机</w:t>
            </w:r>
          </w:p>
        </w:tc>
        <w:tc>
          <w:tcPr>
            <w:tcW w:w="558" w:type="pct"/>
            <w:tcBorders>
              <w:tl2br w:val="nil"/>
              <w:tr2bl w:val="nil"/>
            </w:tcBorders>
            <w:noWrap w:val="0"/>
            <w:vAlign w:val="center"/>
          </w:tcPr>
          <w:p w14:paraId="32F8152F">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废钢球</w:t>
            </w:r>
          </w:p>
        </w:tc>
        <w:tc>
          <w:tcPr>
            <w:tcW w:w="2281" w:type="pct"/>
            <w:tcBorders>
              <w:tl2br w:val="nil"/>
              <w:tr2bl w:val="nil"/>
            </w:tcBorders>
            <w:noWrap w:val="0"/>
            <w:vAlign w:val="center"/>
          </w:tcPr>
          <w:p w14:paraId="09727091">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b w:val="0"/>
                <w:color w:val="auto"/>
                <w:kern w:val="0"/>
                <w:sz w:val="21"/>
                <w:szCs w:val="21"/>
                <w:highlight w:val="none"/>
                <w:lang w:val="en-US" w:eastAsia="zh-CN"/>
              </w:rPr>
              <w:t>不落地暂存，第三方供应商更换回收再利用。</w:t>
            </w:r>
          </w:p>
        </w:tc>
        <w:tc>
          <w:tcPr>
            <w:tcW w:w="418" w:type="pct"/>
            <w:vMerge w:val="continue"/>
            <w:tcBorders>
              <w:tl2br w:val="nil"/>
              <w:tr2bl w:val="nil"/>
            </w:tcBorders>
            <w:noWrap w:val="0"/>
            <w:vAlign w:val="center"/>
          </w:tcPr>
          <w:p w14:paraId="35102FF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0A2A9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7D44765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vMerge w:val="restart"/>
            <w:tcBorders>
              <w:tl2br w:val="nil"/>
              <w:tr2bl w:val="nil"/>
            </w:tcBorders>
            <w:noWrap w:val="0"/>
            <w:vAlign w:val="center"/>
          </w:tcPr>
          <w:p w14:paraId="2CB340E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S3</w:t>
            </w:r>
          </w:p>
        </w:tc>
        <w:tc>
          <w:tcPr>
            <w:tcW w:w="870" w:type="pct"/>
            <w:vMerge w:val="restart"/>
            <w:tcBorders>
              <w:tl2br w:val="nil"/>
              <w:tr2bl w:val="nil"/>
            </w:tcBorders>
            <w:noWrap w:val="0"/>
            <w:vAlign w:val="center"/>
          </w:tcPr>
          <w:p w14:paraId="0F3DA2D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设备维修</w:t>
            </w:r>
          </w:p>
        </w:tc>
        <w:tc>
          <w:tcPr>
            <w:tcW w:w="558" w:type="pct"/>
            <w:tcBorders>
              <w:tl2br w:val="nil"/>
              <w:tr2bl w:val="nil"/>
            </w:tcBorders>
            <w:noWrap w:val="0"/>
            <w:vAlign w:val="center"/>
          </w:tcPr>
          <w:p w14:paraId="1605703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废机油</w:t>
            </w:r>
          </w:p>
        </w:tc>
        <w:tc>
          <w:tcPr>
            <w:tcW w:w="2281" w:type="pct"/>
            <w:vMerge w:val="restart"/>
            <w:tcBorders>
              <w:tl2br w:val="nil"/>
              <w:tr2bl w:val="nil"/>
            </w:tcBorders>
            <w:noWrap w:val="0"/>
            <w:vAlign w:val="center"/>
          </w:tcPr>
          <w:p w14:paraId="000DECF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临时暂存于危险废物暂存间内，再定期委托具有危险废物经营许可证单位处置。</w:t>
            </w:r>
          </w:p>
        </w:tc>
        <w:tc>
          <w:tcPr>
            <w:tcW w:w="418" w:type="pct"/>
            <w:vMerge w:val="continue"/>
            <w:tcBorders>
              <w:tl2br w:val="nil"/>
              <w:tr2bl w:val="nil"/>
            </w:tcBorders>
            <w:noWrap w:val="0"/>
            <w:vAlign w:val="center"/>
          </w:tcPr>
          <w:p w14:paraId="2FF3E09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755A5F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67F6B6D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vMerge w:val="continue"/>
            <w:tcBorders>
              <w:tl2br w:val="nil"/>
              <w:tr2bl w:val="nil"/>
            </w:tcBorders>
            <w:noWrap w:val="0"/>
            <w:vAlign w:val="center"/>
          </w:tcPr>
          <w:p w14:paraId="4A74B76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870" w:type="pct"/>
            <w:vMerge w:val="continue"/>
            <w:tcBorders>
              <w:tl2br w:val="nil"/>
              <w:tr2bl w:val="nil"/>
            </w:tcBorders>
            <w:noWrap w:val="0"/>
            <w:vAlign w:val="center"/>
          </w:tcPr>
          <w:p w14:paraId="7932A3E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58" w:type="pct"/>
            <w:tcBorders>
              <w:tl2br w:val="nil"/>
              <w:tr2bl w:val="nil"/>
            </w:tcBorders>
            <w:noWrap w:val="0"/>
            <w:vAlign w:val="center"/>
          </w:tcPr>
          <w:p w14:paraId="690C659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废油桶</w:t>
            </w:r>
          </w:p>
        </w:tc>
        <w:tc>
          <w:tcPr>
            <w:tcW w:w="2281" w:type="pct"/>
            <w:vMerge w:val="continue"/>
            <w:tcBorders>
              <w:tl2br w:val="nil"/>
              <w:tr2bl w:val="nil"/>
            </w:tcBorders>
            <w:noWrap w:val="0"/>
            <w:vAlign w:val="center"/>
          </w:tcPr>
          <w:p w14:paraId="5A8B77F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418" w:type="pct"/>
            <w:vMerge w:val="continue"/>
            <w:tcBorders>
              <w:tl2br w:val="nil"/>
              <w:tr2bl w:val="nil"/>
            </w:tcBorders>
            <w:noWrap w:val="0"/>
            <w:vAlign w:val="center"/>
          </w:tcPr>
          <w:p w14:paraId="6011026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4FEB25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2128FD7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1CC6C40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S4</w:t>
            </w:r>
          </w:p>
        </w:tc>
        <w:tc>
          <w:tcPr>
            <w:tcW w:w="870" w:type="pct"/>
            <w:tcBorders>
              <w:tl2br w:val="nil"/>
              <w:tr2bl w:val="nil"/>
            </w:tcBorders>
            <w:noWrap w:val="0"/>
            <w:vAlign w:val="center"/>
          </w:tcPr>
          <w:p w14:paraId="4CA529C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压滤工序</w:t>
            </w:r>
          </w:p>
        </w:tc>
        <w:tc>
          <w:tcPr>
            <w:tcW w:w="558" w:type="pct"/>
            <w:tcBorders>
              <w:tl2br w:val="nil"/>
              <w:tr2bl w:val="nil"/>
            </w:tcBorders>
            <w:noWrap w:val="0"/>
            <w:vAlign w:val="center"/>
          </w:tcPr>
          <w:p w14:paraId="2A3FE83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尾矿砂</w:t>
            </w:r>
          </w:p>
        </w:tc>
        <w:tc>
          <w:tcPr>
            <w:tcW w:w="2281" w:type="pct"/>
            <w:tcBorders>
              <w:tl2br w:val="nil"/>
              <w:tr2bl w:val="nil"/>
            </w:tcBorders>
            <w:noWrap w:val="0"/>
            <w:vAlign w:val="center"/>
          </w:tcPr>
          <w:p w14:paraId="5303FBC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本项目产生尾矿砂属于第</w:t>
            </w:r>
            <w:r>
              <w:rPr>
                <w:rFonts w:hint="eastAsia"/>
                <w:b w:val="0"/>
                <w:color w:val="auto"/>
                <w:kern w:val="0"/>
                <w:sz w:val="21"/>
                <w:szCs w:val="21"/>
                <w:highlight w:val="none"/>
                <w:lang w:val="en-US" w:eastAsia="zh-CN"/>
              </w:rPr>
              <w:fldChar w:fldCharType="begin"/>
            </w:r>
            <w:r>
              <w:rPr>
                <w:rFonts w:hint="eastAsia"/>
                <w:b w:val="0"/>
                <w:color w:val="auto"/>
                <w:kern w:val="0"/>
                <w:sz w:val="21"/>
                <w:szCs w:val="21"/>
                <w:highlight w:val="none"/>
                <w:lang w:val="en-US" w:eastAsia="zh-CN"/>
              </w:rPr>
              <w:instrText xml:space="preserve"> = 1 \* ROMAN </w:instrText>
            </w:r>
            <w:r>
              <w:rPr>
                <w:rFonts w:hint="eastAsia"/>
                <w:b w:val="0"/>
                <w:color w:val="auto"/>
                <w:kern w:val="0"/>
                <w:sz w:val="21"/>
                <w:szCs w:val="21"/>
                <w:highlight w:val="none"/>
                <w:lang w:val="en-US" w:eastAsia="zh-CN"/>
              </w:rPr>
              <w:fldChar w:fldCharType="separate"/>
            </w:r>
            <w:r>
              <w:rPr>
                <w:rFonts w:hint="eastAsia"/>
                <w:b w:val="0"/>
                <w:color w:val="auto"/>
                <w:kern w:val="0"/>
                <w:sz w:val="21"/>
                <w:szCs w:val="21"/>
                <w:highlight w:val="none"/>
                <w:lang w:val="en-US" w:eastAsia="zh-CN"/>
              </w:rPr>
              <w:t>I</w:t>
            </w:r>
            <w:r>
              <w:rPr>
                <w:rFonts w:hint="eastAsia"/>
                <w:b w:val="0"/>
                <w:color w:val="auto"/>
                <w:kern w:val="0"/>
                <w:sz w:val="21"/>
                <w:szCs w:val="21"/>
                <w:highlight w:val="none"/>
                <w:lang w:val="en-US" w:eastAsia="zh-CN"/>
              </w:rPr>
              <w:fldChar w:fldCharType="end"/>
            </w:r>
            <w:r>
              <w:rPr>
                <w:rFonts w:hint="eastAsia"/>
                <w:b w:val="0"/>
                <w:color w:val="auto"/>
                <w:kern w:val="0"/>
                <w:sz w:val="21"/>
                <w:szCs w:val="21"/>
                <w:highlight w:val="none"/>
                <w:lang w:val="en-US" w:eastAsia="zh-CN"/>
              </w:rPr>
              <w:t>类一般工业固体废物，项目厂区内建设1座800m2尾矿砂临时贮存库，定期采用密闭车辆送至</w:t>
            </w:r>
            <w:r>
              <w:rPr>
                <w:rFonts w:hint="eastAsia"/>
                <w:b w:val="0"/>
                <w:color w:val="auto"/>
                <w:kern w:val="0"/>
                <w:sz w:val="21"/>
                <w:szCs w:val="21"/>
                <w:highlight w:val="yellow"/>
                <w:lang w:val="en-US" w:eastAsia="zh-CN"/>
              </w:rPr>
              <w:t>河北围场满族蒙古族自治县联玉墙体材料厂和隆化县皓诚新型节能砖厂</w:t>
            </w:r>
            <w:r>
              <w:rPr>
                <w:rFonts w:hint="eastAsia"/>
                <w:b w:val="0"/>
                <w:color w:val="auto"/>
                <w:kern w:val="0"/>
                <w:sz w:val="21"/>
                <w:szCs w:val="21"/>
                <w:highlight w:val="none"/>
                <w:lang w:val="en-US" w:eastAsia="zh-CN"/>
              </w:rPr>
              <w:t>作制砖原材料，优先资源化综合利用。因接纳砖厂市场原因利用不畅时，本项目产生的尾矿砂做周边矿区采空坑生态恢复填充料进行综合利用。</w:t>
            </w:r>
          </w:p>
        </w:tc>
        <w:tc>
          <w:tcPr>
            <w:tcW w:w="418" w:type="pct"/>
            <w:vMerge w:val="continue"/>
            <w:tcBorders>
              <w:tl2br w:val="nil"/>
              <w:tr2bl w:val="nil"/>
            </w:tcBorders>
            <w:noWrap w:val="0"/>
            <w:vAlign w:val="center"/>
          </w:tcPr>
          <w:p w14:paraId="1BAE95E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78C92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1D8E010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2BC15DB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S5</w:t>
            </w:r>
          </w:p>
        </w:tc>
        <w:tc>
          <w:tcPr>
            <w:tcW w:w="870" w:type="pct"/>
            <w:tcBorders>
              <w:tl2br w:val="nil"/>
              <w:tr2bl w:val="nil"/>
            </w:tcBorders>
            <w:noWrap w:val="0"/>
            <w:vAlign w:val="center"/>
          </w:tcPr>
          <w:p w14:paraId="3872038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循环水池</w:t>
            </w:r>
          </w:p>
        </w:tc>
        <w:tc>
          <w:tcPr>
            <w:tcW w:w="558" w:type="pct"/>
            <w:tcBorders>
              <w:tl2br w:val="nil"/>
              <w:tr2bl w:val="nil"/>
            </w:tcBorders>
            <w:noWrap w:val="0"/>
            <w:vAlign w:val="center"/>
          </w:tcPr>
          <w:p w14:paraId="5D85B45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底泥</w:t>
            </w:r>
          </w:p>
        </w:tc>
        <w:tc>
          <w:tcPr>
            <w:tcW w:w="2281" w:type="pct"/>
            <w:tcBorders>
              <w:tl2br w:val="nil"/>
              <w:tr2bl w:val="nil"/>
            </w:tcBorders>
            <w:noWrap w:val="0"/>
            <w:vAlign w:val="center"/>
          </w:tcPr>
          <w:p w14:paraId="7F209A0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bCs/>
                <w:color w:val="auto"/>
                <w:highlight w:val="none"/>
                <w:lang w:val="en-US" w:eastAsia="zh-CN"/>
              </w:rPr>
              <w:t>经尾矿压滤机压滤后，与尾矿砂一同处置。</w:t>
            </w:r>
          </w:p>
        </w:tc>
        <w:tc>
          <w:tcPr>
            <w:tcW w:w="418" w:type="pct"/>
            <w:vMerge w:val="continue"/>
            <w:tcBorders>
              <w:tl2br w:val="nil"/>
              <w:tr2bl w:val="nil"/>
            </w:tcBorders>
            <w:noWrap w:val="0"/>
            <w:vAlign w:val="center"/>
          </w:tcPr>
          <w:p w14:paraId="2FA4EF8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0FF81B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textDirection w:val="tbRlV"/>
            <w:vAlign w:val="center"/>
          </w:tcPr>
          <w:p w14:paraId="3E6C92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c>
          <w:tcPr>
            <w:tcW w:w="595" w:type="pct"/>
            <w:tcBorders>
              <w:tl2br w:val="nil"/>
              <w:tr2bl w:val="nil"/>
            </w:tcBorders>
            <w:noWrap w:val="0"/>
            <w:vAlign w:val="center"/>
          </w:tcPr>
          <w:p w14:paraId="450910E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S6</w:t>
            </w:r>
          </w:p>
        </w:tc>
        <w:tc>
          <w:tcPr>
            <w:tcW w:w="870" w:type="pct"/>
            <w:tcBorders>
              <w:tl2br w:val="nil"/>
              <w:tr2bl w:val="nil"/>
            </w:tcBorders>
            <w:noWrap w:val="0"/>
            <w:vAlign w:val="center"/>
          </w:tcPr>
          <w:p w14:paraId="4F0EF75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办公区</w:t>
            </w:r>
          </w:p>
        </w:tc>
        <w:tc>
          <w:tcPr>
            <w:tcW w:w="558" w:type="pct"/>
            <w:tcBorders>
              <w:tl2br w:val="nil"/>
              <w:tr2bl w:val="nil"/>
            </w:tcBorders>
            <w:noWrap w:val="0"/>
            <w:vAlign w:val="center"/>
          </w:tcPr>
          <w:p w14:paraId="4401454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r>
              <w:rPr>
                <w:rFonts w:hint="eastAsia"/>
                <w:b w:val="0"/>
                <w:color w:val="auto"/>
                <w:kern w:val="0"/>
                <w:sz w:val="21"/>
                <w:szCs w:val="21"/>
                <w:highlight w:val="none"/>
                <w:lang w:val="en-US" w:eastAsia="zh-CN"/>
              </w:rPr>
              <w:t>生活垃圾</w:t>
            </w:r>
          </w:p>
        </w:tc>
        <w:tc>
          <w:tcPr>
            <w:tcW w:w="2281" w:type="pct"/>
            <w:tcBorders>
              <w:tl2br w:val="nil"/>
              <w:tr2bl w:val="nil"/>
            </w:tcBorders>
            <w:noWrap w:val="0"/>
            <w:vAlign w:val="center"/>
          </w:tcPr>
          <w:p w14:paraId="5598636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b w:val="0"/>
                <w:color w:val="auto"/>
                <w:kern w:val="0"/>
                <w:sz w:val="21"/>
                <w:szCs w:val="21"/>
                <w:highlight w:val="none"/>
                <w:lang w:val="en-US" w:eastAsia="zh-CN"/>
              </w:rPr>
            </w:pPr>
            <w:r>
              <w:rPr>
                <w:rFonts w:hint="eastAsia"/>
                <w:b w:val="0"/>
                <w:color w:val="auto"/>
                <w:kern w:val="0"/>
                <w:sz w:val="21"/>
                <w:szCs w:val="21"/>
                <w:highlight w:val="none"/>
                <w:lang w:val="en-US" w:eastAsia="zh-CN"/>
              </w:rPr>
              <w:t>收集后统一由环卫部门清运。</w:t>
            </w:r>
          </w:p>
        </w:tc>
        <w:tc>
          <w:tcPr>
            <w:tcW w:w="418" w:type="pct"/>
            <w:vMerge w:val="continue"/>
            <w:tcBorders>
              <w:tl2br w:val="nil"/>
              <w:tr2bl w:val="nil"/>
            </w:tcBorders>
            <w:noWrap w:val="0"/>
            <w:vAlign w:val="center"/>
          </w:tcPr>
          <w:p w14:paraId="6314B33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zh-CN"/>
              </w:rPr>
            </w:pPr>
          </w:p>
        </w:tc>
      </w:tr>
      <w:tr w14:paraId="2C37E9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276" w:type="pct"/>
            <w:tcBorders>
              <w:tl2br w:val="nil"/>
              <w:tr2bl w:val="nil"/>
            </w:tcBorders>
            <w:noWrap w:val="0"/>
            <w:textDirection w:val="tbRlV"/>
            <w:vAlign w:val="center"/>
          </w:tcPr>
          <w:p w14:paraId="30FE233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en-US"/>
              </w:rPr>
            </w:pPr>
            <w:r>
              <w:rPr>
                <w:rFonts w:hint="eastAsia"/>
                <w:b w:val="0"/>
                <w:color w:val="auto"/>
                <w:kern w:val="0"/>
                <w:sz w:val="21"/>
                <w:szCs w:val="21"/>
                <w:highlight w:val="none"/>
                <w:lang w:val="en-US" w:eastAsia="zh-CN"/>
              </w:rPr>
              <w:t>噪声</w:t>
            </w:r>
          </w:p>
        </w:tc>
        <w:tc>
          <w:tcPr>
            <w:tcW w:w="595" w:type="pct"/>
            <w:tcBorders>
              <w:tl2br w:val="nil"/>
              <w:tr2bl w:val="nil"/>
            </w:tcBorders>
            <w:noWrap w:val="0"/>
            <w:vAlign w:val="center"/>
          </w:tcPr>
          <w:p w14:paraId="4DD2CC8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it-IT" w:eastAsia="it-IT"/>
              </w:rPr>
            </w:pPr>
            <w:r>
              <w:rPr>
                <w:rFonts w:hint="eastAsia"/>
                <w:b w:val="0"/>
                <w:color w:val="auto"/>
                <w:kern w:val="0"/>
                <w:sz w:val="21"/>
                <w:szCs w:val="21"/>
                <w:highlight w:val="none"/>
                <w:lang w:val="en-US" w:eastAsia="zh-CN"/>
              </w:rPr>
              <w:t>N</w:t>
            </w:r>
          </w:p>
        </w:tc>
        <w:tc>
          <w:tcPr>
            <w:tcW w:w="870" w:type="pct"/>
            <w:tcBorders>
              <w:tl2br w:val="nil"/>
              <w:tr2bl w:val="nil"/>
            </w:tcBorders>
            <w:noWrap w:val="0"/>
            <w:vAlign w:val="center"/>
          </w:tcPr>
          <w:p w14:paraId="1366D5A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en-US"/>
              </w:rPr>
            </w:pPr>
            <w:r>
              <w:rPr>
                <w:rFonts w:hint="eastAsia"/>
                <w:b w:val="0"/>
                <w:color w:val="auto"/>
                <w:kern w:val="0"/>
                <w:sz w:val="21"/>
                <w:szCs w:val="21"/>
                <w:highlight w:val="none"/>
                <w:lang w:val="en-US" w:eastAsia="zh-CN"/>
              </w:rPr>
              <w:t>运行设备</w:t>
            </w:r>
          </w:p>
        </w:tc>
        <w:tc>
          <w:tcPr>
            <w:tcW w:w="558" w:type="pct"/>
            <w:tcBorders>
              <w:tl2br w:val="nil"/>
              <w:tr2bl w:val="nil"/>
            </w:tcBorders>
            <w:noWrap w:val="0"/>
            <w:vAlign w:val="center"/>
          </w:tcPr>
          <w:p w14:paraId="70FECEB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en-US"/>
              </w:rPr>
            </w:pPr>
            <w:r>
              <w:rPr>
                <w:rFonts w:hint="eastAsia"/>
                <w:b w:val="0"/>
                <w:color w:val="auto"/>
                <w:kern w:val="0"/>
                <w:sz w:val="21"/>
                <w:szCs w:val="21"/>
                <w:highlight w:val="none"/>
                <w:lang w:val="en-US" w:eastAsia="zh-CN"/>
              </w:rPr>
              <w:t>噪声</w:t>
            </w:r>
          </w:p>
        </w:tc>
        <w:tc>
          <w:tcPr>
            <w:tcW w:w="2281" w:type="pct"/>
            <w:tcBorders>
              <w:tl2br w:val="nil"/>
              <w:tr2bl w:val="nil"/>
            </w:tcBorders>
            <w:noWrap w:val="0"/>
            <w:vAlign w:val="center"/>
          </w:tcPr>
          <w:p w14:paraId="59C48D1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en-US"/>
              </w:rPr>
            </w:pPr>
            <w:r>
              <w:rPr>
                <w:rFonts w:hint="eastAsia"/>
                <w:b w:val="0"/>
                <w:color w:val="auto"/>
                <w:kern w:val="0"/>
                <w:sz w:val="21"/>
                <w:szCs w:val="21"/>
                <w:highlight w:val="none"/>
                <w:lang w:val="en-US" w:eastAsia="zh-CN"/>
              </w:rPr>
              <w:t>厂房隔声、基础减震</w:t>
            </w:r>
          </w:p>
        </w:tc>
        <w:tc>
          <w:tcPr>
            <w:tcW w:w="418" w:type="pct"/>
            <w:tcBorders>
              <w:tl2br w:val="nil"/>
              <w:tr2bl w:val="nil"/>
            </w:tcBorders>
            <w:noWrap w:val="0"/>
            <w:vAlign w:val="center"/>
          </w:tcPr>
          <w:p w14:paraId="463B45F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b w:val="0"/>
                <w:color w:val="auto"/>
                <w:kern w:val="0"/>
                <w:sz w:val="21"/>
                <w:szCs w:val="21"/>
                <w:highlight w:val="none"/>
                <w:lang w:val="en-US" w:eastAsia="en-US"/>
              </w:rPr>
            </w:pPr>
            <w:r>
              <w:rPr>
                <w:rFonts w:hint="eastAsia"/>
                <w:b w:val="0"/>
                <w:color w:val="auto"/>
                <w:kern w:val="0"/>
                <w:sz w:val="21"/>
                <w:szCs w:val="21"/>
                <w:highlight w:val="none"/>
                <w:lang w:val="en-US" w:eastAsia="zh-CN"/>
              </w:rPr>
              <w:t>连续</w:t>
            </w:r>
          </w:p>
        </w:tc>
      </w:tr>
    </w:tbl>
    <w:p w14:paraId="0EBE4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p w14:paraId="3CA6DB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highlight w:val="none"/>
        </w:rPr>
        <w:drawing>
          <wp:inline distT="0" distB="0" distL="114300" distR="114300">
            <wp:extent cx="4657725" cy="8620125"/>
            <wp:effectExtent l="0" t="0" r="9525" b="9525"/>
            <wp:docPr id="1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8"/>
                    <pic:cNvPicPr>
                      <a:picLocks noChangeAspect="1"/>
                    </pic:cNvPicPr>
                  </pic:nvPicPr>
                  <pic:blipFill>
                    <a:blip r:embed="rId38"/>
                    <a:stretch>
                      <a:fillRect/>
                    </a:stretch>
                  </pic:blipFill>
                  <pic:spPr>
                    <a:xfrm>
                      <a:off x="0" y="0"/>
                      <a:ext cx="4657725" cy="8620125"/>
                    </a:xfrm>
                    <a:prstGeom prst="rect">
                      <a:avLst/>
                    </a:prstGeom>
                    <a:noFill/>
                    <a:ln>
                      <a:noFill/>
                    </a:ln>
                  </pic:spPr>
                </pic:pic>
              </a:graphicData>
            </a:graphic>
          </wp:inline>
        </w:drawing>
      </w:r>
    </w:p>
    <w:p w14:paraId="08C688A9">
      <w:pPr>
        <w:pStyle w:val="111"/>
        <w:keepNext w:val="0"/>
        <w:keepLines w:val="0"/>
        <w:pageBreakBefore w:val="0"/>
        <w:widowControl w:val="0"/>
        <w:tabs>
          <w:tab w:val="left" w:pos="6249"/>
        </w:tabs>
        <w:kinsoku/>
        <w:wordWrap/>
        <w:overflowPunct/>
        <w:topLinePunct w:val="0"/>
        <w:autoSpaceDE/>
        <w:autoSpaceDN/>
        <w:bidi w:val="0"/>
        <w:spacing w:line="240" w:lineRule="auto"/>
        <w:ind w:left="0" w:leftChars="0" w:firstLine="0" w:firstLineChars="0"/>
        <w:jc w:val="center"/>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图</w:t>
      </w:r>
      <w:r>
        <w:rPr>
          <w:rFonts w:hint="eastAsia" w:ascii="Times New Roman" w:cs="Times New Roman"/>
          <w:b/>
          <w:color w:val="auto"/>
          <w:kern w:val="2"/>
          <w:sz w:val="24"/>
          <w:szCs w:val="24"/>
          <w:highlight w:val="none"/>
          <w:lang w:val="en-US" w:eastAsia="zh-CN" w:bidi="ar-SA"/>
        </w:rPr>
        <w:t>3.11-2</w:t>
      </w:r>
      <w:r>
        <w:rPr>
          <w:rFonts w:hint="eastAsia" w:ascii="Times New Roman" w:hAnsi="Times New Roman" w:eastAsia="宋体" w:cs="Times New Roman"/>
          <w:b/>
          <w:color w:val="auto"/>
          <w:kern w:val="2"/>
          <w:sz w:val="24"/>
          <w:szCs w:val="24"/>
          <w:highlight w:val="none"/>
          <w:lang w:val="en-US" w:eastAsia="zh-CN" w:bidi="ar-SA"/>
        </w:rPr>
        <w:t xml:space="preserve">  </w:t>
      </w:r>
      <w:r>
        <w:rPr>
          <w:rFonts w:hint="default" w:ascii="Times New Roman" w:hAnsi="Times New Roman" w:eastAsia="宋体" w:cs="Times New Roman"/>
          <w:b/>
          <w:color w:val="auto"/>
          <w:kern w:val="2"/>
          <w:sz w:val="24"/>
          <w:szCs w:val="24"/>
          <w:highlight w:val="none"/>
          <w:lang w:val="en-US" w:eastAsia="zh-CN" w:bidi="ar-SA"/>
        </w:rPr>
        <w:t>生产工艺</w:t>
      </w:r>
      <w:r>
        <w:rPr>
          <w:rFonts w:hint="eastAsia" w:ascii="Times New Roman" w:hAnsi="Times New Roman" w:eastAsia="宋体" w:cs="Times New Roman"/>
          <w:b/>
          <w:color w:val="auto"/>
          <w:kern w:val="2"/>
          <w:sz w:val="24"/>
          <w:szCs w:val="24"/>
          <w:highlight w:val="none"/>
          <w:lang w:val="en-US" w:eastAsia="zh-CN" w:bidi="ar-SA"/>
        </w:rPr>
        <w:t>流程</w:t>
      </w:r>
      <w:r>
        <w:rPr>
          <w:rFonts w:hint="default" w:ascii="Times New Roman" w:hAnsi="Times New Roman" w:eastAsia="宋体" w:cs="Times New Roman"/>
          <w:b/>
          <w:color w:val="auto"/>
          <w:kern w:val="2"/>
          <w:sz w:val="24"/>
          <w:szCs w:val="24"/>
          <w:highlight w:val="none"/>
          <w:lang w:val="en-US" w:eastAsia="zh-CN" w:bidi="ar-SA"/>
        </w:rPr>
        <w:t>及</w:t>
      </w:r>
      <w:r>
        <w:rPr>
          <w:rFonts w:hint="eastAsia" w:ascii="Times New Roman" w:hAnsi="Times New Roman" w:eastAsia="宋体" w:cs="Times New Roman"/>
          <w:b/>
          <w:color w:val="auto"/>
          <w:kern w:val="2"/>
          <w:sz w:val="24"/>
          <w:szCs w:val="24"/>
          <w:highlight w:val="none"/>
          <w:lang w:val="en-US" w:eastAsia="zh-CN" w:bidi="ar-SA"/>
        </w:rPr>
        <w:t>产</w:t>
      </w:r>
      <w:r>
        <w:rPr>
          <w:rFonts w:hint="default" w:ascii="Times New Roman" w:hAnsi="Times New Roman" w:eastAsia="宋体" w:cs="Times New Roman"/>
          <w:b/>
          <w:color w:val="auto"/>
          <w:kern w:val="2"/>
          <w:sz w:val="24"/>
          <w:szCs w:val="24"/>
          <w:highlight w:val="none"/>
          <w:lang w:val="en-US" w:eastAsia="zh-CN" w:bidi="ar-SA"/>
        </w:rPr>
        <w:t>排污</w:t>
      </w:r>
      <w:r>
        <w:rPr>
          <w:rFonts w:hint="eastAsia" w:ascii="Times New Roman" w:hAnsi="Times New Roman" w:eastAsia="宋体" w:cs="Times New Roman"/>
          <w:b/>
          <w:color w:val="auto"/>
          <w:kern w:val="2"/>
          <w:sz w:val="24"/>
          <w:szCs w:val="24"/>
          <w:highlight w:val="none"/>
          <w:lang w:val="en-US" w:eastAsia="zh-CN" w:bidi="ar-SA"/>
        </w:rPr>
        <w:t>环节图</w:t>
      </w:r>
    </w:p>
    <w:p w14:paraId="20B53D18">
      <w:pPr>
        <w:pStyle w:val="5"/>
        <w:rPr>
          <w:color w:val="auto"/>
          <w:highlight w:val="none"/>
        </w:rPr>
      </w:pPr>
      <w:bookmarkStart w:id="99" w:name="_Toc24447099"/>
      <w:bookmarkStart w:id="100" w:name="_Toc24447613"/>
      <w:bookmarkStart w:id="101" w:name="_Toc24340218"/>
      <w:bookmarkStart w:id="102" w:name="_Toc24447105"/>
      <w:r>
        <w:rPr>
          <w:rFonts w:hint="eastAsia"/>
          <w:color w:val="auto"/>
          <w:highlight w:val="none"/>
        </w:rPr>
        <w:t>物料</w:t>
      </w:r>
      <w:r>
        <w:rPr>
          <w:rFonts w:hint="eastAsia"/>
          <w:color w:val="auto"/>
          <w:highlight w:val="none"/>
          <w:lang w:val="en-US" w:eastAsia="zh-CN"/>
        </w:rPr>
        <w:t>和氟元素平衡</w:t>
      </w:r>
      <w:r>
        <w:rPr>
          <w:rFonts w:hint="eastAsia"/>
          <w:color w:val="auto"/>
          <w:highlight w:val="none"/>
        </w:rPr>
        <w:t>分析</w:t>
      </w:r>
      <w:bookmarkEnd w:id="99"/>
      <w:bookmarkEnd w:id="100"/>
      <w:bookmarkEnd w:id="101"/>
    </w:p>
    <w:p w14:paraId="48E55BDD">
      <w:pPr>
        <w:pStyle w:val="6"/>
        <w:rPr>
          <w:rFonts w:hint="default"/>
          <w:color w:val="auto"/>
          <w:highlight w:val="none"/>
          <w:lang w:val="en-US" w:eastAsia="zh-CN"/>
        </w:rPr>
      </w:pPr>
      <w:r>
        <w:rPr>
          <w:rFonts w:hint="eastAsia"/>
          <w:color w:val="auto"/>
          <w:highlight w:val="none"/>
          <w:lang w:val="en-US" w:eastAsia="zh-CN"/>
        </w:rPr>
        <w:t xml:space="preserve"> 物料平衡</w:t>
      </w:r>
    </w:p>
    <w:p w14:paraId="7299FCA6">
      <w:pPr>
        <w:ind w:firstLine="480"/>
        <w:rPr>
          <w:rFonts w:hint="eastAsia"/>
          <w:color w:val="auto"/>
          <w:highlight w:val="none"/>
          <w:lang w:val="en-US" w:eastAsia="zh-CN"/>
        </w:rPr>
      </w:pPr>
      <w:r>
        <w:rPr>
          <w:rFonts w:hint="eastAsia"/>
          <w:color w:val="auto"/>
          <w:highlight w:val="none"/>
          <w:lang w:val="en-US" w:eastAsia="zh-CN"/>
        </w:rPr>
        <w:t>本项目年加工处理原矿石量为30×10</w:t>
      </w:r>
      <w:r>
        <w:rPr>
          <w:rFonts w:hint="eastAsia"/>
          <w:color w:val="auto"/>
          <w:highlight w:val="none"/>
          <w:vertAlign w:val="superscript"/>
          <w:lang w:val="en-US" w:eastAsia="zh-CN"/>
        </w:rPr>
        <w:t>4</w:t>
      </w:r>
      <w:r>
        <w:rPr>
          <w:rFonts w:hint="eastAsia"/>
          <w:color w:val="auto"/>
          <w:highlight w:val="none"/>
          <w:lang w:val="en-US" w:eastAsia="zh-CN"/>
        </w:rPr>
        <w:t>t（1000t/d），辅助材料油酸使用量5.0t/a，碳酸钠使用量7.0t/a，水玻璃使用量5.0t/a。本项目生产工艺物料平衡见表3.11-3和图3.11-3。</w:t>
      </w:r>
    </w:p>
    <w:p w14:paraId="6E29EDD6">
      <w:pPr>
        <w:pStyle w:val="199"/>
        <w:spacing w:before="120"/>
        <w:ind w:firstLine="420" w:firstLineChars="0"/>
        <w:rPr>
          <w:rFonts w:hint="eastAsia"/>
          <w:color w:val="auto"/>
          <w:sz w:val="24"/>
          <w:highlight w:val="none"/>
          <w:lang w:val="en-US" w:eastAsia="zh-CN"/>
        </w:rPr>
      </w:pPr>
      <w:r>
        <w:rPr>
          <w:rFonts w:hint="eastAsia"/>
          <w:color w:val="auto"/>
          <w:sz w:val="24"/>
          <w:highlight w:val="none"/>
          <w:lang w:val="en-US" w:eastAsia="zh-CN"/>
        </w:rPr>
        <w:t>表3.11-3    本项目物料平衡一览表    单位：t/a</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4"/>
        <w:gridCol w:w="1502"/>
        <w:gridCol w:w="1042"/>
        <w:gridCol w:w="1029"/>
        <w:gridCol w:w="574"/>
        <w:gridCol w:w="1564"/>
        <w:gridCol w:w="1124"/>
        <w:gridCol w:w="947"/>
      </w:tblGrid>
      <w:tr w14:paraId="5DFE1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47" w:type="dxa"/>
            <w:gridSpan w:val="4"/>
            <w:tcBorders>
              <w:tl2br w:val="nil"/>
              <w:tr2bl w:val="nil"/>
            </w:tcBorders>
            <w:noWrap w:val="0"/>
            <w:vAlign w:val="center"/>
          </w:tcPr>
          <w:p w14:paraId="7794DA09">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lang w:val="en-US" w:eastAsia="zh-CN"/>
              </w:rPr>
              <w:t>投入</w:t>
            </w:r>
            <w:r>
              <w:rPr>
                <w:rFonts w:hint="default" w:ascii="Times New Roman" w:hAnsi="Times New Roman" w:cs="Times New Roman"/>
                <w:color w:val="auto"/>
                <w:sz w:val="21"/>
                <w:highlight w:val="none"/>
              </w:rPr>
              <w:t>项</w:t>
            </w:r>
          </w:p>
        </w:tc>
        <w:tc>
          <w:tcPr>
            <w:tcW w:w="4209" w:type="dxa"/>
            <w:gridSpan w:val="4"/>
            <w:tcBorders>
              <w:tl2br w:val="nil"/>
              <w:tr2bl w:val="nil"/>
            </w:tcBorders>
            <w:noWrap w:val="0"/>
            <w:vAlign w:val="center"/>
          </w:tcPr>
          <w:p w14:paraId="6C725047">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lang w:val="en-US" w:eastAsia="zh-CN"/>
              </w:rPr>
              <w:t>产出</w:t>
            </w:r>
            <w:r>
              <w:rPr>
                <w:rFonts w:hint="default" w:ascii="Times New Roman" w:hAnsi="Times New Roman" w:cs="Times New Roman"/>
                <w:color w:val="auto"/>
                <w:sz w:val="21"/>
                <w:highlight w:val="none"/>
              </w:rPr>
              <w:t>项</w:t>
            </w:r>
          </w:p>
        </w:tc>
      </w:tr>
      <w:tr w14:paraId="5D539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4" w:type="dxa"/>
            <w:tcBorders>
              <w:tl2br w:val="nil"/>
              <w:tr2bl w:val="nil"/>
            </w:tcBorders>
            <w:noWrap w:val="0"/>
            <w:vAlign w:val="center"/>
          </w:tcPr>
          <w:p w14:paraId="44BD7BD3">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序号</w:t>
            </w:r>
          </w:p>
        </w:tc>
        <w:tc>
          <w:tcPr>
            <w:tcW w:w="1502" w:type="dxa"/>
            <w:tcBorders>
              <w:tl2br w:val="nil"/>
              <w:tr2bl w:val="nil"/>
            </w:tcBorders>
            <w:noWrap w:val="0"/>
            <w:vAlign w:val="center"/>
          </w:tcPr>
          <w:p w14:paraId="20AD3053">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物料名称</w:t>
            </w:r>
          </w:p>
        </w:tc>
        <w:tc>
          <w:tcPr>
            <w:tcW w:w="1042" w:type="dxa"/>
            <w:tcBorders>
              <w:tl2br w:val="nil"/>
              <w:tr2bl w:val="nil"/>
            </w:tcBorders>
            <w:noWrap w:val="0"/>
            <w:vAlign w:val="center"/>
          </w:tcPr>
          <w:p w14:paraId="4FFE8BEA">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数量（t/</w:t>
            </w:r>
            <w:r>
              <w:rPr>
                <w:rFonts w:hint="eastAsia" w:cs="Times New Roman"/>
                <w:color w:val="auto"/>
                <w:sz w:val="21"/>
                <w:highlight w:val="none"/>
                <w:lang w:val="en-US" w:eastAsia="zh-CN"/>
              </w:rPr>
              <w:t>a</w:t>
            </w:r>
            <w:r>
              <w:rPr>
                <w:rFonts w:hint="default" w:ascii="Times New Roman" w:hAnsi="Times New Roman" w:cs="Times New Roman"/>
                <w:color w:val="auto"/>
                <w:sz w:val="21"/>
                <w:highlight w:val="none"/>
              </w:rPr>
              <w:t>）</w:t>
            </w:r>
          </w:p>
        </w:tc>
        <w:tc>
          <w:tcPr>
            <w:tcW w:w="1029" w:type="dxa"/>
            <w:tcBorders>
              <w:tl2br w:val="nil"/>
              <w:tr2bl w:val="nil"/>
            </w:tcBorders>
            <w:noWrap w:val="0"/>
            <w:vAlign w:val="center"/>
          </w:tcPr>
          <w:p w14:paraId="55682665">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比例（%）</w:t>
            </w:r>
          </w:p>
        </w:tc>
        <w:tc>
          <w:tcPr>
            <w:tcW w:w="574" w:type="dxa"/>
            <w:tcBorders>
              <w:tl2br w:val="nil"/>
              <w:tr2bl w:val="nil"/>
            </w:tcBorders>
            <w:noWrap w:val="0"/>
            <w:vAlign w:val="center"/>
          </w:tcPr>
          <w:p w14:paraId="7A31AD04">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序号</w:t>
            </w:r>
          </w:p>
        </w:tc>
        <w:tc>
          <w:tcPr>
            <w:tcW w:w="1564" w:type="dxa"/>
            <w:tcBorders>
              <w:tl2br w:val="nil"/>
              <w:tr2bl w:val="nil"/>
            </w:tcBorders>
            <w:noWrap w:val="0"/>
            <w:vAlign w:val="center"/>
          </w:tcPr>
          <w:p w14:paraId="4721DD54">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物料名称</w:t>
            </w:r>
          </w:p>
        </w:tc>
        <w:tc>
          <w:tcPr>
            <w:tcW w:w="1124" w:type="dxa"/>
            <w:tcBorders>
              <w:tl2br w:val="nil"/>
              <w:tr2bl w:val="nil"/>
            </w:tcBorders>
            <w:noWrap w:val="0"/>
            <w:vAlign w:val="center"/>
          </w:tcPr>
          <w:p w14:paraId="71A88EFD">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数量（t/</w:t>
            </w:r>
            <w:r>
              <w:rPr>
                <w:rFonts w:hint="eastAsia" w:cs="Times New Roman"/>
                <w:color w:val="auto"/>
                <w:sz w:val="21"/>
                <w:highlight w:val="none"/>
                <w:lang w:val="en-US" w:eastAsia="zh-CN"/>
              </w:rPr>
              <w:t>a</w:t>
            </w:r>
            <w:r>
              <w:rPr>
                <w:rFonts w:hint="default" w:ascii="Times New Roman" w:hAnsi="Times New Roman" w:cs="Times New Roman"/>
                <w:color w:val="auto"/>
                <w:sz w:val="21"/>
                <w:highlight w:val="none"/>
              </w:rPr>
              <w:t>）</w:t>
            </w:r>
          </w:p>
        </w:tc>
        <w:tc>
          <w:tcPr>
            <w:tcW w:w="947" w:type="dxa"/>
            <w:tcBorders>
              <w:tl2br w:val="nil"/>
              <w:tr2bl w:val="nil"/>
            </w:tcBorders>
            <w:noWrap w:val="0"/>
            <w:vAlign w:val="center"/>
          </w:tcPr>
          <w:p w14:paraId="6F26F9B0">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比例（%）</w:t>
            </w:r>
          </w:p>
        </w:tc>
      </w:tr>
      <w:tr w14:paraId="28F59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4" w:type="dxa"/>
            <w:tcBorders>
              <w:tl2br w:val="nil"/>
              <w:tr2bl w:val="nil"/>
            </w:tcBorders>
            <w:noWrap w:val="0"/>
            <w:vAlign w:val="center"/>
          </w:tcPr>
          <w:p w14:paraId="29707EAD">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bookmarkStart w:id="103" w:name="OLE_LINK56" w:colFirst="1" w:colLast="1"/>
            <w:bookmarkStart w:id="104" w:name="_Hlk520386905"/>
            <w:bookmarkStart w:id="105" w:name="OLE_LINK37" w:colFirst="1" w:colLast="1"/>
            <w:r>
              <w:rPr>
                <w:rFonts w:hint="default" w:ascii="Times New Roman" w:hAnsi="Times New Roman" w:cs="Times New Roman"/>
                <w:color w:val="auto"/>
                <w:sz w:val="21"/>
                <w:highlight w:val="none"/>
              </w:rPr>
              <w:t>1</w:t>
            </w:r>
          </w:p>
        </w:tc>
        <w:tc>
          <w:tcPr>
            <w:tcW w:w="1502" w:type="dxa"/>
            <w:tcBorders>
              <w:tl2br w:val="nil"/>
              <w:tr2bl w:val="nil"/>
            </w:tcBorders>
            <w:noWrap w:val="0"/>
            <w:vAlign w:val="center"/>
          </w:tcPr>
          <w:p w14:paraId="7C21061C">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萤石原矿</w:t>
            </w:r>
          </w:p>
        </w:tc>
        <w:tc>
          <w:tcPr>
            <w:tcW w:w="1042" w:type="dxa"/>
            <w:tcBorders>
              <w:tl2br w:val="nil"/>
              <w:tr2bl w:val="nil"/>
            </w:tcBorders>
            <w:noWrap w:val="0"/>
            <w:vAlign w:val="center"/>
          </w:tcPr>
          <w:p w14:paraId="71A4AB09">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300000</w:t>
            </w:r>
          </w:p>
        </w:tc>
        <w:tc>
          <w:tcPr>
            <w:tcW w:w="1029" w:type="dxa"/>
            <w:tcBorders>
              <w:tl2br w:val="nil"/>
              <w:tr2bl w:val="nil"/>
            </w:tcBorders>
            <w:noWrap w:val="0"/>
            <w:vAlign w:val="center"/>
          </w:tcPr>
          <w:p w14:paraId="47AAB705">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99.</w:t>
            </w:r>
            <w:r>
              <w:rPr>
                <w:rFonts w:hint="eastAsia" w:cs="Times New Roman"/>
                <w:color w:val="auto"/>
                <w:sz w:val="21"/>
                <w:highlight w:val="none"/>
                <w:lang w:val="en-US" w:eastAsia="zh-CN"/>
              </w:rPr>
              <w:t>994</w:t>
            </w:r>
          </w:p>
        </w:tc>
        <w:tc>
          <w:tcPr>
            <w:tcW w:w="574" w:type="dxa"/>
            <w:tcBorders>
              <w:tl2br w:val="nil"/>
              <w:tr2bl w:val="nil"/>
            </w:tcBorders>
            <w:noWrap w:val="0"/>
            <w:vAlign w:val="center"/>
          </w:tcPr>
          <w:p w14:paraId="3CD7C08B">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1</w:t>
            </w:r>
          </w:p>
        </w:tc>
        <w:tc>
          <w:tcPr>
            <w:tcW w:w="1564" w:type="dxa"/>
            <w:tcBorders>
              <w:tl2br w:val="nil"/>
              <w:tr2bl w:val="nil"/>
            </w:tcBorders>
            <w:noWrap w:val="0"/>
            <w:vAlign w:val="center"/>
          </w:tcPr>
          <w:p w14:paraId="5E57D6F6">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萤石精矿</w:t>
            </w:r>
          </w:p>
        </w:tc>
        <w:tc>
          <w:tcPr>
            <w:tcW w:w="1124" w:type="dxa"/>
            <w:tcBorders>
              <w:tl2br w:val="nil"/>
              <w:tr2bl w:val="nil"/>
            </w:tcBorders>
            <w:noWrap w:val="0"/>
            <w:vAlign w:val="center"/>
          </w:tcPr>
          <w:p w14:paraId="530D5473">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125000</w:t>
            </w:r>
          </w:p>
        </w:tc>
        <w:tc>
          <w:tcPr>
            <w:tcW w:w="947" w:type="dxa"/>
            <w:tcBorders>
              <w:tl2br w:val="nil"/>
              <w:tr2bl w:val="nil"/>
            </w:tcBorders>
            <w:noWrap w:val="0"/>
            <w:vAlign w:val="center"/>
          </w:tcPr>
          <w:p w14:paraId="2D86584E">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41.664</w:t>
            </w:r>
          </w:p>
        </w:tc>
      </w:tr>
      <w:tr w14:paraId="4A923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4" w:type="dxa"/>
            <w:tcBorders>
              <w:tl2br w:val="nil"/>
              <w:tr2bl w:val="nil"/>
            </w:tcBorders>
            <w:noWrap w:val="0"/>
            <w:vAlign w:val="center"/>
          </w:tcPr>
          <w:p w14:paraId="7FFDD6BE">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2</w:t>
            </w:r>
          </w:p>
        </w:tc>
        <w:tc>
          <w:tcPr>
            <w:tcW w:w="1502" w:type="dxa"/>
            <w:tcBorders>
              <w:tl2br w:val="nil"/>
              <w:tr2bl w:val="nil"/>
            </w:tcBorders>
            <w:noWrap w:val="0"/>
            <w:vAlign w:val="center"/>
          </w:tcPr>
          <w:p w14:paraId="496F1199">
            <w:pPr>
              <w:autoSpaceDE w:val="0"/>
              <w:autoSpaceDN w:val="0"/>
              <w:adjustRightInd w:val="0"/>
              <w:spacing w:line="240" w:lineRule="atLeast"/>
              <w:ind w:firstLine="0" w:firstLineChars="0"/>
              <w:jc w:val="center"/>
              <w:rPr>
                <w:rFonts w:hint="eastAsia" w:ascii="Times New Roman" w:hAnsi="Times New Roman" w:eastAsia="宋体" w:cs="Times New Roman"/>
                <w:color w:val="auto"/>
                <w:sz w:val="21"/>
                <w:highlight w:val="none"/>
                <w:lang w:val="pt-BR" w:eastAsia="zh-CN"/>
              </w:rPr>
            </w:pPr>
            <w:r>
              <w:rPr>
                <w:rFonts w:hint="eastAsia" w:eastAsia="宋体" w:cs="Times New Roman"/>
                <w:color w:val="auto"/>
                <w:sz w:val="21"/>
                <w:highlight w:val="none"/>
                <w:lang w:val="en-US" w:eastAsia="zh-CN"/>
              </w:rPr>
              <w:t>油酸</w:t>
            </w:r>
          </w:p>
        </w:tc>
        <w:tc>
          <w:tcPr>
            <w:tcW w:w="1042" w:type="dxa"/>
            <w:tcBorders>
              <w:tl2br w:val="nil"/>
              <w:tr2bl w:val="nil"/>
            </w:tcBorders>
            <w:noWrap w:val="0"/>
            <w:vAlign w:val="center"/>
          </w:tcPr>
          <w:p w14:paraId="22A36F21">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5.0</w:t>
            </w:r>
          </w:p>
        </w:tc>
        <w:tc>
          <w:tcPr>
            <w:tcW w:w="1029" w:type="dxa"/>
            <w:tcBorders>
              <w:tl2br w:val="nil"/>
              <w:tr2bl w:val="nil"/>
            </w:tcBorders>
            <w:noWrap w:val="0"/>
            <w:vAlign w:val="center"/>
          </w:tcPr>
          <w:p w14:paraId="0596C764">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0.0017</w:t>
            </w:r>
          </w:p>
        </w:tc>
        <w:tc>
          <w:tcPr>
            <w:tcW w:w="574" w:type="dxa"/>
            <w:tcBorders>
              <w:tl2br w:val="nil"/>
              <w:tr2bl w:val="nil"/>
            </w:tcBorders>
            <w:noWrap w:val="0"/>
            <w:vAlign w:val="center"/>
          </w:tcPr>
          <w:p w14:paraId="37F1D55A">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2</w:t>
            </w:r>
          </w:p>
        </w:tc>
        <w:tc>
          <w:tcPr>
            <w:tcW w:w="1564" w:type="dxa"/>
            <w:tcBorders>
              <w:tl2br w:val="nil"/>
              <w:tr2bl w:val="nil"/>
            </w:tcBorders>
            <w:noWrap w:val="0"/>
            <w:vAlign w:val="center"/>
          </w:tcPr>
          <w:p w14:paraId="1DBABA4B">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lang w:val="en-US" w:eastAsia="zh-CN"/>
              </w:rPr>
              <w:t>有组织</w:t>
            </w:r>
            <w:r>
              <w:rPr>
                <w:rFonts w:hint="default" w:ascii="Times New Roman" w:hAnsi="Times New Roman" w:cs="Times New Roman"/>
                <w:color w:val="auto"/>
                <w:sz w:val="21"/>
                <w:highlight w:val="none"/>
              </w:rPr>
              <w:t>粉尘</w:t>
            </w:r>
            <w:r>
              <w:rPr>
                <w:rFonts w:hint="default" w:ascii="Times New Roman" w:hAnsi="Times New Roman" w:cs="Times New Roman"/>
                <w:color w:val="auto"/>
                <w:sz w:val="21"/>
                <w:highlight w:val="none"/>
                <w:lang w:val="en-US" w:eastAsia="zh-CN"/>
              </w:rPr>
              <w:t>排放</w:t>
            </w:r>
          </w:p>
        </w:tc>
        <w:tc>
          <w:tcPr>
            <w:tcW w:w="1124" w:type="dxa"/>
            <w:tcBorders>
              <w:tl2br w:val="nil"/>
              <w:tr2bl w:val="nil"/>
            </w:tcBorders>
            <w:noWrap w:val="0"/>
            <w:vAlign w:val="center"/>
          </w:tcPr>
          <w:p w14:paraId="4F6AB09E">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0.0</w:t>
            </w:r>
            <w:r>
              <w:rPr>
                <w:rFonts w:hint="eastAsia" w:cs="Times New Roman"/>
                <w:color w:val="auto"/>
                <w:sz w:val="21"/>
                <w:highlight w:val="none"/>
                <w:lang w:val="en-US" w:eastAsia="zh-CN"/>
              </w:rPr>
              <w:t>34</w:t>
            </w:r>
          </w:p>
        </w:tc>
        <w:tc>
          <w:tcPr>
            <w:tcW w:w="947" w:type="dxa"/>
            <w:tcBorders>
              <w:tl2br w:val="nil"/>
              <w:tr2bl w:val="nil"/>
            </w:tcBorders>
            <w:noWrap w:val="0"/>
            <w:vAlign w:val="center"/>
          </w:tcPr>
          <w:p w14:paraId="78EF1950">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w:t>
            </w:r>
          </w:p>
        </w:tc>
      </w:tr>
      <w:tr w14:paraId="72383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4" w:type="dxa"/>
            <w:tcBorders>
              <w:tl2br w:val="nil"/>
              <w:tr2bl w:val="nil"/>
            </w:tcBorders>
            <w:noWrap w:val="0"/>
            <w:vAlign w:val="center"/>
          </w:tcPr>
          <w:p w14:paraId="1CE3D814">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3</w:t>
            </w:r>
          </w:p>
        </w:tc>
        <w:tc>
          <w:tcPr>
            <w:tcW w:w="1502" w:type="dxa"/>
            <w:tcBorders>
              <w:tl2br w:val="nil"/>
              <w:tr2bl w:val="nil"/>
            </w:tcBorders>
            <w:noWrap w:val="0"/>
            <w:vAlign w:val="center"/>
          </w:tcPr>
          <w:p w14:paraId="041C7A98">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lang w:val="pt-BR"/>
              </w:rPr>
            </w:pPr>
            <w:r>
              <w:rPr>
                <w:rFonts w:hint="eastAsia" w:cs="Times New Roman"/>
                <w:color w:val="auto"/>
                <w:sz w:val="21"/>
                <w:highlight w:val="none"/>
                <w:lang w:val="en-US" w:eastAsia="zh-CN"/>
              </w:rPr>
              <w:t>碳酸</w:t>
            </w:r>
            <w:r>
              <w:rPr>
                <w:rFonts w:hint="default" w:ascii="Times New Roman" w:hAnsi="Times New Roman" w:cs="Times New Roman"/>
                <w:color w:val="auto"/>
                <w:sz w:val="21"/>
                <w:highlight w:val="none"/>
                <w:lang w:val="pt-BR"/>
              </w:rPr>
              <w:t>钠</w:t>
            </w:r>
          </w:p>
        </w:tc>
        <w:tc>
          <w:tcPr>
            <w:tcW w:w="1042" w:type="dxa"/>
            <w:tcBorders>
              <w:tl2br w:val="nil"/>
              <w:tr2bl w:val="nil"/>
            </w:tcBorders>
            <w:noWrap w:val="0"/>
            <w:vAlign w:val="center"/>
          </w:tcPr>
          <w:p w14:paraId="67233A66">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7.0</w:t>
            </w:r>
          </w:p>
        </w:tc>
        <w:tc>
          <w:tcPr>
            <w:tcW w:w="1029" w:type="dxa"/>
            <w:tcBorders>
              <w:tl2br w:val="nil"/>
              <w:tr2bl w:val="nil"/>
            </w:tcBorders>
            <w:noWrap w:val="0"/>
            <w:vAlign w:val="center"/>
          </w:tcPr>
          <w:p w14:paraId="5A46AC5B">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0.</w:t>
            </w:r>
            <w:r>
              <w:rPr>
                <w:rFonts w:hint="eastAsia" w:cs="Times New Roman"/>
                <w:color w:val="auto"/>
                <w:sz w:val="21"/>
                <w:highlight w:val="none"/>
                <w:lang w:val="en-US" w:eastAsia="zh-CN"/>
              </w:rPr>
              <w:t>0026</w:t>
            </w:r>
          </w:p>
        </w:tc>
        <w:tc>
          <w:tcPr>
            <w:tcW w:w="574" w:type="dxa"/>
            <w:tcBorders>
              <w:tl2br w:val="nil"/>
              <w:tr2bl w:val="nil"/>
            </w:tcBorders>
            <w:noWrap w:val="0"/>
            <w:vAlign w:val="center"/>
          </w:tcPr>
          <w:p w14:paraId="218B6579">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3</w:t>
            </w:r>
          </w:p>
        </w:tc>
        <w:tc>
          <w:tcPr>
            <w:tcW w:w="1564" w:type="dxa"/>
            <w:tcBorders>
              <w:tl2br w:val="nil"/>
              <w:tr2bl w:val="nil"/>
            </w:tcBorders>
            <w:noWrap w:val="0"/>
            <w:vAlign w:val="center"/>
          </w:tcPr>
          <w:p w14:paraId="5833485E">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无组织粉尘排放</w:t>
            </w:r>
          </w:p>
        </w:tc>
        <w:tc>
          <w:tcPr>
            <w:tcW w:w="1124" w:type="dxa"/>
            <w:tcBorders>
              <w:tl2br w:val="nil"/>
              <w:tr2bl w:val="nil"/>
            </w:tcBorders>
            <w:noWrap w:val="0"/>
            <w:vAlign w:val="center"/>
          </w:tcPr>
          <w:p w14:paraId="43CC0EF3">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0.675</w:t>
            </w:r>
          </w:p>
        </w:tc>
        <w:tc>
          <w:tcPr>
            <w:tcW w:w="947" w:type="dxa"/>
            <w:tcBorders>
              <w:tl2br w:val="nil"/>
              <w:tr2bl w:val="nil"/>
            </w:tcBorders>
            <w:noWrap w:val="0"/>
            <w:vAlign w:val="center"/>
          </w:tcPr>
          <w:p w14:paraId="539524BB">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w:t>
            </w:r>
          </w:p>
        </w:tc>
      </w:tr>
      <w:tr w14:paraId="27633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4" w:type="dxa"/>
            <w:tcBorders>
              <w:tl2br w:val="nil"/>
              <w:tr2bl w:val="nil"/>
            </w:tcBorders>
            <w:noWrap w:val="0"/>
            <w:vAlign w:val="center"/>
          </w:tcPr>
          <w:p w14:paraId="02632F04">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4</w:t>
            </w:r>
          </w:p>
        </w:tc>
        <w:tc>
          <w:tcPr>
            <w:tcW w:w="1502" w:type="dxa"/>
            <w:tcBorders>
              <w:tl2br w:val="nil"/>
              <w:tr2bl w:val="nil"/>
            </w:tcBorders>
            <w:noWrap w:val="0"/>
            <w:vAlign w:val="center"/>
          </w:tcPr>
          <w:p w14:paraId="449160FC">
            <w:pPr>
              <w:autoSpaceDE w:val="0"/>
              <w:autoSpaceDN w:val="0"/>
              <w:adjustRightInd w:val="0"/>
              <w:spacing w:line="240" w:lineRule="atLeast"/>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sz w:val="21"/>
                <w:highlight w:val="none"/>
                <w:lang w:val="en-US" w:eastAsia="zh-CN"/>
              </w:rPr>
              <w:t>水玻璃</w:t>
            </w:r>
          </w:p>
        </w:tc>
        <w:tc>
          <w:tcPr>
            <w:tcW w:w="1042" w:type="dxa"/>
            <w:tcBorders>
              <w:tl2br w:val="nil"/>
              <w:tr2bl w:val="nil"/>
            </w:tcBorders>
            <w:noWrap w:val="0"/>
            <w:vAlign w:val="center"/>
          </w:tcPr>
          <w:p w14:paraId="68784F08">
            <w:pPr>
              <w:autoSpaceDE w:val="0"/>
              <w:autoSpaceDN w:val="0"/>
              <w:adjustRightInd w:val="0"/>
              <w:spacing w:line="240" w:lineRule="atLeast"/>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s="Times New Roman"/>
                <w:color w:val="auto"/>
                <w:sz w:val="21"/>
                <w:highlight w:val="none"/>
                <w:lang w:val="en-US" w:eastAsia="zh-CN"/>
              </w:rPr>
              <w:t>5.0</w:t>
            </w:r>
          </w:p>
        </w:tc>
        <w:tc>
          <w:tcPr>
            <w:tcW w:w="1029" w:type="dxa"/>
            <w:tcBorders>
              <w:tl2br w:val="nil"/>
              <w:tr2bl w:val="nil"/>
            </w:tcBorders>
            <w:noWrap w:val="0"/>
            <w:vAlign w:val="center"/>
          </w:tcPr>
          <w:p w14:paraId="4187F42F">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kern w:val="2"/>
                <w:sz w:val="21"/>
                <w:szCs w:val="24"/>
                <w:highlight w:val="none"/>
                <w:lang w:val="en-US" w:eastAsia="zh-CN" w:bidi="ar-SA"/>
              </w:rPr>
            </w:pPr>
            <w:r>
              <w:rPr>
                <w:rFonts w:hint="eastAsia" w:eastAsia="宋体" w:cs="Times New Roman"/>
                <w:color w:val="auto"/>
                <w:sz w:val="21"/>
                <w:highlight w:val="none"/>
                <w:lang w:val="en-US" w:eastAsia="zh-CN"/>
              </w:rPr>
              <w:t>0.0017</w:t>
            </w:r>
          </w:p>
        </w:tc>
        <w:tc>
          <w:tcPr>
            <w:tcW w:w="574" w:type="dxa"/>
            <w:tcBorders>
              <w:tl2br w:val="nil"/>
              <w:tr2bl w:val="nil"/>
            </w:tcBorders>
            <w:noWrap w:val="0"/>
            <w:vAlign w:val="center"/>
          </w:tcPr>
          <w:p w14:paraId="0C0AF493">
            <w:pPr>
              <w:autoSpaceDE w:val="0"/>
              <w:autoSpaceDN w:val="0"/>
              <w:adjustRightInd w:val="0"/>
              <w:spacing w:line="240" w:lineRule="atLeas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lang w:val="en-US" w:eastAsia="zh-CN"/>
              </w:rPr>
              <w:t>4</w:t>
            </w:r>
          </w:p>
        </w:tc>
        <w:tc>
          <w:tcPr>
            <w:tcW w:w="1564" w:type="dxa"/>
            <w:tcBorders>
              <w:tl2br w:val="nil"/>
              <w:tr2bl w:val="nil"/>
            </w:tcBorders>
            <w:noWrap w:val="0"/>
            <w:vAlign w:val="center"/>
          </w:tcPr>
          <w:p w14:paraId="6CBBD645">
            <w:pPr>
              <w:autoSpaceDE w:val="0"/>
              <w:autoSpaceDN w:val="0"/>
              <w:adjustRightInd w:val="0"/>
              <w:spacing w:line="240" w:lineRule="atLeas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highlight w:val="none"/>
              </w:rPr>
              <w:t>尾矿</w:t>
            </w:r>
          </w:p>
        </w:tc>
        <w:tc>
          <w:tcPr>
            <w:tcW w:w="1124" w:type="dxa"/>
            <w:tcBorders>
              <w:tl2br w:val="nil"/>
              <w:tr2bl w:val="nil"/>
            </w:tcBorders>
            <w:noWrap w:val="0"/>
            <w:vAlign w:val="center"/>
          </w:tcPr>
          <w:p w14:paraId="0F8FDB2A">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175010.891</w:t>
            </w:r>
          </w:p>
        </w:tc>
        <w:tc>
          <w:tcPr>
            <w:tcW w:w="947" w:type="dxa"/>
            <w:tcBorders>
              <w:tl2br w:val="nil"/>
              <w:tr2bl w:val="nil"/>
            </w:tcBorders>
            <w:noWrap w:val="0"/>
            <w:vAlign w:val="center"/>
          </w:tcPr>
          <w:p w14:paraId="363DB8E7">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58.334</w:t>
            </w:r>
          </w:p>
        </w:tc>
      </w:tr>
      <w:tr w14:paraId="1083B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4" w:type="dxa"/>
            <w:tcBorders>
              <w:tl2br w:val="nil"/>
              <w:tr2bl w:val="nil"/>
            </w:tcBorders>
            <w:noWrap w:val="0"/>
            <w:vAlign w:val="center"/>
          </w:tcPr>
          <w:p w14:paraId="33BE06B1">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5</w:t>
            </w:r>
          </w:p>
        </w:tc>
        <w:tc>
          <w:tcPr>
            <w:tcW w:w="1502" w:type="dxa"/>
            <w:tcBorders>
              <w:tl2br w:val="nil"/>
              <w:tr2bl w:val="nil"/>
            </w:tcBorders>
            <w:noWrap w:val="0"/>
            <w:vAlign w:val="center"/>
          </w:tcPr>
          <w:p w14:paraId="3AA63CCC">
            <w:pPr>
              <w:autoSpaceDE w:val="0"/>
              <w:autoSpaceDN w:val="0"/>
              <w:adjustRightInd w:val="0"/>
              <w:spacing w:line="240" w:lineRule="atLeast"/>
              <w:ind w:firstLine="0" w:firstLineChars="0"/>
              <w:jc w:val="center"/>
              <w:rPr>
                <w:rFonts w:hint="eastAsia" w:ascii="Times New Roman" w:hAnsi="Times New Roman" w:eastAsia="宋体" w:cs="Times New Roman"/>
                <w:color w:val="auto"/>
                <w:sz w:val="21"/>
                <w:highlight w:val="none"/>
                <w:lang w:val="pt-BR" w:eastAsia="zh-CN"/>
              </w:rPr>
            </w:pPr>
          </w:p>
        </w:tc>
        <w:tc>
          <w:tcPr>
            <w:tcW w:w="1042" w:type="dxa"/>
            <w:tcBorders>
              <w:tl2br w:val="nil"/>
              <w:tr2bl w:val="nil"/>
            </w:tcBorders>
            <w:noWrap w:val="0"/>
            <w:vAlign w:val="center"/>
          </w:tcPr>
          <w:p w14:paraId="24587C78">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p>
        </w:tc>
        <w:tc>
          <w:tcPr>
            <w:tcW w:w="1029" w:type="dxa"/>
            <w:tcBorders>
              <w:tl2br w:val="nil"/>
              <w:tr2bl w:val="nil"/>
            </w:tcBorders>
            <w:noWrap w:val="0"/>
            <w:vAlign w:val="center"/>
          </w:tcPr>
          <w:p w14:paraId="5791C459">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574" w:type="dxa"/>
            <w:tcBorders>
              <w:tl2br w:val="nil"/>
              <w:tr2bl w:val="nil"/>
            </w:tcBorders>
            <w:noWrap w:val="0"/>
            <w:vAlign w:val="center"/>
          </w:tcPr>
          <w:p w14:paraId="7D3A9F8D">
            <w:pPr>
              <w:autoSpaceDE w:val="0"/>
              <w:autoSpaceDN w:val="0"/>
              <w:adjustRightInd w:val="0"/>
              <w:spacing w:line="240" w:lineRule="atLeas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lang w:val="en-US" w:eastAsia="zh-CN"/>
              </w:rPr>
              <w:t>5</w:t>
            </w:r>
          </w:p>
        </w:tc>
        <w:tc>
          <w:tcPr>
            <w:tcW w:w="1564" w:type="dxa"/>
            <w:tcBorders>
              <w:tl2br w:val="nil"/>
              <w:tr2bl w:val="nil"/>
            </w:tcBorders>
            <w:noWrap w:val="0"/>
            <w:vAlign w:val="center"/>
          </w:tcPr>
          <w:p w14:paraId="3AE2FAEE">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kern w:val="2"/>
                <w:sz w:val="21"/>
                <w:szCs w:val="24"/>
                <w:highlight w:val="none"/>
                <w:lang w:val="en-US" w:eastAsia="zh-CN" w:bidi="ar-SA"/>
              </w:rPr>
            </w:pPr>
            <w:r>
              <w:rPr>
                <w:rFonts w:hint="default" w:ascii="Times New Roman" w:hAnsi="Times New Roman" w:eastAsia="宋体" w:cs="Times New Roman"/>
                <w:color w:val="auto"/>
                <w:sz w:val="21"/>
                <w:highlight w:val="none"/>
                <w:lang w:val="en-US" w:eastAsia="zh-CN"/>
              </w:rPr>
              <w:t>沉淀池底泥</w:t>
            </w:r>
          </w:p>
        </w:tc>
        <w:tc>
          <w:tcPr>
            <w:tcW w:w="1124" w:type="dxa"/>
            <w:tcBorders>
              <w:tl2br w:val="nil"/>
              <w:tr2bl w:val="nil"/>
            </w:tcBorders>
            <w:noWrap w:val="0"/>
            <w:vAlign w:val="center"/>
          </w:tcPr>
          <w:p w14:paraId="51A654B3">
            <w:pPr>
              <w:autoSpaceDE w:val="0"/>
              <w:autoSpaceDN w:val="0"/>
              <w:adjustRightInd w:val="0"/>
              <w:spacing w:line="240" w:lineRule="atLeas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5.4</w:t>
            </w:r>
          </w:p>
        </w:tc>
        <w:tc>
          <w:tcPr>
            <w:tcW w:w="947" w:type="dxa"/>
            <w:tcBorders>
              <w:tl2br w:val="nil"/>
              <w:tr2bl w:val="nil"/>
            </w:tcBorders>
            <w:noWrap w:val="0"/>
            <w:vAlign w:val="center"/>
          </w:tcPr>
          <w:p w14:paraId="59F1B6DC">
            <w:pPr>
              <w:autoSpaceDE w:val="0"/>
              <w:autoSpaceDN w:val="0"/>
              <w:adjustRightInd w:val="0"/>
              <w:spacing w:line="240" w:lineRule="atLeast"/>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0.002</w:t>
            </w:r>
          </w:p>
        </w:tc>
      </w:tr>
      <w:tr w14:paraId="05719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4" w:type="dxa"/>
            <w:tcBorders>
              <w:tl2br w:val="nil"/>
              <w:tr2bl w:val="nil"/>
            </w:tcBorders>
            <w:noWrap w:val="0"/>
            <w:vAlign w:val="center"/>
          </w:tcPr>
          <w:p w14:paraId="26933B53">
            <w:pPr>
              <w:autoSpaceDE w:val="0"/>
              <w:autoSpaceDN w:val="0"/>
              <w:adjustRightInd w:val="0"/>
              <w:spacing w:line="240" w:lineRule="atLeast"/>
              <w:ind w:firstLine="0" w:firstLineChars="0"/>
              <w:jc w:val="center"/>
              <w:rPr>
                <w:rFonts w:hint="eastAsia"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6</w:t>
            </w:r>
          </w:p>
        </w:tc>
        <w:tc>
          <w:tcPr>
            <w:tcW w:w="1502" w:type="dxa"/>
            <w:tcBorders>
              <w:tl2br w:val="nil"/>
              <w:tr2bl w:val="nil"/>
            </w:tcBorders>
            <w:noWrap w:val="0"/>
            <w:vAlign w:val="center"/>
          </w:tcPr>
          <w:p w14:paraId="0930EA59">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lang w:val="pt-BR"/>
              </w:rPr>
            </w:pPr>
          </w:p>
        </w:tc>
        <w:tc>
          <w:tcPr>
            <w:tcW w:w="1042" w:type="dxa"/>
            <w:tcBorders>
              <w:tl2br w:val="nil"/>
              <w:tr2bl w:val="nil"/>
            </w:tcBorders>
            <w:noWrap w:val="0"/>
            <w:vAlign w:val="center"/>
          </w:tcPr>
          <w:p w14:paraId="03E9C7A7">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1029" w:type="dxa"/>
            <w:tcBorders>
              <w:tl2br w:val="nil"/>
              <w:tr2bl w:val="nil"/>
            </w:tcBorders>
            <w:noWrap w:val="0"/>
            <w:vAlign w:val="center"/>
          </w:tcPr>
          <w:p w14:paraId="3DC6ABFB">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574" w:type="dxa"/>
            <w:tcBorders>
              <w:tl2br w:val="nil"/>
              <w:tr2bl w:val="nil"/>
            </w:tcBorders>
            <w:noWrap w:val="0"/>
            <w:vAlign w:val="center"/>
          </w:tcPr>
          <w:p w14:paraId="4A303E85">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p>
        </w:tc>
        <w:tc>
          <w:tcPr>
            <w:tcW w:w="1564" w:type="dxa"/>
            <w:tcBorders>
              <w:tl2br w:val="nil"/>
              <w:tr2bl w:val="nil"/>
            </w:tcBorders>
            <w:noWrap w:val="0"/>
            <w:vAlign w:val="center"/>
          </w:tcPr>
          <w:p w14:paraId="768198DB">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1124" w:type="dxa"/>
            <w:tcBorders>
              <w:tl2br w:val="nil"/>
              <w:tr2bl w:val="nil"/>
            </w:tcBorders>
            <w:noWrap w:val="0"/>
            <w:vAlign w:val="center"/>
          </w:tcPr>
          <w:p w14:paraId="1F08DBBC">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p>
        </w:tc>
        <w:tc>
          <w:tcPr>
            <w:tcW w:w="947" w:type="dxa"/>
            <w:tcBorders>
              <w:tl2br w:val="nil"/>
              <w:tr2bl w:val="nil"/>
            </w:tcBorders>
            <w:noWrap w:val="0"/>
            <w:vAlign w:val="center"/>
          </w:tcPr>
          <w:p w14:paraId="7C46BB52">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p>
        </w:tc>
      </w:tr>
      <w:tr w14:paraId="6896E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76" w:type="dxa"/>
            <w:gridSpan w:val="2"/>
            <w:tcBorders>
              <w:tl2br w:val="nil"/>
              <w:tr2bl w:val="nil"/>
            </w:tcBorders>
            <w:noWrap w:val="0"/>
            <w:vAlign w:val="center"/>
          </w:tcPr>
          <w:p w14:paraId="74E9C439">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lang w:val="pt-BR"/>
              </w:rPr>
            </w:pPr>
            <w:r>
              <w:rPr>
                <w:rFonts w:hint="default" w:ascii="Times New Roman" w:hAnsi="Times New Roman" w:cs="Times New Roman"/>
                <w:color w:val="auto"/>
                <w:sz w:val="21"/>
                <w:highlight w:val="none"/>
              </w:rPr>
              <w:t>总计</w:t>
            </w:r>
          </w:p>
        </w:tc>
        <w:tc>
          <w:tcPr>
            <w:tcW w:w="1042" w:type="dxa"/>
            <w:tcBorders>
              <w:tl2br w:val="nil"/>
              <w:tr2bl w:val="nil"/>
            </w:tcBorders>
            <w:noWrap w:val="0"/>
            <w:vAlign w:val="center"/>
          </w:tcPr>
          <w:p w14:paraId="06E23E0E">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300017</w:t>
            </w:r>
          </w:p>
        </w:tc>
        <w:tc>
          <w:tcPr>
            <w:tcW w:w="1029" w:type="dxa"/>
            <w:tcBorders>
              <w:tl2br w:val="nil"/>
              <w:tr2bl w:val="nil"/>
            </w:tcBorders>
            <w:noWrap w:val="0"/>
            <w:vAlign w:val="center"/>
          </w:tcPr>
          <w:p w14:paraId="32AA7FF7">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100.00</w:t>
            </w:r>
          </w:p>
        </w:tc>
        <w:tc>
          <w:tcPr>
            <w:tcW w:w="2138" w:type="dxa"/>
            <w:gridSpan w:val="2"/>
            <w:tcBorders>
              <w:tl2br w:val="nil"/>
              <w:tr2bl w:val="nil"/>
            </w:tcBorders>
            <w:noWrap w:val="0"/>
            <w:vAlign w:val="center"/>
          </w:tcPr>
          <w:p w14:paraId="0E9E53A7">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总计</w:t>
            </w:r>
          </w:p>
        </w:tc>
        <w:tc>
          <w:tcPr>
            <w:tcW w:w="1124" w:type="dxa"/>
            <w:tcBorders>
              <w:tl2br w:val="nil"/>
              <w:tr2bl w:val="nil"/>
            </w:tcBorders>
            <w:noWrap w:val="0"/>
            <w:vAlign w:val="center"/>
          </w:tcPr>
          <w:p w14:paraId="748E2EEF">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300017</w:t>
            </w:r>
          </w:p>
        </w:tc>
        <w:tc>
          <w:tcPr>
            <w:tcW w:w="947" w:type="dxa"/>
            <w:tcBorders>
              <w:tl2br w:val="nil"/>
              <w:tr2bl w:val="nil"/>
            </w:tcBorders>
            <w:noWrap w:val="0"/>
            <w:vAlign w:val="center"/>
          </w:tcPr>
          <w:p w14:paraId="1F9D13E3">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100.00</w:t>
            </w:r>
          </w:p>
        </w:tc>
      </w:tr>
      <w:bookmarkEnd w:id="103"/>
      <w:bookmarkEnd w:id="104"/>
      <w:bookmarkEnd w:id="105"/>
    </w:tbl>
    <w:p w14:paraId="122046F6">
      <w:pPr>
        <w:rPr>
          <w:rFonts w:hint="eastAsia"/>
          <w:color w:val="auto"/>
          <w:highlight w:val="none"/>
          <w:lang w:val="en-US" w:eastAsia="zh-CN"/>
        </w:rPr>
      </w:pPr>
    </w:p>
    <w:p w14:paraId="519360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highlight w:val="none"/>
        </w:rPr>
      </w:pPr>
    </w:p>
    <w:p w14:paraId="27D397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highlight w:val="none"/>
        </w:rPr>
      </w:pPr>
      <w:r>
        <w:rPr>
          <w:b/>
          <w:color w:val="auto"/>
          <w:highlight w:val="none"/>
        </w:rPr>
        <w:object>
          <v:shape id="_x0000_i1027" o:spt="75" type="#_x0000_t75" style="height:603.45pt;width:414.7pt;" o:ole="t" filled="f" o:preferrelative="t" stroked="f" coordsize="21600,21600">
            <v:path/>
            <v:fill on="f" focussize="0,0"/>
            <v:stroke on="f"/>
            <v:imagedata r:id="rId40" o:title=""/>
            <o:lock v:ext="edit" aspectratio="f"/>
            <w10:wrap type="none"/>
            <w10:anchorlock/>
          </v:shape>
          <o:OLEObject Type="Embed" ProgID="Visio.Drawing.15" ShapeID="_x0000_i1027" DrawAspect="Content" ObjectID="_1468075727" r:id="rId39">
            <o:LockedField>false</o:LockedField>
          </o:OLEObject>
        </w:object>
      </w:r>
    </w:p>
    <w:p w14:paraId="2C022003">
      <w:pPr>
        <w:adjustRightInd w:val="0"/>
        <w:snapToGrid w:val="0"/>
        <w:jc w:val="center"/>
        <w:rPr>
          <w:b/>
          <w:color w:val="auto"/>
          <w:highlight w:val="none"/>
        </w:rPr>
      </w:pPr>
      <w:r>
        <w:rPr>
          <w:b/>
          <w:color w:val="auto"/>
          <w:highlight w:val="none"/>
        </w:rPr>
        <w:t>图</w:t>
      </w:r>
      <w:r>
        <w:rPr>
          <w:rFonts w:hint="eastAsia"/>
          <w:b/>
          <w:color w:val="auto"/>
          <w:highlight w:val="none"/>
          <w:lang w:val="en-US" w:eastAsia="zh-CN"/>
        </w:rPr>
        <w:t>3.11-3</w:t>
      </w:r>
      <w:r>
        <w:rPr>
          <w:b/>
          <w:color w:val="auto"/>
          <w:highlight w:val="none"/>
        </w:rPr>
        <w:t xml:space="preserve">   物料平衡图     单位：t/a</w:t>
      </w:r>
    </w:p>
    <w:p w14:paraId="7F652E09">
      <w:pPr>
        <w:pStyle w:val="2"/>
        <w:rPr>
          <w:b/>
          <w:color w:val="auto"/>
          <w:highlight w:val="none"/>
        </w:rPr>
      </w:pPr>
    </w:p>
    <w:p w14:paraId="3ABBBEDE">
      <w:pPr>
        <w:rPr>
          <w:color w:val="auto"/>
          <w:highlight w:val="none"/>
        </w:rPr>
      </w:pPr>
    </w:p>
    <w:p w14:paraId="09AA493B">
      <w:pPr>
        <w:pStyle w:val="6"/>
        <w:rPr>
          <w:rFonts w:hint="default"/>
          <w:color w:val="auto"/>
          <w:highlight w:val="none"/>
          <w:lang w:val="en-US" w:eastAsia="zh-CN"/>
        </w:rPr>
      </w:pPr>
      <w:r>
        <w:rPr>
          <w:rFonts w:hint="eastAsia"/>
          <w:color w:val="auto"/>
          <w:highlight w:val="none"/>
          <w:lang w:val="en-US" w:eastAsia="zh-CN"/>
        </w:rPr>
        <w:t xml:space="preserve"> 氟元素平衡</w:t>
      </w:r>
    </w:p>
    <w:p w14:paraId="27BA015E">
      <w:pPr>
        <w:ind w:firstLine="480"/>
        <w:rPr>
          <w:rFonts w:hint="eastAsia"/>
          <w:color w:val="auto"/>
          <w:highlight w:val="none"/>
          <w:lang w:val="en-US" w:eastAsia="zh-CN"/>
        </w:rPr>
      </w:pPr>
      <w:r>
        <w:rPr>
          <w:rFonts w:hint="eastAsia"/>
          <w:color w:val="auto"/>
          <w:highlight w:val="none"/>
          <w:lang w:val="en-US" w:eastAsia="zh-CN"/>
        </w:rPr>
        <w:t>本项目年加工处理原矿石量为30×10</w:t>
      </w:r>
      <w:r>
        <w:rPr>
          <w:rFonts w:hint="eastAsia"/>
          <w:color w:val="auto"/>
          <w:highlight w:val="none"/>
          <w:vertAlign w:val="superscript"/>
          <w:lang w:val="en-US" w:eastAsia="zh-CN"/>
        </w:rPr>
        <w:t>4</w:t>
      </w:r>
      <w:r>
        <w:rPr>
          <w:rFonts w:hint="eastAsia"/>
          <w:color w:val="auto"/>
          <w:highlight w:val="none"/>
          <w:lang w:val="en-US" w:eastAsia="zh-CN"/>
        </w:rPr>
        <w:t>t，原矿平均品位CaF</w:t>
      </w:r>
      <w:r>
        <w:rPr>
          <w:rFonts w:hint="eastAsia"/>
          <w:color w:val="auto"/>
          <w:highlight w:val="none"/>
          <w:vertAlign w:val="subscript"/>
          <w:lang w:val="en-US" w:eastAsia="zh-CN"/>
        </w:rPr>
        <w:t>2</w:t>
      </w:r>
      <w:r>
        <w:rPr>
          <w:rFonts w:hint="eastAsia"/>
          <w:color w:val="auto"/>
          <w:highlight w:val="none"/>
          <w:lang w:val="en-US" w:eastAsia="zh-CN"/>
        </w:rPr>
        <w:t>45%，年产萤石精粉12.5万t（CaF</w:t>
      </w:r>
      <w:r>
        <w:rPr>
          <w:rFonts w:hint="eastAsia"/>
          <w:color w:val="auto"/>
          <w:highlight w:val="none"/>
          <w:vertAlign w:val="subscript"/>
          <w:lang w:val="en-US" w:eastAsia="zh-CN"/>
        </w:rPr>
        <w:t>2</w:t>
      </w:r>
      <w:r>
        <w:rPr>
          <w:rFonts w:hint="eastAsia"/>
          <w:color w:val="auto"/>
          <w:highlight w:val="none"/>
          <w:lang w:val="en-US" w:eastAsia="zh-CN"/>
        </w:rPr>
        <w:t>品位97.66%），本项目氟元素平衡见表3.11-4和图3.11-4。</w:t>
      </w:r>
    </w:p>
    <w:p w14:paraId="4FBA2963">
      <w:pPr>
        <w:pStyle w:val="199"/>
        <w:spacing w:before="120"/>
        <w:ind w:firstLine="420" w:firstLineChars="0"/>
        <w:rPr>
          <w:rFonts w:hint="eastAsia"/>
          <w:color w:val="auto"/>
          <w:sz w:val="24"/>
          <w:highlight w:val="none"/>
          <w:lang w:val="en-US" w:eastAsia="zh-CN"/>
        </w:rPr>
      </w:pPr>
      <w:r>
        <w:rPr>
          <w:rFonts w:hint="eastAsia"/>
          <w:color w:val="auto"/>
          <w:sz w:val="24"/>
          <w:highlight w:val="none"/>
          <w:lang w:val="en-US" w:eastAsia="zh-CN"/>
        </w:rPr>
        <w:t>表3.11-4    本项目物料平衡一览表    单位：t/a</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4"/>
        <w:gridCol w:w="1502"/>
        <w:gridCol w:w="1058"/>
        <w:gridCol w:w="1012"/>
        <w:gridCol w:w="574"/>
        <w:gridCol w:w="1564"/>
        <w:gridCol w:w="1042"/>
        <w:gridCol w:w="1030"/>
      </w:tblGrid>
      <w:tr w14:paraId="08BB9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502" w:type="dxa"/>
            <w:gridSpan w:val="4"/>
            <w:tcBorders>
              <w:tl2br w:val="nil"/>
              <w:tr2bl w:val="nil"/>
            </w:tcBorders>
            <w:noWrap w:val="0"/>
            <w:vAlign w:val="center"/>
          </w:tcPr>
          <w:p w14:paraId="5E08B546">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eastAsia" w:ascii="Times New Roman" w:hAnsi="Times New Roman" w:cs="Times New Roman"/>
                <w:color w:val="auto"/>
                <w:sz w:val="21"/>
                <w:highlight w:val="none"/>
                <w:lang w:val="en-US" w:eastAsia="zh-CN"/>
              </w:rPr>
              <w:t>投入</w:t>
            </w:r>
            <w:r>
              <w:rPr>
                <w:rFonts w:hint="default" w:ascii="Times New Roman" w:hAnsi="Times New Roman" w:cs="Times New Roman"/>
                <w:color w:val="auto"/>
                <w:sz w:val="21"/>
                <w:highlight w:val="none"/>
              </w:rPr>
              <w:t>项</w:t>
            </w:r>
          </w:p>
        </w:tc>
        <w:tc>
          <w:tcPr>
            <w:tcW w:w="4570" w:type="dxa"/>
            <w:gridSpan w:val="4"/>
            <w:tcBorders>
              <w:tl2br w:val="nil"/>
              <w:tr2bl w:val="nil"/>
            </w:tcBorders>
            <w:noWrap w:val="0"/>
            <w:vAlign w:val="center"/>
          </w:tcPr>
          <w:p w14:paraId="07F706B5">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eastAsia" w:ascii="Times New Roman" w:hAnsi="Times New Roman" w:cs="Times New Roman"/>
                <w:color w:val="auto"/>
                <w:sz w:val="21"/>
                <w:highlight w:val="none"/>
                <w:lang w:val="en-US" w:eastAsia="zh-CN"/>
              </w:rPr>
              <w:t>产出</w:t>
            </w:r>
            <w:r>
              <w:rPr>
                <w:rFonts w:hint="default" w:ascii="Times New Roman" w:hAnsi="Times New Roman" w:cs="Times New Roman"/>
                <w:color w:val="auto"/>
                <w:sz w:val="21"/>
                <w:highlight w:val="none"/>
              </w:rPr>
              <w:t>项</w:t>
            </w:r>
          </w:p>
        </w:tc>
      </w:tr>
      <w:tr w14:paraId="2704F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dxa"/>
            <w:tcBorders>
              <w:tl2br w:val="nil"/>
              <w:tr2bl w:val="nil"/>
            </w:tcBorders>
            <w:noWrap w:val="0"/>
            <w:vAlign w:val="center"/>
          </w:tcPr>
          <w:p w14:paraId="460FD3B7">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序号</w:t>
            </w:r>
          </w:p>
        </w:tc>
        <w:tc>
          <w:tcPr>
            <w:tcW w:w="1633" w:type="dxa"/>
            <w:tcBorders>
              <w:tl2br w:val="nil"/>
              <w:tr2bl w:val="nil"/>
            </w:tcBorders>
            <w:noWrap w:val="0"/>
            <w:vAlign w:val="center"/>
          </w:tcPr>
          <w:p w14:paraId="0B668581">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物料名称</w:t>
            </w:r>
          </w:p>
        </w:tc>
        <w:tc>
          <w:tcPr>
            <w:tcW w:w="1149" w:type="dxa"/>
            <w:tcBorders>
              <w:tl2br w:val="nil"/>
              <w:tr2bl w:val="nil"/>
            </w:tcBorders>
            <w:noWrap w:val="0"/>
            <w:vAlign w:val="center"/>
          </w:tcPr>
          <w:p w14:paraId="1264ED24">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数量（t/</w:t>
            </w:r>
            <w:r>
              <w:rPr>
                <w:rFonts w:hint="eastAsia" w:cs="Times New Roman"/>
                <w:color w:val="auto"/>
                <w:sz w:val="21"/>
                <w:highlight w:val="none"/>
                <w:lang w:val="en-US" w:eastAsia="zh-CN"/>
              </w:rPr>
              <w:t>a</w:t>
            </w:r>
            <w:r>
              <w:rPr>
                <w:rFonts w:hint="default" w:ascii="Times New Roman" w:hAnsi="Times New Roman" w:cs="Times New Roman"/>
                <w:color w:val="auto"/>
                <w:sz w:val="21"/>
                <w:highlight w:val="none"/>
              </w:rPr>
              <w:t>）</w:t>
            </w:r>
          </w:p>
        </w:tc>
        <w:tc>
          <w:tcPr>
            <w:tcW w:w="1099" w:type="dxa"/>
            <w:tcBorders>
              <w:tl2br w:val="nil"/>
              <w:tr2bl w:val="nil"/>
            </w:tcBorders>
            <w:noWrap w:val="0"/>
            <w:vAlign w:val="center"/>
          </w:tcPr>
          <w:p w14:paraId="5EAC725E">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比例（%）</w:t>
            </w:r>
          </w:p>
        </w:tc>
        <w:tc>
          <w:tcPr>
            <w:tcW w:w="621" w:type="dxa"/>
            <w:tcBorders>
              <w:tl2br w:val="nil"/>
              <w:tr2bl w:val="nil"/>
            </w:tcBorders>
            <w:noWrap w:val="0"/>
            <w:vAlign w:val="center"/>
          </w:tcPr>
          <w:p w14:paraId="75759368">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序号</w:t>
            </w:r>
          </w:p>
        </w:tc>
        <w:tc>
          <w:tcPr>
            <w:tcW w:w="1701" w:type="dxa"/>
            <w:tcBorders>
              <w:tl2br w:val="nil"/>
              <w:tr2bl w:val="nil"/>
            </w:tcBorders>
            <w:noWrap w:val="0"/>
            <w:vAlign w:val="center"/>
          </w:tcPr>
          <w:p w14:paraId="0FACA55C">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物料名称</w:t>
            </w:r>
          </w:p>
        </w:tc>
        <w:tc>
          <w:tcPr>
            <w:tcW w:w="1131" w:type="dxa"/>
            <w:tcBorders>
              <w:tl2br w:val="nil"/>
              <w:tr2bl w:val="nil"/>
            </w:tcBorders>
            <w:noWrap w:val="0"/>
            <w:vAlign w:val="center"/>
          </w:tcPr>
          <w:p w14:paraId="46F840D8">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数量（t/</w:t>
            </w:r>
            <w:r>
              <w:rPr>
                <w:rFonts w:hint="eastAsia" w:cs="Times New Roman"/>
                <w:color w:val="auto"/>
                <w:sz w:val="21"/>
                <w:highlight w:val="none"/>
                <w:lang w:val="en-US" w:eastAsia="zh-CN"/>
              </w:rPr>
              <w:t>a</w:t>
            </w:r>
            <w:r>
              <w:rPr>
                <w:rFonts w:hint="default" w:ascii="Times New Roman" w:hAnsi="Times New Roman" w:cs="Times New Roman"/>
                <w:color w:val="auto"/>
                <w:sz w:val="21"/>
                <w:highlight w:val="none"/>
              </w:rPr>
              <w:t>）</w:t>
            </w:r>
          </w:p>
        </w:tc>
        <w:tc>
          <w:tcPr>
            <w:tcW w:w="1117" w:type="dxa"/>
            <w:tcBorders>
              <w:tl2br w:val="nil"/>
              <w:tr2bl w:val="nil"/>
            </w:tcBorders>
            <w:noWrap w:val="0"/>
            <w:vAlign w:val="center"/>
          </w:tcPr>
          <w:p w14:paraId="74B04D41">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比例（%）</w:t>
            </w:r>
          </w:p>
        </w:tc>
      </w:tr>
      <w:tr w14:paraId="02C2C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dxa"/>
            <w:tcBorders>
              <w:tl2br w:val="nil"/>
              <w:tr2bl w:val="nil"/>
            </w:tcBorders>
            <w:noWrap w:val="0"/>
            <w:vAlign w:val="center"/>
          </w:tcPr>
          <w:p w14:paraId="4AD5D5E5">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1</w:t>
            </w:r>
          </w:p>
        </w:tc>
        <w:tc>
          <w:tcPr>
            <w:tcW w:w="1633" w:type="dxa"/>
            <w:tcBorders>
              <w:tl2br w:val="nil"/>
              <w:tr2bl w:val="nil"/>
            </w:tcBorders>
            <w:noWrap w:val="0"/>
            <w:vAlign w:val="center"/>
          </w:tcPr>
          <w:p w14:paraId="7C18835A">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萤石原矿中氟</w:t>
            </w:r>
          </w:p>
        </w:tc>
        <w:tc>
          <w:tcPr>
            <w:tcW w:w="1149" w:type="dxa"/>
            <w:tcBorders>
              <w:tl2br w:val="nil"/>
              <w:tr2bl w:val="nil"/>
            </w:tcBorders>
            <w:noWrap w:val="0"/>
            <w:vAlign w:val="center"/>
          </w:tcPr>
          <w:p w14:paraId="5A7CE026">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135000</w:t>
            </w:r>
          </w:p>
        </w:tc>
        <w:tc>
          <w:tcPr>
            <w:tcW w:w="1099" w:type="dxa"/>
            <w:tcBorders>
              <w:tl2br w:val="nil"/>
              <w:tr2bl w:val="nil"/>
            </w:tcBorders>
            <w:noWrap w:val="0"/>
            <w:vAlign w:val="center"/>
          </w:tcPr>
          <w:p w14:paraId="039F8E76">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100.00</w:t>
            </w:r>
          </w:p>
        </w:tc>
        <w:tc>
          <w:tcPr>
            <w:tcW w:w="621" w:type="dxa"/>
            <w:tcBorders>
              <w:tl2br w:val="nil"/>
              <w:tr2bl w:val="nil"/>
            </w:tcBorders>
            <w:noWrap w:val="0"/>
            <w:vAlign w:val="center"/>
          </w:tcPr>
          <w:p w14:paraId="2461498B">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1</w:t>
            </w:r>
          </w:p>
        </w:tc>
        <w:tc>
          <w:tcPr>
            <w:tcW w:w="1701" w:type="dxa"/>
            <w:tcBorders>
              <w:tl2br w:val="nil"/>
              <w:tr2bl w:val="nil"/>
            </w:tcBorders>
            <w:noWrap w:val="0"/>
            <w:vAlign w:val="center"/>
          </w:tcPr>
          <w:p w14:paraId="0716A6D2">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萤石精矿中氟</w:t>
            </w:r>
          </w:p>
        </w:tc>
        <w:tc>
          <w:tcPr>
            <w:tcW w:w="1131" w:type="dxa"/>
            <w:tcBorders>
              <w:tl2br w:val="nil"/>
              <w:tr2bl w:val="nil"/>
            </w:tcBorders>
            <w:noWrap w:val="0"/>
            <w:vAlign w:val="center"/>
          </w:tcPr>
          <w:p w14:paraId="4BD18E7A">
            <w:pPr>
              <w:autoSpaceDE w:val="0"/>
              <w:autoSpaceDN w:val="0"/>
              <w:adjustRightInd w:val="0"/>
              <w:spacing w:line="240" w:lineRule="atLeast"/>
              <w:ind w:firstLine="0" w:firstLineChars="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122075</w:t>
            </w:r>
          </w:p>
        </w:tc>
        <w:tc>
          <w:tcPr>
            <w:tcW w:w="1117" w:type="dxa"/>
            <w:tcBorders>
              <w:tl2br w:val="nil"/>
              <w:tr2bl w:val="nil"/>
            </w:tcBorders>
            <w:noWrap w:val="0"/>
            <w:vAlign w:val="center"/>
          </w:tcPr>
          <w:p w14:paraId="4555CE19">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90.426</w:t>
            </w:r>
          </w:p>
        </w:tc>
      </w:tr>
      <w:tr w14:paraId="1E835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dxa"/>
            <w:tcBorders>
              <w:tl2br w:val="nil"/>
              <w:tr2bl w:val="nil"/>
            </w:tcBorders>
            <w:noWrap w:val="0"/>
            <w:vAlign w:val="center"/>
          </w:tcPr>
          <w:p w14:paraId="1FF0468F">
            <w:pPr>
              <w:autoSpaceDE w:val="0"/>
              <w:autoSpaceDN w:val="0"/>
              <w:adjustRightInd w:val="0"/>
              <w:spacing w:line="240" w:lineRule="atLeast"/>
              <w:ind w:firstLine="0" w:firstLineChars="0"/>
              <w:jc w:val="center"/>
              <w:rPr>
                <w:rFonts w:hint="default" w:ascii="Times New Roman" w:hAnsi="Times New Roman" w:cs="Times New Roman"/>
                <w:color w:val="auto"/>
                <w:sz w:val="21"/>
                <w:highlight w:val="none"/>
              </w:rPr>
            </w:pPr>
          </w:p>
        </w:tc>
        <w:tc>
          <w:tcPr>
            <w:tcW w:w="1633" w:type="dxa"/>
            <w:tcBorders>
              <w:tl2br w:val="nil"/>
              <w:tr2bl w:val="nil"/>
            </w:tcBorders>
            <w:noWrap w:val="0"/>
            <w:vAlign w:val="center"/>
          </w:tcPr>
          <w:p w14:paraId="2A70060B">
            <w:pPr>
              <w:autoSpaceDE w:val="0"/>
              <w:autoSpaceDN w:val="0"/>
              <w:adjustRightInd w:val="0"/>
              <w:spacing w:line="240" w:lineRule="atLeast"/>
              <w:ind w:firstLine="0" w:firstLineChars="0"/>
              <w:jc w:val="center"/>
              <w:rPr>
                <w:rFonts w:hint="default" w:ascii="Times New Roman" w:hAnsi="Times New Roman" w:cs="Times New Roman"/>
                <w:color w:val="auto"/>
                <w:sz w:val="21"/>
                <w:highlight w:val="none"/>
              </w:rPr>
            </w:pPr>
          </w:p>
        </w:tc>
        <w:tc>
          <w:tcPr>
            <w:tcW w:w="1149" w:type="dxa"/>
            <w:tcBorders>
              <w:tl2br w:val="nil"/>
              <w:tr2bl w:val="nil"/>
            </w:tcBorders>
            <w:noWrap w:val="0"/>
            <w:vAlign w:val="center"/>
          </w:tcPr>
          <w:p w14:paraId="798AAEBC">
            <w:pPr>
              <w:autoSpaceDE w:val="0"/>
              <w:autoSpaceDN w:val="0"/>
              <w:adjustRightInd w:val="0"/>
              <w:spacing w:line="240" w:lineRule="atLeast"/>
              <w:ind w:firstLine="0" w:firstLineChars="0"/>
              <w:jc w:val="center"/>
              <w:rPr>
                <w:rFonts w:hint="eastAsia" w:eastAsia="宋体" w:cs="Times New Roman"/>
                <w:color w:val="auto"/>
                <w:sz w:val="21"/>
                <w:highlight w:val="none"/>
                <w:lang w:val="en-US" w:eastAsia="zh-CN"/>
              </w:rPr>
            </w:pPr>
          </w:p>
        </w:tc>
        <w:tc>
          <w:tcPr>
            <w:tcW w:w="1099" w:type="dxa"/>
            <w:tcBorders>
              <w:tl2br w:val="nil"/>
              <w:tr2bl w:val="nil"/>
            </w:tcBorders>
            <w:noWrap w:val="0"/>
            <w:vAlign w:val="center"/>
          </w:tcPr>
          <w:p w14:paraId="2CDD3C1B">
            <w:pPr>
              <w:autoSpaceDE w:val="0"/>
              <w:autoSpaceDN w:val="0"/>
              <w:adjustRightInd w:val="0"/>
              <w:spacing w:line="240" w:lineRule="atLeast"/>
              <w:ind w:firstLine="0" w:firstLineChars="0"/>
              <w:jc w:val="center"/>
              <w:rPr>
                <w:rFonts w:hint="default" w:ascii="Times New Roman" w:hAnsi="Times New Roman" w:cs="Times New Roman"/>
                <w:color w:val="auto"/>
                <w:sz w:val="21"/>
                <w:highlight w:val="none"/>
              </w:rPr>
            </w:pPr>
          </w:p>
        </w:tc>
        <w:tc>
          <w:tcPr>
            <w:tcW w:w="621" w:type="dxa"/>
            <w:tcBorders>
              <w:tl2br w:val="nil"/>
              <w:tr2bl w:val="nil"/>
            </w:tcBorders>
            <w:noWrap w:val="0"/>
            <w:vAlign w:val="center"/>
          </w:tcPr>
          <w:p w14:paraId="688F345F">
            <w:pPr>
              <w:autoSpaceDE w:val="0"/>
              <w:autoSpaceDN w:val="0"/>
              <w:adjustRightInd w:val="0"/>
              <w:spacing w:line="240" w:lineRule="atLeast"/>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2</w:t>
            </w:r>
          </w:p>
        </w:tc>
        <w:tc>
          <w:tcPr>
            <w:tcW w:w="1701" w:type="dxa"/>
            <w:tcBorders>
              <w:tl2br w:val="nil"/>
              <w:tr2bl w:val="nil"/>
            </w:tcBorders>
            <w:noWrap w:val="0"/>
            <w:vAlign w:val="center"/>
          </w:tcPr>
          <w:p w14:paraId="55D75BDB">
            <w:pPr>
              <w:autoSpaceDE w:val="0"/>
              <w:autoSpaceDN w:val="0"/>
              <w:adjustRightInd w:val="0"/>
              <w:spacing w:line="240" w:lineRule="atLeast"/>
              <w:ind w:firstLine="0" w:firstLineChars="0"/>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有组织排放</w:t>
            </w:r>
          </w:p>
          <w:p w14:paraId="7C63DE1D">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粉尘中氟</w:t>
            </w:r>
          </w:p>
        </w:tc>
        <w:tc>
          <w:tcPr>
            <w:tcW w:w="1131" w:type="dxa"/>
            <w:tcBorders>
              <w:tl2br w:val="nil"/>
              <w:tr2bl w:val="nil"/>
            </w:tcBorders>
            <w:noWrap w:val="0"/>
            <w:vAlign w:val="center"/>
          </w:tcPr>
          <w:p w14:paraId="6C39AB6E">
            <w:pPr>
              <w:autoSpaceDE w:val="0"/>
              <w:autoSpaceDN w:val="0"/>
              <w:adjustRightInd w:val="0"/>
              <w:spacing w:line="240" w:lineRule="atLeast"/>
              <w:ind w:firstLine="0" w:firstLineChars="0"/>
              <w:jc w:val="center"/>
              <w:rPr>
                <w:rFonts w:hint="default" w:cs="Times New Roman"/>
                <w:color w:val="auto"/>
                <w:sz w:val="21"/>
                <w:highlight w:val="none"/>
                <w:lang w:val="en-US" w:eastAsia="zh-CN"/>
              </w:rPr>
            </w:pPr>
            <w:r>
              <w:rPr>
                <w:rFonts w:hint="eastAsia" w:cs="Times New Roman"/>
                <w:color w:val="auto"/>
                <w:sz w:val="21"/>
                <w:highlight w:val="none"/>
                <w:lang w:val="en-US" w:eastAsia="zh-CN"/>
              </w:rPr>
              <w:t>0.015</w:t>
            </w:r>
          </w:p>
        </w:tc>
        <w:tc>
          <w:tcPr>
            <w:tcW w:w="1117" w:type="dxa"/>
            <w:tcBorders>
              <w:tl2br w:val="nil"/>
              <w:tr2bl w:val="nil"/>
            </w:tcBorders>
            <w:noWrap w:val="0"/>
            <w:vAlign w:val="center"/>
          </w:tcPr>
          <w:p w14:paraId="30C7FA7A">
            <w:pPr>
              <w:autoSpaceDE w:val="0"/>
              <w:autoSpaceDN w:val="0"/>
              <w:adjustRightInd w:val="0"/>
              <w:spacing w:line="240" w:lineRule="atLeast"/>
              <w:ind w:firstLine="0" w:firstLineChars="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w:t>
            </w:r>
          </w:p>
        </w:tc>
      </w:tr>
      <w:tr w14:paraId="042AC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dxa"/>
            <w:tcBorders>
              <w:tl2br w:val="nil"/>
              <w:tr2bl w:val="nil"/>
            </w:tcBorders>
            <w:noWrap w:val="0"/>
            <w:vAlign w:val="center"/>
          </w:tcPr>
          <w:p w14:paraId="0A3D1850">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1633" w:type="dxa"/>
            <w:tcBorders>
              <w:tl2br w:val="nil"/>
              <w:tr2bl w:val="nil"/>
            </w:tcBorders>
            <w:noWrap w:val="0"/>
            <w:vAlign w:val="center"/>
          </w:tcPr>
          <w:p w14:paraId="4C8A7DE4">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lang w:val="pt-BR"/>
              </w:rPr>
            </w:pPr>
          </w:p>
        </w:tc>
        <w:tc>
          <w:tcPr>
            <w:tcW w:w="1149" w:type="dxa"/>
            <w:tcBorders>
              <w:tl2br w:val="nil"/>
              <w:tr2bl w:val="nil"/>
            </w:tcBorders>
            <w:noWrap w:val="0"/>
            <w:vAlign w:val="center"/>
          </w:tcPr>
          <w:p w14:paraId="5426D081">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1099" w:type="dxa"/>
            <w:tcBorders>
              <w:tl2br w:val="nil"/>
              <w:tr2bl w:val="nil"/>
            </w:tcBorders>
            <w:noWrap w:val="0"/>
            <w:vAlign w:val="center"/>
          </w:tcPr>
          <w:p w14:paraId="053D7E8E">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621" w:type="dxa"/>
            <w:tcBorders>
              <w:tl2br w:val="nil"/>
              <w:tr2bl w:val="nil"/>
            </w:tcBorders>
            <w:noWrap w:val="0"/>
            <w:vAlign w:val="center"/>
          </w:tcPr>
          <w:p w14:paraId="287C94E5">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2</w:t>
            </w:r>
          </w:p>
        </w:tc>
        <w:tc>
          <w:tcPr>
            <w:tcW w:w="1701" w:type="dxa"/>
            <w:tcBorders>
              <w:tl2br w:val="nil"/>
              <w:tr2bl w:val="nil"/>
            </w:tcBorders>
            <w:noWrap w:val="0"/>
            <w:vAlign w:val="center"/>
          </w:tcPr>
          <w:p w14:paraId="61A6B404">
            <w:pPr>
              <w:autoSpaceDE w:val="0"/>
              <w:autoSpaceDN w:val="0"/>
              <w:adjustRightInd w:val="0"/>
              <w:spacing w:line="240" w:lineRule="atLeast"/>
              <w:ind w:left="-120" w:leftChars="-50" w:right="-120" w:rightChars="-50" w:firstLine="0" w:firstLineChars="0"/>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无组织排放</w:t>
            </w:r>
          </w:p>
          <w:p w14:paraId="639B801A">
            <w:pPr>
              <w:autoSpaceDE w:val="0"/>
              <w:autoSpaceDN w:val="0"/>
              <w:adjustRightInd w:val="0"/>
              <w:spacing w:line="240" w:lineRule="atLeast"/>
              <w:ind w:left="-120" w:leftChars="-50" w:right="-120" w:rightChars="-50" w:firstLine="0" w:firstLineChars="0"/>
              <w:jc w:val="center"/>
              <w:rPr>
                <w:rFonts w:hint="default" w:ascii="Times New Roman" w:hAnsi="Times New Roman" w:eastAsia="Times New Roman" w:cs="Times New Roman"/>
                <w:color w:val="auto"/>
                <w:sz w:val="21"/>
                <w:highlight w:val="none"/>
              </w:rPr>
            </w:pPr>
            <w:r>
              <w:rPr>
                <w:rFonts w:hint="eastAsia" w:cs="Times New Roman"/>
                <w:color w:val="auto"/>
                <w:sz w:val="21"/>
                <w:highlight w:val="none"/>
                <w:lang w:val="en-US" w:eastAsia="zh-CN"/>
              </w:rPr>
              <w:t>粉尘中氟</w:t>
            </w:r>
          </w:p>
        </w:tc>
        <w:tc>
          <w:tcPr>
            <w:tcW w:w="1131" w:type="dxa"/>
            <w:tcBorders>
              <w:tl2br w:val="nil"/>
              <w:tr2bl w:val="nil"/>
            </w:tcBorders>
            <w:noWrap w:val="0"/>
            <w:vAlign w:val="center"/>
          </w:tcPr>
          <w:p w14:paraId="4C2029E6">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0.304</w:t>
            </w:r>
          </w:p>
        </w:tc>
        <w:tc>
          <w:tcPr>
            <w:tcW w:w="1117" w:type="dxa"/>
            <w:tcBorders>
              <w:tl2br w:val="nil"/>
              <w:tr2bl w:val="nil"/>
            </w:tcBorders>
            <w:noWrap w:val="0"/>
            <w:vAlign w:val="center"/>
          </w:tcPr>
          <w:p w14:paraId="76CC74C3">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w:t>
            </w:r>
          </w:p>
        </w:tc>
      </w:tr>
      <w:tr w14:paraId="12FE3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dxa"/>
            <w:tcBorders>
              <w:tl2br w:val="nil"/>
              <w:tr2bl w:val="nil"/>
            </w:tcBorders>
            <w:noWrap w:val="0"/>
            <w:vAlign w:val="center"/>
          </w:tcPr>
          <w:p w14:paraId="29668810">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1633" w:type="dxa"/>
            <w:tcBorders>
              <w:tl2br w:val="nil"/>
              <w:tr2bl w:val="nil"/>
            </w:tcBorders>
            <w:noWrap w:val="0"/>
            <w:vAlign w:val="center"/>
          </w:tcPr>
          <w:p w14:paraId="4CADFE61">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lang w:val="pt-BR"/>
              </w:rPr>
            </w:pPr>
          </w:p>
        </w:tc>
        <w:tc>
          <w:tcPr>
            <w:tcW w:w="1149" w:type="dxa"/>
            <w:tcBorders>
              <w:tl2br w:val="nil"/>
              <w:tr2bl w:val="nil"/>
            </w:tcBorders>
            <w:noWrap w:val="0"/>
            <w:vAlign w:val="center"/>
          </w:tcPr>
          <w:p w14:paraId="3932616B">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1099" w:type="dxa"/>
            <w:tcBorders>
              <w:tl2br w:val="nil"/>
              <w:tr2bl w:val="nil"/>
            </w:tcBorders>
            <w:noWrap w:val="0"/>
            <w:vAlign w:val="center"/>
          </w:tcPr>
          <w:p w14:paraId="159CE8FE">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621" w:type="dxa"/>
            <w:tcBorders>
              <w:tl2br w:val="nil"/>
              <w:tr2bl w:val="nil"/>
            </w:tcBorders>
            <w:noWrap w:val="0"/>
            <w:vAlign w:val="center"/>
          </w:tcPr>
          <w:p w14:paraId="19B34556">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3</w:t>
            </w:r>
          </w:p>
        </w:tc>
        <w:tc>
          <w:tcPr>
            <w:tcW w:w="1701" w:type="dxa"/>
            <w:tcBorders>
              <w:tl2br w:val="nil"/>
              <w:tr2bl w:val="nil"/>
            </w:tcBorders>
            <w:noWrap w:val="0"/>
            <w:vAlign w:val="center"/>
          </w:tcPr>
          <w:p w14:paraId="0DD83456">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尾矿中氟</w:t>
            </w:r>
          </w:p>
        </w:tc>
        <w:tc>
          <w:tcPr>
            <w:tcW w:w="1131" w:type="dxa"/>
            <w:tcBorders>
              <w:tl2br w:val="nil"/>
              <w:tr2bl w:val="nil"/>
            </w:tcBorders>
            <w:noWrap w:val="0"/>
            <w:vAlign w:val="center"/>
          </w:tcPr>
          <w:p w14:paraId="5C187FFB">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12924.282</w:t>
            </w:r>
          </w:p>
        </w:tc>
        <w:tc>
          <w:tcPr>
            <w:tcW w:w="1117" w:type="dxa"/>
            <w:tcBorders>
              <w:tl2br w:val="nil"/>
              <w:tr2bl w:val="nil"/>
            </w:tcBorders>
            <w:noWrap w:val="0"/>
            <w:vAlign w:val="center"/>
          </w:tcPr>
          <w:p w14:paraId="457CF627">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9.574</w:t>
            </w:r>
          </w:p>
        </w:tc>
      </w:tr>
      <w:tr w14:paraId="3D407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1" w:type="dxa"/>
            <w:tcBorders>
              <w:tl2br w:val="nil"/>
              <w:tr2bl w:val="nil"/>
            </w:tcBorders>
            <w:noWrap w:val="0"/>
            <w:vAlign w:val="center"/>
          </w:tcPr>
          <w:p w14:paraId="400863D5">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1633" w:type="dxa"/>
            <w:tcBorders>
              <w:tl2br w:val="nil"/>
              <w:tr2bl w:val="nil"/>
            </w:tcBorders>
            <w:noWrap w:val="0"/>
            <w:vAlign w:val="center"/>
          </w:tcPr>
          <w:p w14:paraId="2EFBF029">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lang w:val="pt-BR"/>
              </w:rPr>
            </w:pPr>
          </w:p>
        </w:tc>
        <w:tc>
          <w:tcPr>
            <w:tcW w:w="1149" w:type="dxa"/>
            <w:tcBorders>
              <w:tl2br w:val="nil"/>
              <w:tr2bl w:val="nil"/>
            </w:tcBorders>
            <w:noWrap w:val="0"/>
            <w:vAlign w:val="center"/>
          </w:tcPr>
          <w:p w14:paraId="2EF62594">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1099" w:type="dxa"/>
            <w:tcBorders>
              <w:tl2br w:val="nil"/>
              <w:tr2bl w:val="nil"/>
            </w:tcBorders>
            <w:noWrap w:val="0"/>
            <w:vAlign w:val="center"/>
          </w:tcPr>
          <w:p w14:paraId="3AA8708A">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p>
        </w:tc>
        <w:tc>
          <w:tcPr>
            <w:tcW w:w="621" w:type="dxa"/>
            <w:tcBorders>
              <w:tl2br w:val="nil"/>
              <w:tr2bl w:val="nil"/>
            </w:tcBorders>
            <w:noWrap w:val="0"/>
            <w:vAlign w:val="center"/>
          </w:tcPr>
          <w:p w14:paraId="1BEAE88C">
            <w:pPr>
              <w:autoSpaceDE w:val="0"/>
              <w:autoSpaceDN w:val="0"/>
              <w:adjustRightInd w:val="0"/>
              <w:spacing w:line="240" w:lineRule="atLeast"/>
              <w:ind w:firstLine="0" w:firstLineChars="0"/>
              <w:jc w:val="center"/>
              <w:rPr>
                <w:rFonts w:hint="eastAsia"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4</w:t>
            </w:r>
          </w:p>
        </w:tc>
        <w:tc>
          <w:tcPr>
            <w:tcW w:w="1701" w:type="dxa"/>
            <w:tcBorders>
              <w:tl2br w:val="nil"/>
              <w:tr2bl w:val="nil"/>
            </w:tcBorders>
            <w:noWrap w:val="0"/>
            <w:vAlign w:val="center"/>
          </w:tcPr>
          <w:p w14:paraId="058BCA7C">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底泥中氟</w:t>
            </w:r>
          </w:p>
        </w:tc>
        <w:tc>
          <w:tcPr>
            <w:tcW w:w="1131" w:type="dxa"/>
            <w:tcBorders>
              <w:tl2br w:val="nil"/>
              <w:tr2bl w:val="nil"/>
            </w:tcBorders>
            <w:noWrap w:val="0"/>
            <w:vAlign w:val="center"/>
          </w:tcPr>
          <w:p w14:paraId="5131F946">
            <w:pPr>
              <w:autoSpaceDE w:val="0"/>
              <w:autoSpaceDN w:val="0"/>
              <w:adjustRightInd w:val="0"/>
              <w:spacing w:line="240" w:lineRule="atLeast"/>
              <w:ind w:firstLine="0" w:firstLineChars="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0.399</w:t>
            </w:r>
          </w:p>
        </w:tc>
        <w:tc>
          <w:tcPr>
            <w:tcW w:w="1117" w:type="dxa"/>
            <w:tcBorders>
              <w:tl2br w:val="nil"/>
              <w:tr2bl w:val="nil"/>
            </w:tcBorders>
            <w:noWrap w:val="0"/>
            <w:vAlign w:val="center"/>
          </w:tcPr>
          <w:p w14:paraId="66D8E9CD">
            <w:pPr>
              <w:autoSpaceDE w:val="0"/>
              <w:autoSpaceDN w:val="0"/>
              <w:adjustRightInd w:val="0"/>
              <w:spacing w:line="240" w:lineRule="atLeast"/>
              <w:ind w:firstLine="0" w:firstLineChars="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w:t>
            </w:r>
          </w:p>
        </w:tc>
      </w:tr>
      <w:tr w14:paraId="6B81F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54" w:type="dxa"/>
            <w:gridSpan w:val="2"/>
            <w:tcBorders>
              <w:tl2br w:val="nil"/>
              <w:tr2bl w:val="nil"/>
            </w:tcBorders>
            <w:noWrap w:val="0"/>
            <w:vAlign w:val="center"/>
          </w:tcPr>
          <w:p w14:paraId="21B6E53C">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lang w:val="pt-BR"/>
              </w:rPr>
            </w:pPr>
            <w:r>
              <w:rPr>
                <w:rFonts w:hint="default" w:ascii="Times New Roman" w:hAnsi="Times New Roman" w:cs="Times New Roman"/>
                <w:color w:val="auto"/>
                <w:sz w:val="21"/>
                <w:highlight w:val="none"/>
              </w:rPr>
              <w:t>总计</w:t>
            </w:r>
          </w:p>
        </w:tc>
        <w:tc>
          <w:tcPr>
            <w:tcW w:w="1149" w:type="dxa"/>
            <w:tcBorders>
              <w:tl2br w:val="nil"/>
              <w:tr2bl w:val="nil"/>
            </w:tcBorders>
            <w:noWrap w:val="0"/>
            <w:vAlign w:val="center"/>
          </w:tcPr>
          <w:p w14:paraId="61B61981">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135000</w:t>
            </w:r>
          </w:p>
        </w:tc>
        <w:tc>
          <w:tcPr>
            <w:tcW w:w="1099" w:type="dxa"/>
            <w:tcBorders>
              <w:tl2br w:val="nil"/>
              <w:tr2bl w:val="nil"/>
            </w:tcBorders>
            <w:noWrap w:val="0"/>
            <w:vAlign w:val="center"/>
          </w:tcPr>
          <w:p w14:paraId="164BC84B">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100.00</w:t>
            </w:r>
          </w:p>
        </w:tc>
        <w:tc>
          <w:tcPr>
            <w:tcW w:w="2322" w:type="dxa"/>
            <w:gridSpan w:val="2"/>
            <w:tcBorders>
              <w:tl2br w:val="nil"/>
              <w:tr2bl w:val="nil"/>
            </w:tcBorders>
            <w:noWrap w:val="0"/>
            <w:vAlign w:val="center"/>
          </w:tcPr>
          <w:p w14:paraId="4999B0DE">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总计</w:t>
            </w:r>
          </w:p>
        </w:tc>
        <w:tc>
          <w:tcPr>
            <w:tcW w:w="1131" w:type="dxa"/>
            <w:tcBorders>
              <w:tl2br w:val="nil"/>
              <w:tr2bl w:val="nil"/>
            </w:tcBorders>
            <w:noWrap w:val="0"/>
            <w:vAlign w:val="center"/>
          </w:tcPr>
          <w:p w14:paraId="25BC9285">
            <w:pPr>
              <w:autoSpaceDE w:val="0"/>
              <w:autoSpaceDN w:val="0"/>
              <w:adjustRightInd w:val="0"/>
              <w:spacing w:line="240" w:lineRule="atLeast"/>
              <w:ind w:firstLine="0" w:firstLineChars="0"/>
              <w:jc w:val="center"/>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135000</w:t>
            </w:r>
          </w:p>
        </w:tc>
        <w:tc>
          <w:tcPr>
            <w:tcW w:w="1117" w:type="dxa"/>
            <w:tcBorders>
              <w:tl2br w:val="nil"/>
              <w:tr2bl w:val="nil"/>
            </w:tcBorders>
            <w:noWrap w:val="0"/>
            <w:vAlign w:val="center"/>
          </w:tcPr>
          <w:p w14:paraId="64891E5B">
            <w:pPr>
              <w:autoSpaceDE w:val="0"/>
              <w:autoSpaceDN w:val="0"/>
              <w:adjustRightInd w:val="0"/>
              <w:spacing w:line="240" w:lineRule="atLeast"/>
              <w:ind w:firstLine="0" w:firstLineChars="0"/>
              <w:jc w:val="center"/>
              <w:rPr>
                <w:rFonts w:hint="default" w:ascii="Times New Roman" w:hAnsi="Times New Roman" w:eastAsia="Times New Roman" w:cs="Times New Roman"/>
                <w:color w:val="auto"/>
                <w:sz w:val="21"/>
                <w:highlight w:val="none"/>
              </w:rPr>
            </w:pPr>
            <w:r>
              <w:rPr>
                <w:rFonts w:hint="default" w:ascii="Times New Roman" w:hAnsi="Times New Roman" w:cs="Times New Roman"/>
                <w:color w:val="auto"/>
                <w:sz w:val="21"/>
                <w:highlight w:val="none"/>
              </w:rPr>
              <w:t>100.00</w:t>
            </w:r>
          </w:p>
        </w:tc>
      </w:tr>
    </w:tbl>
    <w:p w14:paraId="4B919569">
      <w:pPr>
        <w:rPr>
          <w:rFonts w:hint="eastAsia"/>
          <w:color w:val="auto"/>
          <w:highlight w:val="none"/>
          <w:lang w:val="en-US" w:eastAsia="zh-CN"/>
        </w:rPr>
      </w:pPr>
    </w:p>
    <w:p w14:paraId="160515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highlight w:val="none"/>
        </w:rPr>
      </w:pPr>
      <w:r>
        <w:rPr>
          <w:b/>
          <w:color w:val="auto"/>
          <w:highlight w:val="none"/>
        </w:rPr>
        <w:object>
          <v:shape id="_x0000_i1028" o:spt="75" type="#_x0000_t75" style="height:603.45pt;width:414.7pt;" o:ole="t" filled="f" o:preferrelative="t" stroked="f" coordsize="21600,21600">
            <v:path/>
            <v:fill on="f" focussize="0,0"/>
            <v:stroke on="f"/>
            <v:imagedata r:id="rId42" o:title=""/>
            <o:lock v:ext="edit" aspectratio="f"/>
            <w10:wrap type="none"/>
            <w10:anchorlock/>
          </v:shape>
          <o:OLEObject Type="Embed" ProgID="Visio.Drawing.15" ShapeID="_x0000_i1028" DrawAspect="Content" ObjectID="_1468075728" r:id="rId41">
            <o:LockedField>false</o:LockedField>
          </o:OLEObject>
        </w:object>
      </w:r>
    </w:p>
    <w:p w14:paraId="35D0E93E">
      <w:pPr>
        <w:adjustRightInd w:val="0"/>
        <w:snapToGrid w:val="0"/>
        <w:jc w:val="center"/>
        <w:rPr>
          <w:b/>
          <w:color w:val="auto"/>
          <w:highlight w:val="none"/>
        </w:rPr>
      </w:pPr>
      <w:r>
        <w:rPr>
          <w:b/>
          <w:color w:val="auto"/>
          <w:highlight w:val="none"/>
        </w:rPr>
        <w:t>图</w:t>
      </w:r>
      <w:r>
        <w:rPr>
          <w:rFonts w:hint="eastAsia"/>
          <w:b/>
          <w:color w:val="auto"/>
          <w:highlight w:val="none"/>
          <w:lang w:val="en-US" w:eastAsia="zh-CN"/>
        </w:rPr>
        <w:t>3.11-4</w:t>
      </w:r>
      <w:r>
        <w:rPr>
          <w:b/>
          <w:color w:val="auto"/>
          <w:highlight w:val="none"/>
        </w:rPr>
        <w:t xml:space="preserve">   </w:t>
      </w:r>
      <w:r>
        <w:rPr>
          <w:rFonts w:hint="eastAsia"/>
          <w:b/>
          <w:color w:val="auto"/>
          <w:highlight w:val="none"/>
          <w:lang w:val="en-US" w:eastAsia="zh-CN"/>
        </w:rPr>
        <w:t>氟元素</w:t>
      </w:r>
      <w:r>
        <w:rPr>
          <w:b/>
          <w:color w:val="auto"/>
          <w:highlight w:val="none"/>
        </w:rPr>
        <w:t>平衡图     单位：t/a</w:t>
      </w:r>
    </w:p>
    <w:p w14:paraId="622299B5">
      <w:pPr>
        <w:pStyle w:val="2"/>
        <w:rPr>
          <w:rFonts w:hint="eastAsia"/>
          <w:color w:val="auto"/>
          <w:highlight w:val="none"/>
          <w:lang w:val="en-US" w:eastAsia="zh-CN"/>
        </w:rPr>
      </w:pPr>
    </w:p>
    <w:p w14:paraId="3672FA6D">
      <w:pPr>
        <w:pStyle w:val="2"/>
        <w:rPr>
          <w:color w:val="auto"/>
          <w:highlight w:val="none"/>
        </w:rPr>
      </w:pPr>
    </w:p>
    <w:p w14:paraId="3315F0CB">
      <w:pPr>
        <w:pStyle w:val="5"/>
        <w:rPr>
          <w:color w:val="auto"/>
          <w:highlight w:val="none"/>
        </w:rPr>
      </w:pPr>
      <w:r>
        <w:rPr>
          <w:rFonts w:hint="eastAsia"/>
          <w:color w:val="auto"/>
          <w:highlight w:val="none"/>
        </w:rPr>
        <w:t>污染源源强核算</w:t>
      </w:r>
      <w:bookmarkEnd w:id="102"/>
    </w:p>
    <w:p w14:paraId="57D6C6AA">
      <w:pPr>
        <w:pStyle w:val="6"/>
        <w:rPr>
          <w:color w:val="auto"/>
          <w:highlight w:val="none"/>
        </w:rPr>
      </w:pPr>
      <w:r>
        <w:rPr>
          <w:rFonts w:hint="eastAsia"/>
          <w:color w:val="auto"/>
          <w:highlight w:val="none"/>
          <w:lang w:val="en-US" w:eastAsia="zh-CN"/>
        </w:rPr>
        <w:t xml:space="preserve"> </w:t>
      </w:r>
      <w:r>
        <w:rPr>
          <w:rFonts w:hint="eastAsia"/>
          <w:color w:val="auto"/>
          <w:highlight w:val="none"/>
        </w:rPr>
        <w:t>废气</w:t>
      </w:r>
    </w:p>
    <w:p w14:paraId="63873476">
      <w:pPr>
        <w:adjustRightInd w:val="0"/>
        <w:snapToGrid w:val="0"/>
        <w:ind w:firstLine="480"/>
        <w:rPr>
          <w:rFonts w:hint="default" w:eastAsia="宋体"/>
          <w:b/>
          <w:bCs/>
          <w:color w:val="auto"/>
          <w:kern w:val="0"/>
          <w:highlight w:val="none"/>
          <w:lang w:val="en-US" w:eastAsia="zh-CN"/>
        </w:rPr>
      </w:pPr>
      <w:r>
        <w:rPr>
          <w:b/>
          <w:bCs/>
          <w:color w:val="auto"/>
          <w:kern w:val="0"/>
          <w:highlight w:val="none"/>
        </w:rPr>
        <w:t>（1）</w:t>
      </w:r>
      <w:r>
        <w:rPr>
          <w:b/>
          <w:bCs/>
          <w:color w:val="auto"/>
          <w:kern w:val="0"/>
          <w:sz w:val="24"/>
          <w:szCs w:val="24"/>
          <w:highlight w:val="none"/>
        </w:rPr>
        <w:t>车辆运输道路扬尘</w:t>
      </w:r>
      <w:r>
        <w:rPr>
          <w:rFonts w:hint="eastAsia"/>
          <w:b/>
          <w:bCs/>
          <w:color w:val="auto"/>
          <w:kern w:val="0"/>
          <w:highlight w:val="none"/>
          <w:lang w:val="en-US" w:eastAsia="zh-CN"/>
        </w:rPr>
        <w:t>（G1）</w:t>
      </w:r>
    </w:p>
    <w:p w14:paraId="74226A8B">
      <w:pPr>
        <w:ind w:firstLine="480"/>
        <w:rPr>
          <w:rFonts w:hint="default"/>
          <w:color w:val="auto"/>
          <w:highlight w:val="none"/>
          <w:lang w:val="en-US" w:eastAsia="zh-CN"/>
        </w:rPr>
      </w:pPr>
      <w:r>
        <w:rPr>
          <w:rFonts w:hint="eastAsia"/>
          <w:color w:val="auto"/>
          <w:highlight w:val="none"/>
          <w:lang w:val="en-US" w:eastAsia="zh-CN"/>
        </w:rPr>
        <w:t>本项目厂区内运输道路采用水泥地面硬化，定期对厂区道路清扫和洒水抑尘，运输车辆加盖苫布，可有效减少运输道路扬尘的排放，因此本项目道路扬尘颗粒物产生量很少，故本次评价不对车辆运输道路扬尘进行源强核算。</w:t>
      </w:r>
    </w:p>
    <w:p w14:paraId="717809BD">
      <w:pPr>
        <w:adjustRightInd w:val="0"/>
        <w:snapToGrid w:val="0"/>
        <w:ind w:firstLine="480"/>
        <w:rPr>
          <w:rFonts w:hint="default" w:eastAsia="宋体"/>
          <w:b/>
          <w:bCs/>
          <w:color w:val="auto"/>
          <w:kern w:val="0"/>
          <w:highlight w:val="none"/>
          <w:lang w:val="en-US" w:eastAsia="zh-CN"/>
        </w:rPr>
      </w:pPr>
      <w:r>
        <w:rPr>
          <w:b/>
          <w:bCs/>
          <w:color w:val="auto"/>
          <w:kern w:val="0"/>
          <w:highlight w:val="none"/>
        </w:rPr>
        <w:t>（</w:t>
      </w:r>
      <w:r>
        <w:rPr>
          <w:rFonts w:hint="eastAsia"/>
          <w:b/>
          <w:bCs/>
          <w:color w:val="auto"/>
          <w:kern w:val="0"/>
          <w:highlight w:val="none"/>
          <w:lang w:val="en-US" w:eastAsia="zh-CN"/>
        </w:rPr>
        <w:t>2</w:t>
      </w:r>
      <w:r>
        <w:rPr>
          <w:b/>
          <w:bCs/>
          <w:color w:val="auto"/>
          <w:kern w:val="0"/>
          <w:highlight w:val="none"/>
        </w:rPr>
        <w:t>）</w:t>
      </w:r>
      <w:r>
        <w:rPr>
          <w:rFonts w:hint="eastAsia"/>
          <w:b/>
          <w:bCs/>
          <w:color w:val="auto"/>
          <w:kern w:val="0"/>
          <w:sz w:val="24"/>
          <w:szCs w:val="24"/>
          <w:highlight w:val="none"/>
          <w:lang w:val="en-US" w:eastAsia="zh-CN"/>
        </w:rPr>
        <w:t>原料矿堆存库</w:t>
      </w:r>
      <w:r>
        <w:rPr>
          <w:b/>
          <w:bCs/>
          <w:color w:val="auto"/>
          <w:kern w:val="0"/>
          <w:sz w:val="24"/>
          <w:szCs w:val="24"/>
          <w:highlight w:val="none"/>
        </w:rPr>
        <w:t>扬尘</w:t>
      </w:r>
      <w:r>
        <w:rPr>
          <w:rFonts w:hint="eastAsia"/>
          <w:b/>
          <w:bCs/>
          <w:color w:val="auto"/>
          <w:kern w:val="0"/>
          <w:highlight w:val="none"/>
          <w:lang w:val="en-US" w:eastAsia="zh-CN"/>
        </w:rPr>
        <w:t>（G2）</w:t>
      </w:r>
    </w:p>
    <w:p w14:paraId="195F58E1">
      <w:pPr>
        <w:ind w:firstLine="480"/>
        <w:rPr>
          <w:rFonts w:hint="eastAsia"/>
          <w:color w:val="auto"/>
          <w:highlight w:val="none"/>
          <w:lang w:val="en-US" w:eastAsia="zh-CN"/>
        </w:rPr>
      </w:pPr>
      <w:r>
        <w:rPr>
          <w:rFonts w:hint="eastAsia"/>
          <w:color w:val="auto"/>
          <w:highlight w:val="none"/>
          <w:lang w:val="en-US" w:eastAsia="zh-CN"/>
        </w:rPr>
        <w:t>本项目原矿石堆放于全封闭原料矿石堆存库内，因此原矿在堆存时风力扬尘量极少，可忽略不计，原矿堆场产生粉尘颗粒物主要为物料装卸过程产生扬尘。本次评价参照《逸散性工业粉尘控制技术》第28页“表1-12卸料的排放因子”，在无控制措施情况下，粒料的卸料过程粉尘颗粒物产生系数为0.01kg/t（卸料）。本项目原矿年周转量30万t/a，则卸料过程粉尘产生量为3.0t/a。本项目原料堆存采用全封闭库房，可有效降低原料堆放过程扬尘产生量，卸料过程采取降低物料卸料高度，定期洒水抑尘措施，可抑制90%扬尘颗粒物无组织排放，经计算，原料矿堆存库物料卸料过程颗粒物无组织（G1）排放量为0.3t/a。</w:t>
      </w:r>
    </w:p>
    <w:p w14:paraId="39798B90">
      <w:pPr>
        <w:adjustRightInd w:val="0"/>
        <w:snapToGrid w:val="0"/>
        <w:ind w:firstLine="480"/>
        <w:rPr>
          <w:rFonts w:hint="default" w:eastAsia="宋体"/>
          <w:b/>
          <w:bCs/>
          <w:color w:val="auto"/>
          <w:kern w:val="0"/>
          <w:highlight w:val="none"/>
          <w:lang w:val="en-US" w:eastAsia="zh-CN"/>
        </w:rPr>
      </w:pPr>
      <w:r>
        <w:rPr>
          <w:b/>
          <w:bCs/>
          <w:color w:val="auto"/>
          <w:kern w:val="0"/>
          <w:highlight w:val="none"/>
        </w:rPr>
        <w:t>（</w:t>
      </w:r>
      <w:r>
        <w:rPr>
          <w:rFonts w:hint="eastAsia"/>
          <w:b/>
          <w:bCs/>
          <w:color w:val="auto"/>
          <w:kern w:val="0"/>
          <w:highlight w:val="none"/>
          <w:lang w:val="en-US" w:eastAsia="zh-CN"/>
        </w:rPr>
        <w:t>3</w:t>
      </w:r>
      <w:r>
        <w:rPr>
          <w:b/>
          <w:bCs/>
          <w:color w:val="auto"/>
          <w:kern w:val="0"/>
          <w:highlight w:val="none"/>
        </w:rPr>
        <w:t>）</w:t>
      </w:r>
      <w:r>
        <w:rPr>
          <w:rFonts w:hint="eastAsia"/>
          <w:b/>
          <w:bCs/>
          <w:color w:val="auto"/>
          <w:kern w:val="0"/>
          <w:sz w:val="24"/>
          <w:szCs w:val="24"/>
          <w:highlight w:val="none"/>
          <w:lang w:val="en-US" w:eastAsia="zh-CN"/>
        </w:rPr>
        <w:t>破碎、筛分车间排放粉尘颗</w:t>
      </w:r>
      <w:r>
        <w:rPr>
          <w:rFonts w:hint="eastAsia"/>
          <w:b/>
          <w:bCs/>
          <w:color w:val="auto"/>
          <w:kern w:val="0"/>
          <w:highlight w:val="none"/>
          <w:lang w:val="en-US" w:eastAsia="zh-CN"/>
        </w:rPr>
        <w:t>（无组织G3、有组织DA001）</w:t>
      </w:r>
    </w:p>
    <w:p w14:paraId="3E14E74C">
      <w:pPr>
        <w:ind w:firstLine="480" w:firstLineChars="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rPr>
        <w:t>矿石破碎、筛分工序是碎石加工企业最大的粉尘排放源，破碎筛分工序的过程为</w:t>
      </w:r>
      <w:r>
        <w:rPr>
          <w:rFonts w:hint="eastAsia" w:ascii="Times New Roman" w:hAnsi="Times New Roman" w:eastAsia="宋体" w:cs="Times New Roman"/>
          <w:color w:val="auto"/>
          <w:highlight w:val="none"/>
          <w:lang w:val="en-US" w:eastAsia="zh-CN"/>
        </w:rPr>
        <w:t>上料、</w:t>
      </w:r>
      <w:r>
        <w:rPr>
          <w:rFonts w:hint="default" w:ascii="Times New Roman" w:hAnsi="Times New Roman" w:eastAsia="宋体" w:cs="Times New Roman"/>
          <w:color w:val="auto"/>
          <w:highlight w:val="none"/>
        </w:rPr>
        <w:t>粗碎—皮带运输—细碎—皮带运输—筛分。矿石在</w:t>
      </w:r>
      <w:r>
        <w:rPr>
          <w:rFonts w:hint="eastAsia" w:ascii="Times New Roman" w:hAnsi="Times New Roman" w:eastAsia="宋体" w:cs="Times New Roman"/>
          <w:color w:val="auto"/>
          <w:highlight w:val="none"/>
          <w:lang w:val="en-US" w:eastAsia="zh-CN"/>
        </w:rPr>
        <w:t>上料、</w:t>
      </w:r>
      <w:r>
        <w:rPr>
          <w:rFonts w:hint="default" w:ascii="Times New Roman" w:hAnsi="Times New Roman" w:eastAsia="宋体" w:cs="Times New Roman"/>
          <w:color w:val="auto"/>
          <w:highlight w:val="none"/>
        </w:rPr>
        <w:t>粗碎、细碎、筛分与运转过程中、在破碎机，筛分机和皮带</w:t>
      </w:r>
      <w:r>
        <w:rPr>
          <w:rFonts w:hint="eastAsia" w:cs="Times New Roman"/>
          <w:color w:val="auto"/>
          <w:highlight w:val="none"/>
          <w:lang w:val="en-US" w:eastAsia="zh-CN"/>
        </w:rPr>
        <w:t>输送</w:t>
      </w:r>
      <w:r>
        <w:rPr>
          <w:rFonts w:hint="default" w:ascii="Times New Roman" w:hAnsi="Times New Roman" w:eastAsia="宋体" w:cs="Times New Roman"/>
          <w:color w:val="auto"/>
          <w:highlight w:val="none"/>
        </w:rPr>
        <w:t>等处，矿石受到粉碎、振动和由高处下落产生的冲击作用，产量较大。但破碎、筛分粉尘的产生量和矿石的含水量、设备的密封程度有很大关系。</w:t>
      </w:r>
    </w:p>
    <w:p w14:paraId="618E5AD0">
      <w:pPr>
        <w:ind w:firstLine="480" w:firstLineChars="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本项目参照</w:t>
      </w:r>
      <w:r>
        <w:rPr>
          <w:rFonts w:hint="default" w:ascii="Times New Roman" w:hAnsi="Times New Roman" w:eastAsia="宋体" w:cs="Times New Roman"/>
          <w:color w:val="auto"/>
          <w:highlight w:val="none"/>
        </w:rPr>
        <w:t>《逸散性工业粉尘控制技术》中石灰生产的</w:t>
      </w:r>
      <w:r>
        <w:rPr>
          <w:rFonts w:hint="eastAsia" w:ascii="Times New Roman" w:hAnsi="Times New Roman" w:eastAsia="宋体" w:cs="Times New Roman"/>
          <w:color w:val="auto"/>
          <w:highlight w:val="none"/>
          <w:lang w:val="en-US" w:eastAsia="zh-CN"/>
        </w:rPr>
        <w:t>破碎、筛分等工序</w:t>
      </w:r>
      <w:r>
        <w:rPr>
          <w:rFonts w:hint="default" w:ascii="Times New Roman" w:hAnsi="Times New Roman" w:eastAsia="宋体" w:cs="Times New Roman"/>
          <w:color w:val="auto"/>
          <w:highlight w:val="none"/>
        </w:rPr>
        <w:t>逸散尘排放因子：破碎和筛分粉尘产生系数0.</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5kg/t碎料，</w:t>
      </w:r>
      <w:r>
        <w:rPr>
          <w:rFonts w:hint="default" w:ascii="Times New Roman" w:hAnsi="Times New Roman" w:eastAsia="宋体" w:cs="Times New Roman"/>
          <w:color w:val="auto"/>
          <w:highlight w:val="none"/>
          <w:lang w:val="en-US" w:eastAsia="zh-CN"/>
        </w:rPr>
        <w:t>本项目矿石</w:t>
      </w:r>
      <w:r>
        <w:rPr>
          <w:rFonts w:hint="eastAsia" w:ascii="Times New Roman" w:hAnsi="Times New Roman" w:eastAsia="宋体" w:cs="Times New Roman"/>
          <w:color w:val="auto"/>
          <w:highlight w:val="none"/>
          <w:lang w:val="en-US" w:eastAsia="zh-CN"/>
        </w:rPr>
        <w:t>总</w:t>
      </w:r>
      <w:r>
        <w:rPr>
          <w:rFonts w:hint="default" w:ascii="Times New Roman" w:hAnsi="Times New Roman" w:eastAsia="宋体" w:cs="Times New Roman"/>
          <w:color w:val="auto"/>
          <w:highlight w:val="none"/>
          <w:lang w:val="en-US" w:eastAsia="zh-CN"/>
        </w:rPr>
        <w:t>破碎量为30万t/a，由</w:t>
      </w:r>
      <w:r>
        <w:rPr>
          <w:rFonts w:hint="eastAsia" w:cs="Times New Roman"/>
          <w:color w:val="auto"/>
          <w:highlight w:val="none"/>
          <w:lang w:val="en-US" w:eastAsia="zh-CN"/>
        </w:rPr>
        <w:t>上料、</w:t>
      </w:r>
      <w:r>
        <w:rPr>
          <w:rFonts w:hint="default" w:ascii="Times New Roman" w:hAnsi="Times New Roman" w:eastAsia="宋体" w:cs="Times New Roman"/>
          <w:color w:val="auto"/>
          <w:highlight w:val="none"/>
          <w:lang w:val="en-US" w:eastAsia="zh-CN"/>
        </w:rPr>
        <w:t>破碎</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筛分加工</w:t>
      </w:r>
      <w:r>
        <w:rPr>
          <w:rFonts w:hint="eastAsia" w:cs="Times New Roman"/>
          <w:color w:val="auto"/>
          <w:highlight w:val="none"/>
          <w:lang w:val="en-US" w:eastAsia="zh-CN"/>
        </w:rPr>
        <w:t>工序，无控制措施下，粉尘颗粒物产生量为75t/a</w:t>
      </w:r>
      <w:r>
        <w:rPr>
          <w:rFonts w:hint="default" w:ascii="Times New Roman" w:hAnsi="Times New Roman" w:eastAsia="宋体" w:cs="Times New Roman"/>
          <w:color w:val="auto"/>
          <w:highlight w:val="none"/>
          <w:lang w:val="en-US" w:eastAsia="zh-CN"/>
        </w:rPr>
        <w:t>。</w:t>
      </w:r>
    </w:p>
    <w:p w14:paraId="211C3655">
      <w:pPr>
        <w:ind w:firstLine="480" w:firstLineChars="0"/>
        <w:rPr>
          <w:rFonts w:hint="eastAsia"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rPr>
        <w:t>项目</w:t>
      </w:r>
      <w:r>
        <w:rPr>
          <w:rFonts w:hint="eastAsia" w:cs="Times New Roman"/>
          <w:color w:val="auto"/>
          <w:highlight w:val="none"/>
          <w:lang w:val="en-US" w:eastAsia="zh-CN"/>
        </w:rPr>
        <w:t>给料机、</w:t>
      </w:r>
      <w:r>
        <w:rPr>
          <w:rFonts w:hint="default" w:ascii="Times New Roman" w:hAnsi="Times New Roman" w:eastAsia="宋体" w:cs="Times New Roman"/>
          <w:color w:val="auto"/>
          <w:highlight w:val="none"/>
        </w:rPr>
        <w:t>破碎</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筛分设备均设置在</w:t>
      </w:r>
      <w:r>
        <w:rPr>
          <w:rFonts w:hint="eastAsia" w:cs="Times New Roman"/>
          <w:color w:val="auto"/>
          <w:highlight w:val="none"/>
          <w:lang w:val="en-US" w:eastAsia="zh-CN"/>
        </w:rPr>
        <w:t>全</w:t>
      </w:r>
      <w:r>
        <w:rPr>
          <w:rFonts w:hint="default" w:ascii="Times New Roman" w:hAnsi="Times New Roman" w:eastAsia="宋体" w:cs="Times New Roman"/>
          <w:color w:val="auto"/>
          <w:highlight w:val="none"/>
        </w:rPr>
        <w:t>封闭的厂房内</w:t>
      </w:r>
      <w:r>
        <w:rPr>
          <w:rFonts w:hint="eastAsia" w:cs="Times New Roman"/>
          <w:color w:val="auto"/>
          <w:highlight w:val="none"/>
          <w:lang w:eastAsia="zh-CN"/>
        </w:rPr>
        <w:t>，</w:t>
      </w:r>
      <w:r>
        <w:rPr>
          <w:rFonts w:hint="eastAsia" w:cs="Times New Roman"/>
          <w:color w:val="auto"/>
          <w:highlight w:val="none"/>
          <w:lang w:val="en-US" w:eastAsia="zh-CN"/>
        </w:rPr>
        <w:t>皮带输送系统单独进行全封闭</w:t>
      </w:r>
      <w:r>
        <w:rPr>
          <w:rFonts w:hint="eastAsia" w:cs="Times New Roman"/>
          <w:color w:val="auto"/>
          <w:highlight w:val="none"/>
          <w:lang w:eastAsia="zh-CN"/>
        </w:rPr>
        <w:t>。</w:t>
      </w:r>
      <w:r>
        <w:rPr>
          <w:rFonts w:hint="eastAsia" w:cs="Times New Roman"/>
          <w:color w:val="auto"/>
          <w:highlight w:val="none"/>
          <w:lang w:val="en-US" w:eastAsia="zh-CN"/>
        </w:rPr>
        <w:t>给料机上料口设置喷雾抑尘装置，减少上料口扬尘，</w:t>
      </w:r>
      <w:r>
        <w:rPr>
          <w:rFonts w:hint="eastAsia"/>
          <w:color w:val="auto"/>
          <w:highlight w:val="none"/>
          <w:lang w:val="en-US" w:eastAsia="zh-CN"/>
        </w:rPr>
        <w:t>可将产生的95%粉尘颗粒物沉降在车间内；因此，</w:t>
      </w:r>
      <w:r>
        <w:rPr>
          <w:rFonts w:hint="eastAsia" w:ascii="Times New Roman" w:hAnsi="Times New Roman" w:eastAsia="宋体" w:cs="Times New Roman"/>
          <w:color w:val="auto"/>
          <w:highlight w:val="none"/>
          <w:lang w:val="en-US" w:eastAsia="zh-CN"/>
        </w:rPr>
        <w:t>本项目上料、破碎、筛分</w:t>
      </w:r>
      <w:r>
        <w:rPr>
          <w:rFonts w:hint="eastAsia" w:cs="Times New Roman"/>
          <w:color w:val="auto"/>
          <w:highlight w:val="none"/>
          <w:lang w:val="en-US" w:eastAsia="zh-CN"/>
        </w:rPr>
        <w:t>系统设在全封闭车间条件下，</w:t>
      </w:r>
      <w:r>
        <w:rPr>
          <w:rFonts w:hint="eastAsia" w:ascii="Times New Roman" w:hAnsi="Times New Roman" w:eastAsia="宋体" w:cs="Times New Roman"/>
          <w:color w:val="auto"/>
          <w:highlight w:val="none"/>
          <w:lang w:val="en-US" w:eastAsia="zh-CN"/>
        </w:rPr>
        <w:t>粉尘产生量为</w:t>
      </w:r>
      <w:r>
        <w:rPr>
          <w:rFonts w:hint="eastAsia" w:cs="Times New Roman"/>
          <w:color w:val="auto"/>
          <w:highlight w:val="none"/>
          <w:lang w:val="en-US" w:eastAsia="zh-CN"/>
        </w:rPr>
        <w:t>3.75</w:t>
      </w:r>
      <w:r>
        <w:rPr>
          <w:rFonts w:hint="eastAsia" w:ascii="Times New Roman" w:hAnsi="Times New Roman" w:eastAsia="宋体" w:cs="Times New Roman"/>
          <w:color w:val="auto"/>
          <w:highlight w:val="none"/>
          <w:lang w:val="en-US" w:eastAsia="zh-CN"/>
        </w:rPr>
        <w:t>t/a</w:t>
      </w:r>
      <w:r>
        <w:rPr>
          <w:rFonts w:hint="eastAsia" w:eastAsia="宋体" w:cs="Times New Roman"/>
          <w:color w:val="auto"/>
          <w:highlight w:val="none"/>
          <w:lang w:val="en-US" w:eastAsia="zh-CN"/>
        </w:rPr>
        <w:t>；</w:t>
      </w:r>
    </w:p>
    <w:p w14:paraId="073B43F1">
      <w:pPr>
        <w:ind w:firstLine="480" w:firstLineChars="0"/>
        <w:rPr>
          <w:rFonts w:hint="eastAsia" w:cs="Times New Roman"/>
          <w:color w:val="auto"/>
          <w:highlight w:val="none"/>
          <w:lang w:eastAsia="zh-CN"/>
        </w:rPr>
      </w:pPr>
      <w:r>
        <w:rPr>
          <w:rFonts w:hint="eastAsia" w:cs="Times New Roman"/>
          <w:color w:val="auto"/>
          <w:highlight w:val="none"/>
          <w:lang w:val="en-US" w:eastAsia="zh-CN"/>
        </w:rPr>
        <w:t>本项目</w:t>
      </w:r>
      <w:r>
        <w:rPr>
          <w:rFonts w:hint="default" w:ascii="Times New Roman" w:hAnsi="Times New Roman" w:eastAsia="宋体" w:cs="Times New Roman"/>
          <w:color w:val="auto"/>
          <w:highlight w:val="none"/>
        </w:rPr>
        <w:t>破碎机、筛分机</w:t>
      </w:r>
      <w:r>
        <w:rPr>
          <w:rFonts w:hint="eastAsia" w:cs="Times New Roman"/>
          <w:color w:val="auto"/>
          <w:highlight w:val="none"/>
          <w:lang w:val="en-US" w:eastAsia="zh-CN"/>
        </w:rPr>
        <w:t>落料口</w:t>
      </w:r>
      <w:r>
        <w:rPr>
          <w:rFonts w:hint="default" w:ascii="Times New Roman" w:hAnsi="Times New Roman" w:eastAsia="宋体" w:cs="Times New Roman"/>
          <w:color w:val="auto"/>
          <w:highlight w:val="none"/>
        </w:rPr>
        <w:t>上方分别安装集气罩，集气罩收集效率</w:t>
      </w:r>
      <w:r>
        <w:rPr>
          <w:rFonts w:hint="eastAsia" w:cs="Times New Roman"/>
          <w:color w:val="auto"/>
          <w:highlight w:val="none"/>
          <w:lang w:val="en-US" w:eastAsia="zh-CN"/>
        </w:rPr>
        <w:t>90</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以上，</w:t>
      </w:r>
      <w:r>
        <w:rPr>
          <w:rFonts w:hint="eastAsia" w:ascii="Times New Roman" w:hAnsi="Times New Roman" w:eastAsia="宋体" w:cs="Times New Roman"/>
          <w:color w:val="auto"/>
          <w:highlight w:val="none"/>
          <w:lang w:val="en-US" w:eastAsia="zh-CN"/>
        </w:rPr>
        <w:t>破碎</w:t>
      </w:r>
      <w:r>
        <w:rPr>
          <w:rFonts w:hint="eastAsia" w:cs="Times New Roman"/>
          <w:color w:val="auto"/>
          <w:highlight w:val="none"/>
          <w:lang w:val="en-US" w:eastAsia="zh-CN"/>
        </w:rPr>
        <w:t>机</w:t>
      </w:r>
      <w:r>
        <w:rPr>
          <w:rFonts w:hint="eastAsia" w:ascii="Times New Roman" w:hAnsi="Times New Roman" w:eastAsia="宋体" w:cs="Times New Roman"/>
          <w:color w:val="auto"/>
          <w:highlight w:val="none"/>
          <w:lang w:val="en-US" w:eastAsia="zh-CN"/>
        </w:rPr>
        <w:t>、筛分</w:t>
      </w:r>
      <w:r>
        <w:rPr>
          <w:rFonts w:hint="eastAsia" w:cs="Times New Roman"/>
          <w:color w:val="auto"/>
          <w:highlight w:val="none"/>
          <w:lang w:val="en-US" w:eastAsia="zh-CN"/>
        </w:rPr>
        <w:t>机落料口集气罩粉尘颗粒物收集量为3.375t/a，</w:t>
      </w:r>
      <w:r>
        <w:rPr>
          <w:rFonts w:hint="default" w:ascii="Times New Roman" w:hAnsi="Times New Roman" w:eastAsia="宋体" w:cs="Times New Roman"/>
          <w:color w:val="auto"/>
          <w:highlight w:val="none"/>
        </w:rPr>
        <w:t>集气罩收集后</w:t>
      </w:r>
      <w:r>
        <w:rPr>
          <w:rFonts w:hint="eastAsia" w:cs="Times New Roman"/>
          <w:color w:val="auto"/>
          <w:highlight w:val="none"/>
          <w:lang w:val="en-US" w:eastAsia="zh-CN"/>
        </w:rPr>
        <w:t>废气</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再</w:t>
      </w:r>
      <w:r>
        <w:rPr>
          <w:rFonts w:hint="default" w:ascii="Times New Roman" w:hAnsi="Times New Roman" w:eastAsia="宋体" w:cs="Times New Roman"/>
          <w:color w:val="auto"/>
          <w:highlight w:val="none"/>
        </w:rPr>
        <w:t>经除尘器</w:t>
      </w:r>
      <w:r>
        <w:rPr>
          <w:rFonts w:hint="eastAsia" w:cs="Times New Roman"/>
          <w:color w:val="auto"/>
          <w:highlight w:val="none"/>
          <w:lang w:val="en-US" w:eastAsia="zh-CN"/>
        </w:rPr>
        <w:t>过滤</w:t>
      </w:r>
      <w:r>
        <w:rPr>
          <w:rFonts w:hint="default" w:ascii="Times New Roman" w:hAnsi="Times New Roman" w:eastAsia="宋体" w:cs="Times New Roman"/>
          <w:color w:val="auto"/>
          <w:highlight w:val="none"/>
        </w:rPr>
        <w:t>除尘后，由1根15m高</w:t>
      </w:r>
      <w:r>
        <w:rPr>
          <w:rFonts w:hint="eastAsia" w:ascii="Times New Roman" w:hAnsi="Times New Roman" w:eastAsia="宋体" w:cs="Times New Roman"/>
          <w:color w:val="auto"/>
          <w:highlight w:val="none"/>
          <w:lang w:val="en-US" w:eastAsia="zh-CN"/>
        </w:rPr>
        <w:t>DA001</w:t>
      </w:r>
      <w:r>
        <w:rPr>
          <w:rFonts w:hint="default" w:ascii="Times New Roman" w:hAnsi="Times New Roman" w:eastAsia="宋体" w:cs="Times New Roman"/>
          <w:color w:val="auto"/>
          <w:highlight w:val="none"/>
        </w:rPr>
        <w:t>排气筒排放</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除尘器除尘效率按99%</w:t>
      </w:r>
      <w:r>
        <w:rPr>
          <w:rFonts w:hint="eastAsia" w:cs="Times New Roman"/>
          <w:color w:val="auto"/>
          <w:highlight w:val="none"/>
          <w:lang w:val="en-US" w:eastAsia="zh-CN"/>
        </w:rPr>
        <w:t>计</w:t>
      </w:r>
      <w:r>
        <w:rPr>
          <w:rFonts w:hint="eastAsia" w:cs="Times New Roman"/>
          <w:color w:val="auto"/>
          <w:highlight w:val="none"/>
          <w:lang w:eastAsia="zh-CN"/>
        </w:rPr>
        <w:t>，</w:t>
      </w:r>
      <w:r>
        <w:rPr>
          <w:rFonts w:hint="eastAsia" w:cs="Times New Roman"/>
          <w:color w:val="auto"/>
          <w:highlight w:val="none"/>
          <w:lang w:val="en-US" w:eastAsia="zh-CN"/>
        </w:rPr>
        <w:t>收集的废气经布袋除尘器过滤处理后经DA001排气筒排放粉尘颗粒物排放量为0.034t/a。</w:t>
      </w:r>
    </w:p>
    <w:p w14:paraId="04416456">
      <w:pPr>
        <w:ind w:firstLine="480" w:firstLineChars="0"/>
        <w:rPr>
          <w:rFonts w:hint="default" w:cs="Times New Roman"/>
          <w:color w:val="auto"/>
          <w:highlight w:val="none"/>
          <w:lang w:val="en-US" w:eastAsia="zh-CN"/>
        </w:rPr>
      </w:pPr>
      <w:r>
        <w:rPr>
          <w:rFonts w:hint="eastAsia" w:ascii="Times New Roman" w:hAnsi="Times New Roman" w:eastAsia="宋体" w:cs="Times New Roman"/>
          <w:color w:val="auto"/>
          <w:highlight w:val="none"/>
          <w:lang w:val="en-US" w:eastAsia="zh-CN"/>
        </w:rPr>
        <w:t>未被集气罩收集</w:t>
      </w:r>
      <w:r>
        <w:rPr>
          <w:rFonts w:hint="eastAsia" w:cs="Times New Roman"/>
          <w:color w:val="auto"/>
          <w:highlight w:val="none"/>
          <w:lang w:val="en-US" w:eastAsia="zh-CN"/>
        </w:rPr>
        <w:t>粉尘颗粒物经破碎、筛分车间门、窗</w:t>
      </w:r>
      <w:r>
        <w:rPr>
          <w:rFonts w:hint="eastAsia" w:ascii="Times New Roman" w:hAnsi="Times New Roman" w:eastAsia="宋体" w:cs="Times New Roman"/>
          <w:color w:val="auto"/>
          <w:highlight w:val="none"/>
          <w:lang w:val="en-US" w:eastAsia="zh-CN"/>
        </w:rPr>
        <w:t>无组织</w:t>
      </w:r>
      <w:r>
        <w:rPr>
          <w:rFonts w:hint="eastAsia" w:cs="Times New Roman"/>
          <w:color w:val="auto"/>
          <w:highlight w:val="none"/>
          <w:lang w:val="en-US" w:eastAsia="zh-CN"/>
        </w:rPr>
        <w:t>（G3）</w:t>
      </w:r>
      <w:r>
        <w:rPr>
          <w:rFonts w:hint="eastAsia" w:ascii="Times New Roman" w:hAnsi="Times New Roman" w:eastAsia="宋体" w:cs="Times New Roman"/>
          <w:color w:val="auto"/>
          <w:highlight w:val="none"/>
          <w:lang w:val="en-US" w:eastAsia="zh-CN"/>
        </w:rPr>
        <w:t>排放</w:t>
      </w:r>
      <w:r>
        <w:rPr>
          <w:rFonts w:hint="eastAsia" w:cs="Times New Roman"/>
          <w:color w:val="auto"/>
          <w:highlight w:val="none"/>
          <w:lang w:val="en-US" w:eastAsia="zh-CN"/>
        </w:rPr>
        <w:t>，无组织（G3）排放废气粉尘颗粒物排放量为0.375t/a。</w:t>
      </w:r>
    </w:p>
    <w:p w14:paraId="679FC5EC">
      <w:pPr>
        <w:ind w:firstLine="480" w:firstLineChars="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本项目</w:t>
      </w:r>
      <w:r>
        <w:rPr>
          <w:rFonts w:hint="default" w:ascii="Times New Roman" w:hAnsi="Times New Roman" w:eastAsia="宋体" w:cs="Times New Roman"/>
          <w:color w:val="auto"/>
          <w:highlight w:val="none"/>
        </w:rPr>
        <w:t>经计算车间破碎</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筛分过程粉尘</w:t>
      </w:r>
      <w:r>
        <w:rPr>
          <w:rFonts w:hint="eastAsia" w:ascii="Times New Roman" w:hAnsi="Times New Roman" w:cs="Times New Roman"/>
          <w:color w:val="auto"/>
          <w:highlight w:val="none"/>
          <w:lang w:val="en-US" w:eastAsia="zh-CN"/>
        </w:rPr>
        <w:t>及氟化物</w:t>
      </w:r>
      <w:r>
        <w:rPr>
          <w:rFonts w:hint="default" w:ascii="Times New Roman" w:hAnsi="Times New Roman" w:eastAsia="宋体" w:cs="Times New Roman"/>
          <w:color w:val="auto"/>
          <w:highlight w:val="none"/>
        </w:rPr>
        <w:t>产</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排放情况见表</w:t>
      </w:r>
      <w:r>
        <w:rPr>
          <w:rFonts w:hint="eastAsia" w:ascii="Times New Roman" w:hAnsi="Times New Roman" w:eastAsia="宋体" w:cs="Times New Roman"/>
          <w:color w:val="auto"/>
          <w:highlight w:val="none"/>
          <w:lang w:val="en-US" w:eastAsia="zh-CN"/>
        </w:rPr>
        <w:t>3.1</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w:t>
      </w:r>
    </w:p>
    <w:p w14:paraId="25DD964B">
      <w:pPr>
        <w:pStyle w:val="199"/>
        <w:spacing w:before="120"/>
        <w:ind w:firstLine="420" w:firstLineChars="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表</w:t>
      </w:r>
      <w:r>
        <w:rPr>
          <w:rFonts w:hint="eastAsia" w:ascii="Times New Roman" w:hAnsi="Times New Roman" w:cs="Times New Roman"/>
          <w:color w:val="auto"/>
          <w:sz w:val="24"/>
          <w:highlight w:val="none"/>
          <w:lang w:val="en-US" w:eastAsia="zh-CN"/>
        </w:rPr>
        <w:t>3.1</w:t>
      </w: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 xml:space="preserve"> </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 xml:space="preserve"> 破碎</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筛分</w:t>
      </w:r>
      <w:r>
        <w:rPr>
          <w:rFonts w:hint="eastAsia" w:cs="Times New Roman"/>
          <w:color w:val="auto"/>
          <w:sz w:val="24"/>
          <w:highlight w:val="none"/>
          <w:lang w:val="en-US" w:eastAsia="zh-CN"/>
        </w:rPr>
        <w:t>工序废气产排情况</w:t>
      </w:r>
      <w:r>
        <w:rPr>
          <w:rFonts w:hint="default" w:ascii="Times New Roman" w:hAnsi="Times New Roman" w:cs="Times New Roman"/>
          <w:color w:val="auto"/>
          <w:sz w:val="24"/>
          <w:highlight w:val="none"/>
          <w:lang w:val="en-US" w:eastAsia="zh-CN"/>
        </w:rPr>
        <w:t>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1061"/>
        <w:gridCol w:w="4255"/>
        <w:gridCol w:w="1061"/>
        <w:gridCol w:w="1144"/>
      </w:tblGrid>
      <w:tr w14:paraId="572B1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92D73D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污染源</w:t>
            </w:r>
          </w:p>
        </w:tc>
        <w:tc>
          <w:tcPr>
            <w:tcW w:w="0" w:type="auto"/>
            <w:tcBorders>
              <w:tl2br w:val="nil"/>
              <w:tr2bl w:val="nil"/>
            </w:tcBorders>
            <w:noWrap w:val="0"/>
            <w:vAlign w:val="center"/>
          </w:tcPr>
          <w:p w14:paraId="5160158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粉尘</w:t>
            </w:r>
          </w:p>
          <w:p w14:paraId="45C900D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产生量（t/a）</w:t>
            </w:r>
          </w:p>
        </w:tc>
        <w:tc>
          <w:tcPr>
            <w:tcW w:w="0" w:type="auto"/>
            <w:tcBorders>
              <w:tl2br w:val="nil"/>
              <w:tr2bl w:val="nil"/>
            </w:tcBorders>
            <w:noWrap w:val="0"/>
            <w:vAlign w:val="center"/>
          </w:tcPr>
          <w:p w14:paraId="66DD83D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防治措施</w:t>
            </w:r>
          </w:p>
        </w:tc>
        <w:tc>
          <w:tcPr>
            <w:tcW w:w="0" w:type="auto"/>
            <w:tcBorders>
              <w:tl2br w:val="nil"/>
              <w:tr2bl w:val="nil"/>
            </w:tcBorders>
            <w:noWrap w:val="0"/>
            <w:vAlign w:val="center"/>
          </w:tcPr>
          <w:p w14:paraId="67CFC13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颗粒物</w:t>
            </w:r>
          </w:p>
          <w:p w14:paraId="2B39B10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排放量（t/a）</w:t>
            </w:r>
          </w:p>
        </w:tc>
        <w:tc>
          <w:tcPr>
            <w:tcW w:w="0" w:type="auto"/>
            <w:tcBorders>
              <w:tl2br w:val="nil"/>
              <w:tr2bl w:val="nil"/>
            </w:tcBorders>
            <w:noWrap w:val="0"/>
            <w:vAlign w:val="center"/>
          </w:tcPr>
          <w:p w14:paraId="7632D6F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排放</w:t>
            </w:r>
          </w:p>
          <w:p w14:paraId="1E57BB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方式</w:t>
            </w:r>
          </w:p>
        </w:tc>
      </w:tr>
      <w:tr w14:paraId="201D4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tcBorders>
              <w:tl2br w:val="nil"/>
              <w:tr2bl w:val="nil"/>
            </w:tcBorders>
            <w:noWrap w:val="0"/>
            <w:vAlign w:val="center"/>
          </w:tcPr>
          <w:p w14:paraId="194B231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破碎</w:t>
            </w:r>
            <w:r>
              <w:rPr>
                <w:rFonts w:hint="eastAsia" w:ascii="Times New Roman" w:hAnsi="Times New Roman" w:cs="Times New Roman"/>
                <w:b w:val="0"/>
                <w:color w:val="auto"/>
                <w:kern w:val="0"/>
                <w:sz w:val="21"/>
                <w:szCs w:val="21"/>
                <w:highlight w:val="none"/>
                <w:lang w:val="en-US" w:eastAsia="zh-CN"/>
              </w:rPr>
              <w:t>、</w:t>
            </w:r>
            <w:r>
              <w:rPr>
                <w:rFonts w:hint="default" w:ascii="Times New Roman" w:hAnsi="Times New Roman" w:cs="Times New Roman"/>
                <w:b w:val="0"/>
                <w:color w:val="auto"/>
                <w:kern w:val="0"/>
                <w:sz w:val="21"/>
                <w:szCs w:val="21"/>
                <w:highlight w:val="none"/>
                <w:lang w:val="en-US" w:eastAsia="zh-CN"/>
              </w:rPr>
              <w:t>筛分车间</w:t>
            </w:r>
          </w:p>
        </w:tc>
        <w:tc>
          <w:tcPr>
            <w:tcW w:w="0" w:type="auto"/>
            <w:vMerge w:val="restart"/>
            <w:tcBorders>
              <w:tl2br w:val="nil"/>
              <w:tr2bl w:val="nil"/>
            </w:tcBorders>
            <w:noWrap w:val="0"/>
            <w:vAlign w:val="center"/>
          </w:tcPr>
          <w:p w14:paraId="03D0FC5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3.75</w:t>
            </w:r>
          </w:p>
        </w:tc>
        <w:tc>
          <w:tcPr>
            <w:tcW w:w="0" w:type="auto"/>
            <w:tcBorders>
              <w:tl2br w:val="nil"/>
              <w:tr2bl w:val="nil"/>
            </w:tcBorders>
            <w:noWrap w:val="0"/>
            <w:vAlign w:val="center"/>
          </w:tcPr>
          <w:p w14:paraId="47ADE6A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给料机上料口设置水喷淋装置，各</w:t>
            </w:r>
            <w:r>
              <w:rPr>
                <w:rFonts w:hint="default" w:ascii="Times New Roman" w:hAnsi="Times New Roman" w:cs="Times New Roman"/>
                <w:b w:val="0"/>
                <w:color w:val="auto"/>
                <w:kern w:val="0"/>
                <w:sz w:val="21"/>
                <w:szCs w:val="21"/>
                <w:highlight w:val="none"/>
                <w:lang w:val="en-US" w:eastAsia="zh-CN"/>
              </w:rPr>
              <w:t>破碎机、筛分机</w:t>
            </w:r>
            <w:r>
              <w:rPr>
                <w:rFonts w:hint="eastAsia" w:cs="Times New Roman"/>
                <w:b w:val="0"/>
                <w:color w:val="auto"/>
                <w:kern w:val="0"/>
                <w:sz w:val="21"/>
                <w:szCs w:val="21"/>
                <w:highlight w:val="none"/>
                <w:lang w:val="en-US" w:eastAsia="zh-CN"/>
              </w:rPr>
              <w:t>落料口</w:t>
            </w:r>
            <w:r>
              <w:rPr>
                <w:rFonts w:hint="default" w:ascii="Times New Roman" w:hAnsi="Times New Roman" w:cs="Times New Roman"/>
                <w:b w:val="0"/>
                <w:color w:val="auto"/>
                <w:kern w:val="0"/>
                <w:sz w:val="21"/>
                <w:szCs w:val="21"/>
                <w:highlight w:val="none"/>
                <w:lang w:val="en-US" w:eastAsia="zh-CN"/>
              </w:rPr>
              <w:t>上方分别安装集气罩，粉尘经集气罩收集</w:t>
            </w:r>
            <w:r>
              <w:rPr>
                <w:rFonts w:hint="eastAsia" w:ascii="Times New Roman" w:hAnsi="Times New Roman" w:cs="Times New Roman"/>
                <w:b w:val="0"/>
                <w:color w:val="auto"/>
                <w:kern w:val="0"/>
                <w:sz w:val="21"/>
                <w:szCs w:val="21"/>
                <w:highlight w:val="none"/>
                <w:lang w:val="en-US" w:eastAsia="zh-CN"/>
              </w:rPr>
              <w:t>（收集效率</w:t>
            </w:r>
            <w:r>
              <w:rPr>
                <w:rFonts w:hint="eastAsia" w:cs="Times New Roman"/>
                <w:b w:val="0"/>
                <w:color w:val="auto"/>
                <w:kern w:val="0"/>
                <w:sz w:val="21"/>
                <w:szCs w:val="21"/>
                <w:highlight w:val="none"/>
                <w:lang w:val="en-US" w:eastAsia="zh-CN"/>
              </w:rPr>
              <w:t>90</w:t>
            </w:r>
            <w:r>
              <w:rPr>
                <w:rFonts w:hint="eastAsia" w:ascii="Times New Roman" w:hAnsi="Times New Roman"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10DB94D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0.375</w:t>
            </w:r>
          </w:p>
        </w:tc>
        <w:tc>
          <w:tcPr>
            <w:tcW w:w="0" w:type="auto"/>
            <w:tcBorders>
              <w:tl2br w:val="nil"/>
              <w:tr2bl w:val="nil"/>
            </w:tcBorders>
            <w:noWrap w:val="0"/>
            <w:vAlign w:val="center"/>
          </w:tcPr>
          <w:p w14:paraId="0FA82E3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无组织</w:t>
            </w:r>
          </w:p>
          <w:p w14:paraId="174D0BE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G3</w:t>
            </w:r>
          </w:p>
        </w:tc>
      </w:tr>
      <w:tr w14:paraId="68999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0" w:type="auto"/>
            <w:vMerge w:val="continue"/>
            <w:tcBorders>
              <w:tl2br w:val="nil"/>
              <w:tr2bl w:val="nil"/>
            </w:tcBorders>
            <w:noWrap w:val="0"/>
            <w:vAlign w:val="center"/>
          </w:tcPr>
          <w:p w14:paraId="7A9A87A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p>
        </w:tc>
        <w:tc>
          <w:tcPr>
            <w:tcW w:w="0" w:type="auto"/>
            <w:vMerge w:val="continue"/>
            <w:tcBorders>
              <w:tl2br w:val="nil"/>
              <w:tr2bl w:val="nil"/>
            </w:tcBorders>
            <w:noWrap w:val="0"/>
            <w:vAlign w:val="center"/>
          </w:tcPr>
          <w:p w14:paraId="5EAB89D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p>
        </w:tc>
        <w:tc>
          <w:tcPr>
            <w:tcW w:w="0" w:type="auto"/>
            <w:tcBorders>
              <w:tl2br w:val="nil"/>
              <w:tr2bl w:val="nil"/>
            </w:tcBorders>
            <w:noWrap w:val="0"/>
            <w:vAlign w:val="center"/>
          </w:tcPr>
          <w:p w14:paraId="722889A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经</w:t>
            </w:r>
            <w:r>
              <w:rPr>
                <w:rFonts w:hint="default" w:ascii="Times New Roman" w:hAnsi="Times New Roman" w:cs="Times New Roman"/>
                <w:b w:val="0"/>
                <w:color w:val="auto"/>
                <w:kern w:val="0"/>
                <w:sz w:val="21"/>
                <w:szCs w:val="21"/>
                <w:highlight w:val="none"/>
                <w:lang w:val="en-US" w:eastAsia="zh-CN"/>
              </w:rPr>
              <w:t>袋式除尘器</w:t>
            </w:r>
            <w:r>
              <w:rPr>
                <w:rFonts w:hint="eastAsia" w:ascii="Times New Roman" w:hAnsi="Times New Roman" w:cs="Times New Roman"/>
                <w:b w:val="0"/>
                <w:color w:val="auto"/>
                <w:kern w:val="0"/>
                <w:sz w:val="21"/>
                <w:szCs w:val="21"/>
                <w:highlight w:val="none"/>
                <w:lang w:val="en-US" w:eastAsia="zh-CN"/>
              </w:rPr>
              <w:t>（除尘效率99%）</w:t>
            </w:r>
            <w:r>
              <w:rPr>
                <w:rFonts w:hint="default" w:ascii="Times New Roman" w:hAnsi="Times New Roman" w:cs="Times New Roman"/>
                <w:b w:val="0"/>
                <w:color w:val="auto"/>
                <w:kern w:val="0"/>
                <w:sz w:val="21"/>
                <w:szCs w:val="21"/>
                <w:highlight w:val="none"/>
                <w:lang w:val="en-US" w:eastAsia="zh-CN"/>
              </w:rPr>
              <w:t>除尘后由1根15m排气筒排放</w:t>
            </w:r>
          </w:p>
        </w:tc>
        <w:tc>
          <w:tcPr>
            <w:tcW w:w="0" w:type="auto"/>
            <w:tcBorders>
              <w:tl2br w:val="nil"/>
              <w:tr2bl w:val="nil"/>
            </w:tcBorders>
            <w:noWrap w:val="0"/>
            <w:vAlign w:val="center"/>
          </w:tcPr>
          <w:p w14:paraId="6E00F8D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0.034</w:t>
            </w:r>
          </w:p>
        </w:tc>
        <w:tc>
          <w:tcPr>
            <w:tcW w:w="0" w:type="auto"/>
            <w:tcBorders>
              <w:tl2br w:val="nil"/>
              <w:tr2bl w:val="nil"/>
            </w:tcBorders>
            <w:noWrap w:val="0"/>
            <w:vAlign w:val="center"/>
          </w:tcPr>
          <w:p w14:paraId="461E298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有组织DAOO1</w:t>
            </w:r>
          </w:p>
        </w:tc>
      </w:tr>
    </w:tbl>
    <w:p w14:paraId="47B15BE1">
      <w:pPr>
        <w:adjustRightInd w:val="0"/>
        <w:snapToGrid w:val="0"/>
        <w:ind w:firstLine="480"/>
        <w:rPr>
          <w:rFonts w:hint="default" w:eastAsia="宋体"/>
          <w:b/>
          <w:bCs/>
          <w:color w:val="auto"/>
          <w:kern w:val="0"/>
          <w:highlight w:val="none"/>
          <w:lang w:val="en-US" w:eastAsia="zh-CN"/>
        </w:rPr>
      </w:pPr>
      <w:r>
        <w:rPr>
          <w:b/>
          <w:bCs/>
          <w:color w:val="auto"/>
          <w:kern w:val="0"/>
          <w:highlight w:val="none"/>
        </w:rPr>
        <w:t>（</w:t>
      </w:r>
      <w:r>
        <w:rPr>
          <w:rFonts w:hint="eastAsia"/>
          <w:b/>
          <w:bCs/>
          <w:color w:val="auto"/>
          <w:kern w:val="0"/>
          <w:highlight w:val="none"/>
          <w:lang w:val="en-US" w:eastAsia="zh-CN"/>
        </w:rPr>
        <w:t>4</w:t>
      </w:r>
      <w:r>
        <w:rPr>
          <w:b/>
          <w:bCs/>
          <w:color w:val="auto"/>
          <w:kern w:val="0"/>
          <w:highlight w:val="none"/>
        </w:rPr>
        <w:t>）</w:t>
      </w:r>
      <w:r>
        <w:rPr>
          <w:rFonts w:hint="eastAsia"/>
          <w:b/>
          <w:bCs/>
          <w:color w:val="auto"/>
          <w:kern w:val="0"/>
          <w:highlight w:val="none"/>
          <w:lang w:val="en-US" w:eastAsia="zh-CN"/>
        </w:rPr>
        <w:t>精矿粉粉库及尾矿砂库扬尘（G4、G5）</w:t>
      </w:r>
    </w:p>
    <w:p w14:paraId="73BAC324">
      <w:pPr>
        <w:ind w:firstLine="480" w:firstLineChars="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w:t>
      </w:r>
      <w:r>
        <w:rPr>
          <w:rFonts w:hint="eastAsia" w:ascii="Times New Roman" w:hAnsi="Times New Roman" w:cs="Times New Roman"/>
          <w:color w:val="auto"/>
          <w:highlight w:val="none"/>
          <w:lang w:val="en-US" w:eastAsia="zh-CN"/>
        </w:rPr>
        <w:t>精矿粉贮存于</w:t>
      </w:r>
      <w:r>
        <w:rPr>
          <w:rFonts w:hint="default" w:ascii="Times New Roman" w:hAnsi="Times New Roman" w:eastAsia="宋体" w:cs="Times New Roman"/>
          <w:color w:val="auto"/>
          <w:highlight w:val="none"/>
          <w:lang w:val="en-US" w:eastAsia="zh-CN"/>
        </w:rPr>
        <w:t>车间封闭的精矿</w:t>
      </w:r>
      <w:r>
        <w:rPr>
          <w:rFonts w:hint="eastAsia" w:ascii="Times New Roman" w:hAnsi="Times New Roman" w:cs="Times New Roman"/>
          <w:color w:val="auto"/>
          <w:highlight w:val="none"/>
          <w:lang w:val="en-US" w:eastAsia="zh-CN"/>
        </w:rPr>
        <w:t>贮存库内，尾矿砂贮存于全封闭尾矿砂临时贮存库内，减少风力扬尘。本项目</w:t>
      </w:r>
      <w:r>
        <w:rPr>
          <w:rFonts w:hint="default" w:ascii="Times New Roman" w:hAnsi="Times New Roman" w:eastAsia="宋体" w:cs="Times New Roman"/>
          <w:color w:val="auto"/>
          <w:highlight w:val="none"/>
          <w:lang w:val="en-US" w:eastAsia="zh-CN"/>
        </w:rPr>
        <w:t>产出的精矿粉</w:t>
      </w:r>
      <w:r>
        <w:rPr>
          <w:rFonts w:hint="eastAsia" w:ascii="Times New Roman" w:hAnsi="Times New Roman" w:cs="Times New Roman"/>
          <w:color w:val="auto"/>
          <w:highlight w:val="none"/>
          <w:lang w:val="en-US" w:eastAsia="zh-CN"/>
        </w:rPr>
        <w:t>和尾矿砂来原自板框压滤机，因此，产出的精矿粉和尾矿砂本身含有水分，含水率大于10%，</w:t>
      </w:r>
      <w:r>
        <w:rPr>
          <w:rFonts w:hint="default" w:ascii="Times New Roman" w:hAnsi="Times New Roman" w:eastAsia="宋体" w:cs="Times New Roman"/>
          <w:color w:val="auto"/>
          <w:highlight w:val="none"/>
          <w:lang w:val="en-US" w:eastAsia="zh-CN"/>
        </w:rPr>
        <w:t>同时</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企业日常对尾矿库堆存区表面进行定期洒水</w:t>
      </w:r>
      <w:r>
        <w:rPr>
          <w:rFonts w:hint="eastAsia" w:ascii="Times New Roman" w:hAnsi="Times New Roman" w:cs="Times New Roman"/>
          <w:color w:val="auto"/>
          <w:highlight w:val="none"/>
          <w:lang w:val="en-US" w:eastAsia="zh-CN"/>
        </w:rPr>
        <w:t>，保持精矿粉和尾矿砂湿度。因此，本项目精矿粉库和尾矿砂库无组织排放粉尘颗粒物量极少，可忽略不计</w:t>
      </w:r>
      <w:r>
        <w:rPr>
          <w:rFonts w:hint="default" w:ascii="Times New Roman" w:hAnsi="Times New Roman" w:eastAsia="宋体" w:cs="Times New Roman"/>
          <w:color w:val="auto"/>
          <w:highlight w:val="none"/>
          <w:lang w:val="en-US" w:eastAsia="zh-CN"/>
        </w:rPr>
        <w:t>。</w:t>
      </w:r>
    </w:p>
    <w:p w14:paraId="140F84EC">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本项目废气产生和排放情况见表</w:t>
      </w:r>
      <w:r>
        <w:rPr>
          <w:rFonts w:hint="eastAsia" w:ascii="Times New Roman" w:hAnsi="Times New Roman" w:cs="Times New Roman"/>
          <w:color w:val="auto"/>
          <w:highlight w:val="none"/>
          <w:lang w:val="en-US" w:eastAsia="zh-CN"/>
        </w:rPr>
        <w:t>3.1</w:t>
      </w: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w:t>
      </w:r>
    </w:p>
    <w:p w14:paraId="2B6498B6">
      <w:pPr>
        <w:pStyle w:val="199"/>
        <w:spacing w:before="120"/>
        <w:rPr>
          <w:color w:val="auto"/>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26" w:charSpace="0"/>
        </w:sectPr>
      </w:pPr>
    </w:p>
    <w:p w14:paraId="417287A4">
      <w:pPr>
        <w:pStyle w:val="199"/>
        <w:keepNext w:val="0"/>
        <w:keepLines w:val="0"/>
        <w:pageBreakBefore w:val="0"/>
        <w:widowControl w:val="0"/>
        <w:kinsoku/>
        <w:wordWrap/>
        <w:overflowPunct/>
        <w:topLinePunct w:val="0"/>
        <w:autoSpaceDE/>
        <w:autoSpaceDN/>
        <w:bidi w:val="0"/>
        <w:adjustRightInd/>
        <w:snapToGrid/>
        <w:spacing w:before="120" w:line="240" w:lineRule="auto"/>
        <w:textAlignment w:val="auto"/>
        <w:rPr>
          <w:color w:val="auto"/>
          <w:sz w:val="24"/>
          <w:highlight w:val="none"/>
        </w:rPr>
      </w:pPr>
      <w:r>
        <w:rPr>
          <w:rFonts w:hint="eastAsia"/>
          <w:color w:val="auto"/>
          <w:sz w:val="24"/>
          <w:highlight w:val="none"/>
        </w:rPr>
        <w:t>表</w:t>
      </w:r>
      <w:r>
        <w:rPr>
          <w:rFonts w:hint="eastAsia"/>
          <w:color w:val="auto"/>
          <w:sz w:val="24"/>
          <w:highlight w:val="none"/>
          <w:lang w:val="en-US" w:eastAsia="zh-CN"/>
        </w:rPr>
        <w:t>3.11-6</w:t>
      </w:r>
      <w:r>
        <w:rPr>
          <w:color w:val="auto"/>
          <w:sz w:val="24"/>
          <w:highlight w:val="none"/>
        </w:rPr>
        <w:t xml:space="preserve">  </w:t>
      </w:r>
      <w:r>
        <w:rPr>
          <w:rFonts w:hint="eastAsia"/>
          <w:color w:val="auto"/>
          <w:sz w:val="24"/>
          <w:highlight w:val="none"/>
          <w:lang w:val="en-US" w:eastAsia="zh-CN"/>
        </w:rPr>
        <w:t xml:space="preserve">    </w:t>
      </w:r>
      <w:r>
        <w:rPr>
          <w:color w:val="auto"/>
          <w:sz w:val="24"/>
          <w:highlight w:val="none"/>
        </w:rPr>
        <w:t>本项目</w:t>
      </w:r>
      <w:r>
        <w:rPr>
          <w:rFonts w:hint="eastAsia"/>
          <w:color w:val="auto"/>
          <w:sz w:val="24"/>
          <w:highlight w:val="none"/>
        </w:rPr>
        <w:t>废气产生和排放情况一览表</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
        <w:gridCol w:w="432"/>
        <w:gridCol w:w="1098"/>
        <w:gridCol w:w="1107"/>
        <w:gridCol w:w="1141"/>
        <w:gridCol w:w="636"/>
        <w:gridCol w:w="677"/>
        <w:gridCol w:w="607"/>
        <w:gridCol w:w="1201"/>
        <w:gridCol w:w="1016"/>
        <w:gridCol w:w="855"/>
        <w:gridCol w:w="1201"/>
        <w:gridCol w:w="1010"/>
        <w:gridCol w:w="954"/>
        <w:gridCol w:w="954"/>
        <w:gridCol w:w="844"/>
      </w:tblGrid>
      <w:tr w14:paraId="2B52B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dxa"/>
            <w:vMerge w:val="restart"/>
            <w:tcBorders>
              <w:tl2br w:val="nil"/>
              <w:tr2bl w:val="nil"/>
            </w:tcBorders>
            <w:noWrap w:val="0"/>
            <w:vAlign w:val="center"/>
          </w:tcPr>
          <w:p w14:paraId="2A33977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污染源</w:t>
            </w:r>
          </w:p>
        </w:tc>
        <w:tc>
          <w:tcPr>
            <w:tcW w:w="432" w:type="dxa"/>
            <w:vMerge w:val="restart"/>
            <w:tcBorders>
              <w:tl2br w:val="nil"/>
              <w:tr2bl w:val="nil"/>
            </w:tcBorders>
            <w:noWrap w:val="0"/>
            <w:vAlign w:val="center"/>
          </w:tcPr>
          <w:p w14:paraId="14422F0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污染物</w:t>
            </w:r>
          </w:p>
        </w:tc>
        <w:tc>
          <w:tcPr>
            <w:tcW w:w="3346" w:type="dxa"/>
            <w:gridSpan w:val="3"/>
            <w:tcBorders>
              <w:tl2br w:val="nil"/>
              <w:tr2bl w:val="nil"/>
            </w:tcBorders>
            <w:noWrap w:val="0"/>
            <w:vAlign w:val="center"/>
          </w:tcPr>
          <w:p w14:paraId="49FC308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产生情况</w:t>
            </w:r>
          </w:p>
        </w:tc>
        <w:tc>
          <w:tcPr>
            <w:tcW w:w="636" w:type="dxa"/>
            <w:tcBorders>
              <w:tl2br w:val="nil"/>
              <w:tr2bl w:val="nil"/>
            </w:tcBorders>
            <w:noWrap w:val="0"/>
            <w:vAlign w:val="center"/>
          </w:tcPr>
          <w:p w14:paraId="68E7738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风量</w:t>
            </w:r>
          </w:p>
        </w:tc>
        <w:tc>
          <w:tcPr>
            <w:tcW w:w="677" w:type="dxa"/>
            <w:vMerge w:val="restart"/>
            <w:tcBorders>
              <w:tl2br w:val="nil"/>
              <w:tr2bl w:val="nil"/>
            </w:tcBorders>
            <w:noWrap w:val="0"/>
            <w:vAlign w:val="center"/>
          </w:tcPr>
          <w:p w14:paraId="391A317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治理措施</w:t>
            </w:r>
          </w:p>
        </w:tc>
        <w:tc>
          <w:tcPr>
            <w:tcW w:w="607" w:type="dxa"/>
            <w:vMerge w:val="restart"/>
            <w:tcBorders>
              <w:tl2br w:val="nil"/>
              <w:tr2bl w:val="nil"/>
            </w:tcBorders>
            <w:noWrap w:val="0"/>
            <w:vAlign w:val="center"/>
          </w:tcPr>
          <w:p w14:paraId="62ABAE3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处理效率</w:t>
            </w:r>
          </w:p>
        </w:tc>
        <w:tc>
          <w:tcPr>
            <w:tcW w:w="3072" w:type="dxa"/>
            <w:gridSpan w:val="3"/>
            <w:tcBorders>
              <w:tl2br w:val="nil"/>
              <w:tr2bl w:val="nil"/>
            </w:tcBorders>
            <w:noWrap w:val="0"/>
            <w:vAlign w:val="center"/>
          </w:tcPr>
          <w:p w14:paraId="7271349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排放情况</w:t>
            </w:r>
          </w:p>
        </w:tc>
        <w:tc>
          <w:tcPr>
            <w:tcW w:w="2211" w:type="dxa"/>
            <w:gridSpan w:val="2"/>
            <w:tcBorders>
              <w:tl2br w:val="nil"/>
              <w:tr2bl w:val="nil"/>
            </w:tcBorders>
            <w:noWrap w:val="0"/>
            <w:vAlign w:val="center"/>
          </w:tcPr>
          <w:p w14:paraId="24C7499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执行标准限值</w:t>
            </w:r>
          </w:p>
        </w:tc>
        <w:tc>
          <w:tcPr>
            <w:tcW w:w="1908" w:type="dxa"/>
            <w:gridSpan w:val="2"/>
            <w:tcBorders>
              <w:tl2br w:val="nil"/>
              <w:tr2bl w:val="nil"/>
            </w:tcBorders>
            <w:noWrap w:val="0"/>
            <w:vAlign w:val="center"/>
          </w:tcPr>
          <w:p w14:paraId="205218A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排放源参数</w:t>
            </w:r>
          </w:p>
        </w:tc>
        <w:tc>
          <w:tcPr>
            <w:tcW w:w="844" w:type="dxa"/>
            <w:vMerge w:val="restart"/>
            <w:tcBorders>
              <w:tl2br w:val="nil"/>
              <w:tr2bl w:val="nil"/>
            </w:tcBorders>
            <w:noWrap w:val="0"/>
            <w:vAlign w:val="center"/>
          </w:tcPr>
          <w:p w14:paraId="1A6DE98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排放</w:t>
            </w:r>
          </w:p>
          <w:p w14:paraId="33F1B37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方式</w:t>
            </w:r>
          </w:p>
        </w:tc>
      </w:tr>
      <w:tr w14:paraId="2D63D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dxa"/>
            <w:vMerge w:val="continue"/>
            <w:tcBorders>
              <w:tl2br w:val="nil"/>
              <w:tr2bl w:val="nil"/>
            </w:tcBorders>
            <w:noWrap w:val="0"/>
            <w:vAlign w:val="center"/>
          </w:tcPr>
          <w:p w14:paraId="1674B83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p>
        </w:tc>
        <w:tc>
          <w:tcPr>
            <w:tcW w:w="432" w:type="dxa"/>
            <w:vMerge w:val="continue"/>
            <w:tcBorders>
              <w:tl2br w:val="nil"/>
              <w:tr2bl w:val="nil"/>
            </w:tcBorders>
            <w:noWrap w:val="0"/>
            <w:vAlign w:val="center"/>
          </w:tcPr>
          <w:p w14:paraId="00319AC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p>
        </w:tc>
        <w:tc>
          <w:tcPr>
            <w:tcW w:w="1098" w:type="dxa"/>
            <w:tcBorders>
              <w:tl2br w:val="nil"/>
              <w:tr2bl w:val="nil"/>
            </w:tcBorders>
            <w:noWrap w:val="0"/>
            <w:vAlign w:val="center"/>
          </w:tcPr>
          <w:p w14:paraId="72421B4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浓度</w:t>
            </w:r>
          </w:p>
          <w:p w14:paraId="3A11DC6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（mg/m</w:t>
            </w:r>
            <w:r>
              <w:rPr>
                <w:rFonts w:hint="eastAsia" w:ascii="Times New Roman" w:hAnsi="Times New Roman" w:cs="Times New Roman"/>
                <w:b w:val="0"/>
                <w:color w:val="auto"/>
                <w:kern w:val="0"/>
                <w:sz w:val="21"/>
                <w:szCs w:val="21"/>
                <w:highlight w:val="none"/>
                <w:vertAlign w:val="superscript"/>
                <w:lang w:val="en-US" w:eastAsia="zh-CN"/>
              </w:rPr>
              <w:t>3</w:t>
            </w:r>
            <w:r>
              <w:rPr>
                <w:rFonts w:hint="eastAsia" w:ascii="Times New Roman" w:hAnsi="Times New Roman" w:cs="Times New Roman"/>
                <w:b w:val="0"/>
                <w:color w:val="auto"/>
                <w:kern w:val="0"/>
                <w:sz w:val="21"/>
                <w:szCs w:val="21"/>
                <w:highlight w:val="none"/>
                <w:lang w:val="en-US" w:eastAsia="zh-CN"/>
              </w:rPr>
              <w:t>）</w:t>
            </w:r>
          </w:p>
        </w:tc>
        <w:tc>
          <w:tcPr>
            <w:tcW w:w="1107" w:type="dxa"/>
            <w:tcBorders>
              <w:tl2br w:val="nil"/>
              <w:tr2bl w:val="nil"/>
            </w:tcBorders>
            <w:noWrap w:val="0"/>
            <w:vAlign w:val="center"/>
          </w:tcPr>
          <w:p w14:paraId="349675A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速率</w:t>
            </w:r>
          </w:p>
          <w:p w14:paraId="3431204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（kg/h）</w:t>
            </w:r>
          </w:p>
        </w:tc>
        <w:tc>
          <w:tcPr>
            <w:tcW w:w="1141" w:type="dxa"/>
            <w:tcBorders>
              <w:tl2br w:val="nil"/>
              <w:tr2bl w:val="nil"/>
            </w:tcBorders>
            <w:noWrap w:val="0"/>
            <w:vAlign w:val="center"/>
          </w:tcPr>
          <w:p w14:paraId="01284F9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产生量（t/a）</w:t>
            </w:r>
          </w:p>
        </w:tc>
        <w:tc>
          <w:tcPr>
            <w:tcW w:w="636" w:type="dxa"/>
            <w:tcBorders>
              <w:tl2br w:val="nil"/>
              <w:tr2bl w:val="nil"/>
            </w:tcBorders>
            <w:noWrap w:val="0"/>
            <w:vAlign w:val="center"/>
          </w:tcPr>
          <w:p w14:paraId="7B5E07E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m</w:t>
            </w:r>
            <w:r>
              <w:rPr>
                <w:rFonts w:hint="eastAsia" w:ascii="Times New Roman" w:hAnsi="Times New Roman" w:cs="Times New Roman"/>
                <w:b w:val="0"/>
                <w:color w:val="auto"/>
                <w:kern w:val="0"/>
                <w:sz w:val="21"/>
                <w:szCs w:val="21"/>
                <w:highlight w:val="none"/>
                <w:vertAlign w:val="superscript"/>
                <w:lang w:val="en-US" w:eastAsia="zh-CN"/>
              </w:rPr>
              <w:t>3</w:t>
            </w:r>
            <w:r>
              <w:rPr>
                <w:rFonts w:hint="eastAsia" w:ascii="Times New Roman" w:hAnsi="Times New Roman" w:cs="Times New Roman"/>
                <w:b w:val="0"/>
                <w:color w:val="auto"/>
                <w:kern w:val="0"/>
                <w:sz w:val="21"/>
                <w:szCs w:val="21"/>
                <w:highlight w:val="none"/>
                <w:lang w:val="en-US" w:eastAsia="zh-CN"/>
              </w:rPr>
              <w:t>/h</w:t>
            </w:r>
          </w:p>
        </w:tc>
        <w:tc>
          <w:tcPr>
            <w:tcW w:w="677" w:type="dxa"/>
            <w:vMerge w:val="continue"/>
            <w:tcBorders>
              <w:tl2br w:val="nil"/>
              <w:tr2bl w:val="nil"/>
            </w:tcBorders>
            <w:noWrap w:val="0"/>
            <w:vAlign w:val="center"/>
          </w:tcPr>
          <w:p w14:paraId="28622DE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p>
        </w:tc>
        <w:tc>
          <w:tcPr>
            <w:tcW w:w="607" w:type="dxa"/>
            <w:vMerge w:val="continue"/>
            <w:tcBorders>
              <w:tl2br w:val="nil"/>
              <w:tr2bl w:val="nil"/>
            </w:tcBorders>
            <w:noWrap w:val="0"/>
            <w:vAlign w:val="center"/>
          </w:tcPr>
          <w:p w14:paraId="4B718B5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p>
        </w:tc>
        <w:tc>
          <w:tcPr>
            <w:tcW w:w="1201" w:type="dxa"/>
            <w:tcBorders>
              <w:tl2br w:val="nil"/>
              <w:tr2bl w:val="nil"/>
            </w:tcBorders>
            <w:noWrap w:val="0"/>
            <w:vAlign w:val="center"/>
          </w:tcPr>
          <w:p w14:paraId="2A6EDA8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浓度（mg/m</w:t>
            </w:r>
            <w:r>
              <w:rPr>
                <w:rFonts w:hint="eastAsia" w:ascii="Times New Roman" w:hAnsi="Times New Roman" w:cs="Times New Roman"/>
                <w:b w:val="0"/>
                <w:color w:val="auto"/>
                <w:kern w:val="0"/>
                <w:sz w:val="21"/>
                <w:szCs w:val="21"/>
                <w:highlight w:val="none"/>
                <w:vertAlign w:val="superscript"/>
                <w:lang w:val="en-US" w:eastAsia="zh-CN"/>
              </w:rPr>
              <w:t>3</w:t>
            </w:r>
            <w:r>
              <w:rPr>
                <w:rFonts w:hint="eastAsia" w:ascii="Times New Roman" w:hAnsi="Times New Roman" w:cs="Times New Roman"/>
                <w:b w:val="0"/>
                <w:color w:val="auto"/>
                <w:kern w:val="0"/>
                <w:sz w:val="21"/>
                <w:szCs w:val="21"/>
                <w:highlight w:val="none"/>
                <w:lang w:val="en-US" w:eastAsia="zh-CN"/>
              </w:rPr>
              <w:t>）</w:t>
            </w:r>
          </w:p>
        </w:tc>
        <w:tc>
          <w:tcPr>
            <w:tcW w:w="1016" w:type="dxa"/>
            <w:tcBorders>
              <w:tl2br w:val="nil"/>
              <w:tr2bl w:val="nil"/>
            </w:tcBorders>
            <w:noWrap w:val="0"/>
            <w:vAlign w:val="center"/>
          </w:tcPr>
          <w:p w14:paraId="0C843E7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速率（kg/h）</w:t>
            </w:r>
          </w:p>
        </w:tc>
        <w:tc>
          <w:tcPr>
            <w:tcW w:w="855" w:type="dxa"/>
            <w:tcBorders>
              <w:tl2br w:val="nil"/>
              <w:tr2bl w:val="nil"/>
            </w:tcBorders>
            <w:noWrap w:val="0"/>
            <w:vAlign w:val="center"/>
          </w:tcPr>
          <w:p w14:paraId="611EFC3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排放量（t/a）</w:t>
            </w:r>
          </w:p>
        </w:tc>
        <w:tc>
          <w:tcPr>
            <w:tcW w:w="1201" w:type="dxa"/>
            <w:tcBorders>
              <w:tl2br w:val="nil"/>
              <w:tr2bl w:val="nil"/>
            </w:tcBorders>
            <w:noWrap w:val="0"/>
            <w:vAlign w:val="center"/>
          </w:tcPr>
          <w:p w14:paraId="0013FA4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浓度（mg/m</w:t>
            </w:r>
            <w:r>
              <w:rPr>
                <w:rFonts w:hint="eastAsia" w:ascii="Times New Roman" w:hAnsi="Times New Roman" w:cs="Times New Roman"/>
                <w:b w:val="0"/>
                <w:color w:val="auto"/>
                <w:kern w:val="0"/>
                <w:sz w:val="21"/>
                <w:szCs w:val="21"/>
                <w:highlight w:val="none"/>
                <w:vertAlign w:val="superscript"/>
                <w:lang w:val="en-US" w:eastAsia="zh-CN"/>
              </w:rPr>
              <w:t>3</w:t>
            </w:r>
            <w:r>
              <w:rPr>
                <w:rFonts w:hint="eastAsia" w:ascii="Times New Roman" w:hAnsi="Times New Roman" w:cs="Times New Roman"/>
                <w:b w:val="0"/>
                <w:color w:val="auto"/>
                <w:kern w:val="0"/>
                <w:sz w:val="21"/>
                <w:szCs w:val="21"/>
                <w:highlight w:val="none"/>
                <w:lang w:val="en-US" w:eastAsia="zh-CN"/>
              </w:rPr>
              <w:t>）</w:t>
            </w:r>
          </w:p>
        </w:tc>
        <w:tc>
          <w:tcPr>
            <w:tcW w:w="1010" w:type="dxa"/>
            <w:tcBorders>
              <w:tl2br w:val="nil"/>
              <w:tr2bl w:val="nil"/>
            </w:tcBorders>
            <w:noWrap w:val="0"/>
            <w:vAlign w:val="center"/>
          </w:tcPr>
          <w:p w14:paraId="3B2D37F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速率</w:t>
            </w:r>
          </w:p>
          <w:p w14:paraId="4651D27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（kg/h）</w:t>
            </w:r>
          </w:p>
        </w:tc>
        <w:tc>
          <w:tcPr>
            <w:tcW w:w="954" w:type="dxa"/>
            <w:tcBorders>
              <w:tl2br w:val="nil"/>
              <w:tr2bl w:val="nil"/>
            </w:tcBorders>
            <w:noWrap w:val="0"/>
            <w:vAlign w:val="center"/>
          </w:tcPr>
          <w:p w14:paraId="673B95C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高度</w:t>
            </w:r>
          </w:p>
          <w:p w14:paraId="68715B8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（m）</w:t>
            </w:r>
          </w:p>
        </w:tc>
        <w:tc>
          <w:tcPr>
            <w:tcW w:w="954" w:type="dxa"/>
            <w:tcBorders>
              <w:tl2br w:val="nil"/>
              <w:tr2bl w:val="nil"/>
            </w:tcBorders>
            <w:noWrap w:val="0"/>
            <w:vAlign w:val="center"/>
          </w:tcPr>
          <w:p w14:paraId="65ECDD0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直径</w:t>
            </w:r>
          </w:p>
          <w:p w14:paraId="4BEF67F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（m）</w:t>
            </w:r>
          </w:p>
        </w:tc>
        <w:tc>
          <w:tcPr>
            <w:tcW w:w="844" w:type="dxa"/>
            <w:vMerge w:val="continue"/>
            <w:tcBorders>
              <w:tl2br w:val="nil"/>
              <w:tr2bl w:val="nil"/>
            </w:tcBorders>
            <w:noWrap w:val="0"/>
            <w:vAlign w:val="center"/>
          </w:tcPr>
          <w:p w14:paraId="1AFDAB8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p>
        </w:tc>
      </w:tr>
      <w:tr w14:paraId="4D4DFA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dxa"/>
            <w:tcBorders>
              <w:tl2br w:val="nil"/>
              <w:tr2bl w:val="nil"/>
            </w:tcBorders>
            <w:noWrap w:val="0"/>
            <w:vAlign w:val="center"/>
          </w:tcPr>
          <w:p w14:paraId="0FCA1C6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运输道路</w:t>
            </w:r>
          </w:p>
        </w:tc>
        <w:tc>
          <w:tcPr>
            <w:tcW w:w="432" w:type="dxa"/>
            <w:tcBorders>
              <w:tl2br w:val="nil"/>
              <w:tr2bl w:val="nil"/>
            </w:tcBorders>
            <w:noWrap w:val="0"/>
            <w:vAlign w:val="center"/>
          </w:tcPr>
          <w:p w14:paraId="256828A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颗粒物</w:t>
            </w:r>
          </w:p>
        </w:tc>
        <w:tc>
          <w:tcPr>
            <w:tcW w:w="1098" w:type="dxa"/>
            <w:tcBorders>
              <w:tl2br w:val="nil"/>
              <w:tr2bl w:val="nil"/>
            </w:tcBorders>
            <w:noWrap w:val="0"/>
            <w:vAlign w:val="center"/>
          </w:tcPr>
          <w:p w14:paraId="75E08EA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1107" w:type="dxa"/>
            <w:tcBorders>
              <w:tl2br w:val="nil"/>
              <w:tr2bl w:val="nil"/>
            </w:tcBorders>
            <w:noWrap w:val="0"/>
            <w:vAlign w:val="center"/>
          </w:tcPr>
          <w:p w14:paraId="11F02F1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1141" w:type="dxa"/>
            <w:tcBorders>
              <w:tl2br w:val="nil"/>
              <w:tr2bl w:val="nil"/>
            </w:tcBorders>
            <w:noWrap w:val="0"/>
            <w:vAlign w:val="center"/>
          </w:tcPr>
          <w:p w14:paraId="56A304C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636" w:type="dxa"/>
            <w:tcBorders>
              <w:tl2br w:val="nil"/>
              <w:tr2bl w:val="nil"/>
            </w:tcBorders>
            <w:noWrap w:val="0"/>
            <w:vAlign w:val="center"/>
          </w:tcPr>
          <w:p w14:paraId="34E31E0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677" w:type="dxa"/>
            <w:tcBorders>
              <w:tl2br w:val="nil"/>
              <w:tr2bl w:val="nil"/>
            </w:tcBorders>
            <w:noWrap w:val="0"/>
            <w:vAlign w:val="center"/>
          </w:tcPr>
          <w:p w14:paraId="1BFAD0E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道路硬化、洒水抑尘；车辆加盖苫布</w:t>
            </w:r>
          </w:p>
        </w:tc>
        <w:tc>
          <w:tcPr>
            <w:tcW w:w="607" w:type="dxa"/>
            <w:tcBorders>
              <w:tl2br w:val="nil"/>
              <w:tr2bl w:val="nil"/>
            </w:tcBorders>
            <w:noWrap w:val="0"/>
            <w:vAlign w:val="center"/>
          </w:tcPr>
          <w:p w14:paraId="1D35972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1201" w:type="dxa"/>
            <w:tcBorders>
              <w:tl2br w:val="nil"/>
              <w:tr2bl w:val="nil"/>
            </w:tcBorders>
            <w:noWrap w:val="0"/>
            <w:vAlign w:val="center"/>
          </w:tcPr>
          <w:p w14:paraId="4C58E37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1016" w:type="dxa"/>
            <w:tcBorders>
              <w:tl2br w:val="nil"/>
              <w:tr2bl w:val="nil"/>
            </w:tcBorders>
            <w:noWrap w:val="0"/>
            <w:vAlign w:val="center"/>
          </w:tcPr>
          <w:p w14:paraId="475E020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855" w:type="dxa"/>
            <w:tcBorders>
              <w:tl2br w:val="nil"/>
              <w:tr2bl w:val="nil"/>
            </w:tcBorders>
            <w:noWrap w:val="0"/>
            <w:vAlign w:val="center"/>
          </w:tcPr>
          <w:p w14:paraId="02708E7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极少</w:t>
            </w:r>
          </w:p>
        </w:tc>
        <w:tc>
          <w:tcPr>
            <w:tcW w:w="2211" w:type="dxa"/>
            <w:gridSpan w:val="2"/>
            <w:tcBorders>
              <w:tl2br w:val="nil"/>
              <w:tr2bl w:val="nil"/>
            </w:tcBorders>
            <w:noWrap w:val="0"/>
            <w:vAlign w:val="center"/>
          </w:tcPr>
          <w:p w14:paraId="08BEBB2E">
            <w:pPr>
              <w:keepNext w:val="0"/>
              <w:keepLines w:val="0"/>
              <w:pageBreakBefore w:val="0"/>
              <w:widowControl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20542E3E">
            <w:pPr>
              <w:keepNext w:val="0"/>
              <w:keepLines w:val="0"/>
              <w:pageBreakBefore w:val="0"/>
              <w:widowControl w:val="0"/>
              <w:kinsoku/>
              <w:wordWrap/>
              <w:overflowPunct/>
              <w:topLinePunct w:val="0"/>
              <w:autoSpaceDE w:val="0"/>
              <w:autoSpaceDN w:val="0"/>
              <w:bidi w:val="0"/>
              <w:adjustRightInd/>
              <w:snapToGrid/>
              <w:spacing w:beforeLines="0" w:line="240" w:lineRule="auto"/>
              <w:ind w:left="0" w:leftChars="0" w:firstLine="0" w:firstLineChars="0"/>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1908" w:type="dxa"/>
            <w:gridSpan w:val="2"/>
            <w:tcBorders>
              <w:tl2br w:val="nil"/>
              <w:tr2bl w:val="nil"/>
            </w:tcBorders>
            <w:noWrap w:val="0"/>
            <w:vAlign w:val="center"/>
          </w:tcPr>
          <w:p w14:paraId="6F6DC86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844" w:type="dxa"/>
            <w:tcBorders>
              <w:tl2br w:val="nil"/>
              <w:tr2bl w:val="nil"/>
            </w:tcBorders>
            <w:noWrap w:val="0"/>
            <w:vAlign w:val="center"/>
          </w:tcPr>
          <w:p w14:paraId="080CDFE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无组织G1</w:t>
            </w:r>
          </w:p>
        </w:tc>
      </w:tr>
      <w:tr w14:paraId="0F734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dxa"/>
            <w:tcBorders>
              <w:tl2br w:val="nil"/>
              <w:tr2bl w:val="nil"/>
            </w:tcBorders>
            <w:noWrap w:val="0"/>
            <w:vAlign w:val="center"/>
          </w:tcPr>
          <w:p w14:paraId="5BC42407">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原矿装卸堆存</w:t>
            </w:r>
          </w:p>
        </w:tc>
        <w:tc>
          <w:tcPr>
            <w:tcW w:w="432" w:type="dxa"/>
            <w:tcBorders>
              <w:tl2br w:val="nil"/>
              <w:tr2bl w:val="nil"/>
            </w:tcBorders>
            <w:noWrap w:val="0"/>
            <w:vAlign w:val="center"/>
          </w:tcPr>
          <w:p w14:paraId="7DE7CA44">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颗粒物</w:t>
            </w:r>
          </w:p>
        </w:tc>
        <w:tc>
          <w:tcPr>
            <w:tcW w:w="1098" w:type="dxa"/>
            <w:tcBorders>
              <w:tl2br w:val="nil"/>
              <w:tr2bl w:val="nil"/>
            </w:tcBorders>
            <w:noWrap w:val="0"/>
            <w:vAlign w:val="center"/>
          </w:tcPr>
          <w:p w14:paraId="3AC81534">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w:t>
            </w:r>
          </w:p>
        </w:tc>
        <w:tc>
          <w:tcPr>
            <w:tcW w:w="1107" w:type="dxa"/>
            <w:tcBorders>
              <w:tl2br w:val="nil"/>
              <w:tr2bl w:val="nil"/>
            </w:tcBorders>
            <w:noWrap w:val="0"/>
            <w:vAlign w:val="center"/>
          </w:tcPr>
          <w:p w14:paraId="55A1D0A0">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w:t>
            </w:r>
          </w:p>
        </w:tc>
        <w:tc>
          <w:tcPr>
            <w:tcW w:w="1141" w:type="dxa"/>
            <w:tcBorders>
              <w:tl2br w:val="nil"/>
              <w:tr2bl w:val="nil"/>
            </w:tcBorders>
            <w:noWrap w:val="0"/>
            <w:vAlign w:val="center"/>
          </w:tcPr>
          <w:p w14:paraId="0CC2D6DB">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3.0</w:t>
            </w:r>
          </w:p>
        </w:tc>
        <w:tc>
          <w:tcPr>
            <w:tcW w:w="636" w:type="dxa"/>
            <w:tcBorders>
              <w:tl2br w:val="nil"/>
              <w:tr2bl w:val="nil"/>
            </w:tcBorders>
            <w:noWrap w:val="0"/>
            <w:vAlign w:val="center"/>
          </w:tcPr>
          <w:p w14:paraId="2B7F696B">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w:t>
            </w:r>
          </w:p>
        </w:tc>
        <w:tc>
          <w:tcPr>
            <w:tcW w:w="677" w:type="dxa"/>
            <w:tcBorders>
              <w:tl2br w:val="nil"/>
              <w:tr2bl w:val="nil"/>
            </w:tcBorders>
            <w:noWrap w:val="0"/>
            <w:vAlign w:val="center"/>
          </w:tcPr>
          <w:p w14:paraId="3AA59BD8">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全封闭库房</w:t>
            </w:r>
            <w:r>
              <w:rPr>
                <w:rFonts w:hint="eastAsia" w:cs="Times New Roman"/>
                <w:b w:val="0"/>
                <w:color w:val="auto"/>
                <w:kern w:val="0"/>
                <w:sz w:val="21"/>
                <w:szCs w:val="21"/>
                <w:highlight w:val="none"/>
                <w:lang w:val="en-US" w:eastAsia="zh-CN"/>
              </w:rPr>
              <w:t>；</w:t>
            </w:r>
            <w:r>
              <w:rPr>
                <w:rFonts w:hint="eastAsia" w:ascii="Times New Roman" w:hAnsi="Times New Roman" w:cs="Times New Roman"/>
                <w:b w:val="0"/>
                <w:color w:val="auto"/>
                <w:kern w:val="0"/>
                <w:sz w:val="21"/>
                <w:szCs w:val="21"/>
                <w:highlight w:val="none"/>
                <w:lang w:val="en-US" w:eastAsia="zh-CN"/>
              </w:rPr>
              <w:t>洒水抑尘</w:t>
            </w:r>
          </w:p>
        </w:tc>
        <w:tc>
          <w:tcPr>
            <w:tcW w:w="607" w:type="dxa"/>
            <w:tcBorders>
              <w:tl2br w:val="nil"/>
              <w:tr2bl w:val="nil"/>
            </w:tcBorders>
            <w:noWrap w:val="0"/>
            <w:vAlign w:val="center"/>
          </w:tcPr>
          <w:p w14:paraId="36DCA12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9</w:t>
            </w:r>
            <w:r>
              <w:rPr>
                <w:rFonts w:hint="eastAsia" w:ascii="Times New Roman" w:hAnsi="Times New Roman" w:cs="Times New Roman"/>
                <w:b w:val="0"/>
                <w:color w:val="auto"/>
                <w:kern w:val="0"/>
                <w:sz w:val="21"/>
                <w:szCs w:val="21"/>
                <w:highlight w:val="none"/>
                <w:lang w:val="en-US" w:eastAsia="zh-CN"/>
              </w:rPr>
              <w:t>0%</w:t>
            </w:r>
          </w:p>
        </w:tc>
        <w:tc>
          <w:tcPr>
            <w:tcW w:w="1201" w:type="dxa"/>
            <w:tcBorders>
              <w:tl2br w:val="nil"/>
              <w:tr2bl w:val="nil"/>
            </w:tcBorders>
            <w:noWrap w:val="0"/>
            <w:vAlign w:val="center"/>
          </w:tcPr>
          <w:p w14:paraId="683307E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w:t>
            </w:r>
          </w:p>
        </w:tc>
        <w:tc>
          <w:tcPr>
            <w:tcW w:w="1016" w:type="dxa"/>
            <w:tcBorders>
              <w:tl2br w:val="nil"/>
              <w:tr2bl w:val="nil"/>
            </w:tcBorders>
            <w:noWrap w:val="0"/>
            <w:vAlign w:val="center"/>
          </w:tcPr>
          <w:p w14:paraId="11C09ED0">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w:t>
            </w:r>
          </w:p>
        </w:tc>
        <w:tc>
          <w:tcPr>
            <w:tcW w:w="855" w:type="dxa"/>
            <w:tcBorders>
              <w:tl2br w:val="nil"/>
              <w:tr2bl w:val="nil"/>
            </w:tcBorders>
            <w:noWrap w:val="0"/>
            <w:vAlign w:val="center"/>
          </w:tcPr>
          <w:p w14:paraId="02913C5C">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0.3</w:t>
            </w:r>
          </w:p>
        </w:tc>
        <w:tc>
          <w:tcPr>
            <w:tcW w:w="2211" w:type="dxa"/>
            <w:gridSpan w:val="2"/>
            <w:tcBorders>
              <w:tl2br w:val="nil"/>
              <w:tr2bl w:val="nil"/>
            </w:tcBorders>
            <w:noWrap w:val="0"/>
            <w:vAlign w:val="center"/>
          </w:tcPr>
          <w:p w14:paraId="1D4EACB0">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44E2E04B">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1908" w:type="dxa"/>
            <w:gridSpan w:val="2"/>
            <w:tcBorders>
              <w:tl2br w:val="nil"/>
              <w:tr2bl w:val="nil"/>
            </w:tcBorders>
            <w:noWrap w:val="0"/>
            <w:vAlign w:val="center"/>
          </w:tcPr>
          <w:p w14:paraId="33B32607">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100m×40m×H8m</w:t>
            </w:r>
          </w:p>
        </w:tc>
        <w:tc>
          <w:tcPr>
            <w:tcW w:w="844" w:type="dxa"/>
            <w:tcBorders>
              <w:tl2br w:val="nil"/>
              <w:tr2bl w:val="nil"/>
            </w:tcBorders>
            <w:noWrap w:val="0"/>
            <w:vAlign w:val="center"/>
          </w:tcPr>
          <w:p w14:paraId="2771CC2E">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无组织G2</w:t>
            </w:r>
          </w:p>
        </w:tc>
      </w:tr>
      <w:tr w14:paraId="25052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dxa"/>
            <w:vMerge w:val="restart"/>
            <w:tcBorders>
              <w:tl2br w:val="nil"/>
              <w:tr2bl w:val="nil"/>
            </w:tcBorders>
            <w:noWrap w:val="0"/>
            <w:vAlign w:val="center"/>
          </w:tcPr>
          <w:p w14:paraId="6D170CB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破碎筛分</w:t>
            </w:r>
          </w:p>
        </w:tc>
        <w:tc>
          <w:tcPr>
            <w:tcW w:w="432" w:type="dxa"/>
            <w:tcBorders>
              <w:tl2br w:val="nil"/>
              <w:tr2bl w:val="nil"/>
            </w:tcBorders>
            <w:noWrap w:val="0"/>
            <w:vAlign w:val="center"/>
          </w:tcPr>
          <w:p w14:paraId="0AE290A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颗粒物</w:t>
            </w:r>
          </w:p>
        </w:tc>
        <w:tc>
          <w:tcPr>
            <w:tcW w:w="1098" w:type="dxa"/>
            <w:tcBorders>
              <w:tl2br w:val="nil"/>
              <w:tr2bl w:val="nil"/>
            </w:tcBorders>
            <w:noWrap w:val="0"/>
            <w:vAlign w:val="center"/>
          </w:tcPr>
          <w:p w14:paraId="734A3E8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1107" w:type="dxa"/>
            <w:tcBorders>
              <w:tl2br w:val="nil"/>
              <w:tr2bl w:val="nil"/>
            </w:tcBorders>
            <w:noWrap w:val="0"/>
            <w:vAlign w:val="center"/>
          </w:tcPr>
          <w:p w14:paraId="2B8AD43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1141" w:type="dxa"/>
            <w:tcBorders>
              <w:tl2br w:val="nil"/>
              <w:tr2bl w:val="nil"/>
            </w:tcBorders>
            <w:noWrap w:val="0"/>
            <w:vAlign w:val="center"/>
          </w:tcPr>
          <w:p w14:paraId="30A4E8F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3.75</w:t>
            </w:r>
          </w:p>
        </w:tc>
        <w:tc>
          <w:tcPr>
            <w:tcW w:w="636" w:type="dxa"/>
            <w:tcBorders>
              <w:tl2br w:val="nil"/>
              <w:tr2bl w:val="nil"/>
            </w:tcBorders>
            <w:noWrap w:val="0"/>
            <w:vAlign w:val="center"/>
          </w:tcPr>
          <w:p w14:paraId="29703A1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677" w:type="dxa"/>
            <w:tcBorders>
              <w:tl2br w:val="nil"/>
              <w:tr2bl w:val="nil"/>
            </w:tcBorders>
            <w:noWrap w:val="0"/>
            <w:vAlign w:val="center"/>
          </w:tcPr>
          <w:p w14:paraId="7320CD9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全封闭车间；集气罩收集</w:t>
            </w:r>
          </w:p>
        </w:tc>
        <w:tc>
          <w:tcPr>
            <w:tcW w:w="607" w:type="dxa"/>
            <w:tcBorders>
              <w:tl2br w:val="nil"/>
              <w:tr2bl w:val="nil"/>
            </w:tcBorders>
            <w:noWrap w:val="0"/>
            <w:vAlign w:val="center"/>
          </w:tcPr>
          <w:p w14:paraId="76BF1DF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90%</w:t>
            </w:r>
          </w:p>
        </w:tc>
        <w:tc>
          <w:tcPr>
            <w:tcW w:w="1201" w:type="dxa"/>
            <w:tcBorders>
              <w:tl2br w:val="nil"/>
              <w:tr2bl w:val="nil"/>
            </w:tcBorders>
            <w:noWrap w:val="0"/>
            <w:vAlign w:val="center"/>
          </w:tcPr>
          <w:p w14:paraId="18A36B8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1016" w:type="dxa"/>
            <w:tcBorders>
              <w:tl2br w:val="nil"/>
              <w:tr2bl w:val="nil"/>
            </w:tcBorders>
            <w:noWrap w:val="0"/>
            <w:vAlign w:val="center"/>
          </w:tcPr>
          <w:p w14:paraId="0114A3A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w:t>
            </w:r>
          </w:p>
        </w:tc>
        <w:tc>
          <w:tcPr>
            <w:tcW w:w="855" w:type="dxa"/>
            <w:tcBorders>
              <w:tl2br w:val="nil"/>
              <w:tr2bl w:val="nil"/>
            </w:tcBorders>
            <w:noWrap w:val="0"/>
            <w:vAlign w:val="center"/>
          </w:tcPr>
          <w:p w14:paraId="620EAC7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0.375</w:t>
            </w:r>
          </w:p>
        </w:tc>
        <w:tc>
          <w:tcPr>
            <w:tcW w:w="2211" w:type="dxa"/>
            <w:gridSpan w:val="2"/>
            <w:tcBorders>
              <w:tl2br w:val="nil"/>
              <w:tr2bl w:val="nil"/>
            </w:tcBorders>
            <w:noWrap w:val="0"/>
            <w:vAlign w:val="center"/>
          </w:tcPr>
          <w:p w14:paraId="63031E9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7390B1D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1908" w:type="dxa"/>
            <w:gridSpan w:val="2"/>
            <w:tcBorders>
              <w:tl2br w:val="nil"/>
              <w:tr2bl w:val="nil"/>
            </w:tcBorders>
            <w:noWrap w:val="0"/>
            <w:vAlign w:val="center"/>
          </w:tcPr>
          <w:p w14:paraId="39BD6E3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b w:val="0"/>
                <w:color w:val="auto"/>
                <w:kern w:val="0"/>
                <w:highlight w:val="none"/>
                <w:lang w:val="en-US" w:eastAsia="zh-CN"/>
              </w:rPr>
              <w:t>50m</w:t>
            </w:r>
            <w:r>
              <w:rPr>
                <w:rFonts w:hint="eastAsia"/>
                <w:b w:val="0"/>
                <w:color w:val="auto"/>
                <w:kern w:val="0"/>
                <w:highlight w:val="none"/>
                <w:lang w:eastAsia="zh-CN"/>
              </w:rPr>
              <w:t>×</w:t>
            </w:r>
            <w:r>
              <w:rPr>
                <w:rFonts w:hint="eastAsia"/>
                <w:b w:val="0"/>
                <w:color w:val="auto"/>
                <w:kern w:val="0"/>
                <w:highlight w:val="none"/>
                <w:lang w:val="en-US" w:eastAsia="zh-CN"/>
              </w:rPr>
              <w:t>37m</w:t>
            </w:r>
            <w:r>
              <w:rPr>
                <w:rFonts w:hint="eastAsia"/>
                <w:b w:val="0"/>
                <w:color w:val="auto"/>
                <w:kern w:val="0"/>
                <w:highlight w:val="none"/>
                <w:lang w:eastAsia="zh-CN"/>
              </w:rPr>
              <w:t>×</w:t>
            </w:r>
            <w:r>
              <w:rPr>
                <w:rFonts w:hint="eastAsia"/>
                <w:b w:val="0"/>
                <w:color w:val="auto"/>
                <w:kern w:val="0"/>
                <w:highlight w:val="none"/>
                <w:lang w:val="en-US" w:eastAsia="zh-CN"/>
              </w:rPr>
              <w:t>H10m</w:t>
            </w:r>
          </w:p>
        </w:tc>
        <w:tc>
          <w:tcPr>
            <w:tcW w:w="844" w:type="dxa"/>
            <w:tcBorders>
              <w:tl2br w:val="nil"/>
              <w:tr2bl w:val="nil"/>
            </w:tcBorders>
            <w:noWrap w:val="0"/>
            <w:vAlign w:val="center"/>
          </w:tcPr>
          <w:p w14:paraId="3E56257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无组织G3</w:t>
            </w:r>
          </w:p>
        </w:tc>
      </w:tr>
      <w:tr w14:paraId="3F8B7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dxa"/>
            <w:vMerge w:val="continue"/>
            <w:tcBorders>
              <w:tl2br w:val="nil"/>
              <w:tr2bl w:val="nil"/>
            </w:tcBorders>
            <w:noWrap w:val="0"/>
            <w:vAlign w:val="center"/>
          </w:tcPr>
          <w:p w14:paraId="53DB857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p>
        </w:tc>
        <w:tc>
          <w:tcPr>
            <w:tcW w:w="432" w:type="dxa"/>
            <w:tcBorders>
              <w:tl2br w:val="nil"/>
              <w:tr2bl w:val="nil"/>
            </w:tcBorders>
            <w:noWrap w:val="0"/>
            <w:vAlign w:val="center"/>
          </w:tcPr>
          <w:p w14:paraId="73AD481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颗粒物</w:t>
            </w:r>
          </w:p>
        </w:tc>
        <w:tc>
          <w:tcPr>
            <w:tcW w:w="1098" w:type="dxa"/>
            <w:tcBorders>
              <w:tl2br w:val="nil"/>
              <w:tr2bl w:val="nil"/>
            </w:tcBorders>
            <w:noWrap w:val="0"/>
            <w:vAlign w:val="center"/>
          </w:tcPr>
          <w:p w14:paraId="14C82A0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700</w:t>
            </w:r>
          </w:p>
        </w:tc>
        <w:tc>
          <w:tcPr>
            <w:tcW w:w="1107" w:type="dxa"/>
            <w:tcBorders>
              <w:tl2br w:val="nil"/>
              <w:tr2bl w:val="nil"/>
            </w:tcBorders>
            <w:noWrap w:val="0"/>
            <w:vAlign w:val="center"/>
          </w:tcPr>
          <w:p w14:paraId="3DF823B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1.4</w:t>
            </w:r>
          </w:p>
        </w:tc>
        <w:tc>
          <w:tcPr>
            <w:tcW w:w="1141" w:type="dxa"/>
            <w:tcBorders>
              <w:tl2br w:val="nil"/>
              <w:tr2bl w:val="nil"/>
            </w:tcBorders>
            <w:noWrap w:val="0"/>
            <w:vAlign w:val="center"/>
          </w:tcPr>
          <w:p w14:paraId="1061573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3.375</w:t>
            </w:r>
          </w:p>
        </w:tc>
        <w:tc>
          <w:tcPr>
            <w:tcW w:w="636" w:type="dxa"/>
            <w:tcBorders>
              <w:tl2br w:val="nil"/>
              <w:tr2bl w:val="nil"/>
            </w:tcBorders>
            <w:noWrap w:val="0"/>
            <w:vAlign w:val="center"/>
          </w:tcPr>
          <w:p w14:paraId="16D9E9E1">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2000</w:t>
            </w:r>
          </w:p>
        </w:tc>
        <w:tc>
          <w:tcPr>
            <w:tcW w:w="677" w:type="dxa"/>
            <w:tcBorders>
              <w:tl2br w:val="nil"/>
              <w:tr2bl w:val="nil"/>
            </w:tcBorders>
            <w:noWrap w:val="0"/>
            <w:vAlign w:val="center"/>
          </w:tcPr>
          <w:p w14:paraId="52D908D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袋式除尘器</w:t>
            </w:r>
          </w:p>
        </w:tc>
        <w:tc>
          <w:tcPr>
            <w:tcW w:w="607" w:type="dxa"/>
            <w:tcBorders>
              <w:tl2br w:val="nil"/>
              <w:tr2bl w:val="nil"/>
            </w:tcBorders>
            <w:noWrap w:val="0"/>
            <w:vAlign w:val="center"/>
          </w:tcPr>
          <w:p w14:paraId="5E3D830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99%</w:t>
            </w:r>
          </w:p>
        </w:tc>
        <w:tc>
          <w:tcPr>
            <w:tcW w:w="1201" w:type="dxa"/>
            <w:tcBorders>
              <w:tl2br w:val="nil"/>
              <w:tr2bl w:val="nil"/>
            </w:tcBorders>
            <w:noWrap w:val="0"/>
            <w:vAlign w:val="center"/>
          </w:tcPr>
          <w:p w14:paraId="762B844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7.0</w:t>
            </w:r>
          </w:p>
        </w:tc>
        <w:tc>
          <w:tcPr>
            <w:tcW w:w="1016" w:type="dxa"/>
            <w:tcBorders>
              <w:tl2br w:val="nil"/>
              <w:tr2bl w:val="nil"/>
            </w:tcBorders>
            <w:noWrap w:val="0"/>
            <w:vAlign w:val="center"/>
          </w:tcPr>
          <w:p w14:paraId="035FC799">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0.</w:t>
            </w:r>
            <w:r>
              <w:rPr>
                <w:rFonts w:hint="eastAsia" w:cs="Times New Roman"/>
                <w:b w:val="0"/>
                <w:color w:val="auto"/>
                <w:kern w:val="0"/>
                <w:sz w:val="21"/>
                <w:szCs w:val="21"/>
                <w:highlight w:val="none"/>
                <w:lang w:val="en-US" w:eastAsia="zh-CN"/>
              </w:rPr>
              <w:t>014</w:t>
            </w:r>
          </w:p>
        </w:tc>
        <w:tc>
          <w:tcPr>
            <w:tcW w:w="855" w:type="dxa"/>
            <w:tcBorders>
              <w:tl2br w:val="nil"/>
              <w:tr2bl w:val="nil"/>
            </w:tcBorders>
            <w:noWrap w:val="0"/>
            <w:vAlign w:val="center"/>
          </w:tcPr>
          <w:p w14:paraId="0CC23FD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0.034</w:t>
            </w:r>
          </w:p>
        </w:tc>
        <w:tc>
          <w:tcPr>
            <w:tcW w:w="1201" w:type="dxa"/>
            <w:tcBorders>
              <w:tl2br w:val="nil"/>
              <w:tr2bl w:val="nil"/>
            </w:tcBorders>
            <w:noWrap w:val="0"/>
            <w:vAlign w:val="center"/>
          </w:tcPr>
          <w:p w14:paraId="104D3D95">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120</w:t>
            </w:r>
          </w:p>
        </w:tc>
        <w:tc>
          <w:tcPr>
            <w:tcW w:w="1010" w:type="dxa"/>
            <w:tcBorders>
              <w:tl2br w:val="nil"/>
              <w:tr2bl w:val="nil"/>
            </w:tcBorders>
            <w:noWrap w:val="0"/>
            <w:vAlign w:val="center"/>
          </w:tcPr>
          <w:p w14:paraId="128C1C30">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3.5</w:t>
            </w:r>
          </w:p>
        </w:tc>
        <w:tc>
          <w:tcPr>
            <w:tcW w:w="954" w:type="dxa"/>
            <w:tcBorders>
              <w:tl2br w:val="nil"/>
              <w:tr2bl w:val="nil"/>
            </w:tcBorders>
            <w:noWrap w:val="0"/>
            <w:vAlign w:val="center"/>
          </w:tcPr>
          <w:p w14:paraId="3DB4965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15</w:t>
            </w:r>
          </w:p>
        </w:tc>
        <w:tc>
          <w:tcPr>
            <w:tcW w:w="954" w:type="dxa"/>
            <w:tcBorders>
              <w:tl2br w:val="nil"/>
              <w:tr2bl w:val="nil"/>
            </w:tcBorders>
            <w:noWrap w:val="0"/>
            <w:vAlign w:val="center"/>
          </w:tcPr>
          <w:p w14:paraId="1D9B51A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0.5</w:t>
            </w:r>
          </w:p>
        </w:tc>
        <w:tc>
          <w:tcPr>
            <w:tcW w:w="844" w:type="dxa"/>
            <w:tcBorders>
              <w:tl2br w:val="nil"/>
              <w:tr2bl w:val="nil"/>
            </w:tcBorders>
            <w:noWrap w:val="0"/>
            <w:vAlign w:val="center"/>
          </w:tcPr>
          <w:p w14:paraId="61B010EF">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有组织DA001</w:t>
            </w:r>
          </w:p>
        </w:tc>
      </w:tr>
      <w:tr w14:paraId="0654B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dxa"/>
            <w:tcBorders>
              <w:tl2br w:val="nil"/>
              <w:tr2bl w:val="nil"/>
            </w:tcBorders>
            <w:noWrap w:val="0"/>
            <w:vAlign w:val="center"/>
          </w:tcPr>
          <w:p w14:paraId="17DCE5C5">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精矿粉库</w:t>
            </w:r>
          </w:p>
        </w:tc>
        <w:tc>
          <w:tcPr>
            <w:tcW w:w="432" w:type="dxa"/>
            <w:tcBorders>
              <w:tl2br w:val="nil"/>
              <w:tr2bl w:val="nil"/>
            </w:tcBorders>
            <w:noWrap w:val="0"/>
            <w:vAlign w:val="center"/>
          </w:tcPr>
          <w:p w14:paraId="3CDD4ADD">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颗粒物</w:t>
            </w:r>
          </w:p>
        </w:tc>
        <w:tc>
          <w:tcPr>
            <w:tcW w:w="1098" w:type="dxa"/>
            <w:tcBorders>
              <w:tl2br w:val="nil"/>
              <w:tr2bl w:val="nil"/>
            </w:tcBorders>
            <w:noWrap w:val="0"/>
            <w:vAlign w:val="center"/>
          </w:tcPr>
          <w:p w14:paraId="128E9953">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1107" w:type="dxa"/>
            <w:tcBorders>
              <w:tl2br w:val="nil"/>
              <w:tr2bl w:val="nil"/>
            </w:tcBorders>
            <w:noWrap w:val="0"/>
            <w:vAlign w:val="center"/>
          </w:tcPr>
          <w:p w14:paraId="7CF142D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1141" w:type="dxa"/>
            <w:tcBorders>
              <w:tl2br w:val="nil"/>
              <w:tr2bl w:val="nil"/>
            </w:tcBorders>
            <w:noWrap w:val="0"/>
            <w:vAlign w:val="center"/>
          </w:tcPr>
          <w:p w14:paraId="5838FE2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636" w:type="dxa"/>
            <w:tcBorders>
              <w:tl2br w:val="nil"/>
              <w:tr2bl w:val="nil"/>
            </w:tcBorders>
            <w:noWrap w:val="0"/>
            <w:vAlign w:val="center"/>
          </w:tcPr>
          <w:p w14:paraId="27F826BC">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677" w:type="dxa"/>
            <w:tcBorders>
              <w:tl2br w:val="nil"/>
              <w:tr2bl w:val="nil"/>
            </w:tcBorders>
            <w:noWrap w:val="0"/>
            <w:vAlign w:val="center"/>
          </w:tcPr>
          <w:p w14:paraId="3B8F7FC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全封闭库房，洒水抑尘</w:t>
            </w:r>
          </w:p>
        </w:tc>
        <w:tc>
          <w:tcPr>
            <w:tcW w:w="607" w:type="dxa"/>
            <w:tcBorders>
              <w:tl2br w:val="nil"/>
              <w:tr2bl w:val="nil"/>
            </w:tcBorders>
            <w:noWrap w:val="0"/>
            <w:vAlign w:val="center"/>
          </w:tcPr>
          <w:p w14:paraId="0CD01BE2">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1201" w:type="dxa"/>
            <w:tcBorders>
              <w:tl2br w:val="nil"/>
              <w:tr2bl w:val="nil"/>
            </w:tcBorders>
            <w:noWrap w:val="0"/>
            <w:vAlign w:val="center"/>
          </w:tcPr>
          <w:p w14:paraId="55B4698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1016" w:type="dxa"/>
            <w:tcBorders>
              <w:tl2br w:val="nil"/>
              <w:tr2bl w:val="nil"/>
            </w:tcBorders>
            <w:noWrap w:val="0"/>
            <w:vAlign w:val="center"/>
          </w:tcPr>
          <w:p w14:paraId="0CD77C7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855" w:type="dxa"/>
            <w:tcBorders>
              <w:tl2br w:val="nil"/>
              <w:tr2bl w:val="nil"/>
            </w:tcBorders>
            <w:noWrap w:val="0"/>
            <w:vAlign w:val="center"/>
          </w:tcPr>
          <w:p w14:paraId="056EADD6">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极少</w:t>
            </w:r>
          </w:p>
        </w:tc>
        <w:tc>
          <w:tcPr>
            <w:tcW w:w="2211" w:type="dxa"/>
            <w:gridSpan w:val="2"/>
            <w:tcBorders>
              <w:tl2br w:val="nil"/>
              <w:tr2bl w:val="nil"/>
            </w:tcBorders>
            <w:noWrap w:val="0"/>
            <w:vAlign w:val="center"/>
          </w:tcPr>
          <w:p w14:paraId="1ECFECEA">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7A0042E3">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1908" w:type="dxa"/>
            <w:gridSpan w:val="2"/>
            <w:tcBorders>
              <w:tl2br w:val="nil"/>
              <w:tr2bl w:val="nil"/>
            </w:tcBorders>
            <w:noWrap w:val="0"/>
            <w:vAlign w:val="center"/>
          </w:tcPr>
          <w:p w14:paraId="006BD83E">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30m×20m×H12m</w:t>
            </w:r>
          </w:p>
        </w:tc>
        <w:tc>
          <w:tcPr>
            <w:tcW w:w="844" w:type="dxa"/>
            <w:tcBorders>
              <w:tl2br w:val="nil"/>
              <w:tr2bl w:val="nil"/>
            </w:tcBorders>
            <w:noWrap w:val="0"/>
            <w:vAlign w:val="center"/>
          </w:tcPr>
          <w:p w14:paraId="4DC40257">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无组织G4</w:t>
            </w:r>
          </w:p>
        </w:tc>
      </w:tr>
      <w:tr w14:paraId="7BB2F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dxa"/>
            <w:tcBorders>
              <w:tl2br w:val="nil"/>
              <w:tr2bl w:val="nil"/>
            </w:tcBorders>
            <w:noWrap w:val="0"/>
            <w:vAlign w:val="center"/>
          </w:tcPr>
          <w:p w14:paraId="5AA6D880">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尾矿砂库</w:t>
            </w:r>
          </w:p>
        </w:tc>
        <w:tc>
          <w:tcPr>
            <w:tcW w:w="432" w:type="dxa"/>
            <w:tcBorders>
              <w:tl2br w:val="nil"/>
              <w:tr2bl w:val="nil"/>
            </w:tcBorders>
            <w:noWrap w:val="0"/>
            <w:vAlign w:val="center"/>
          </w:tcPr>
          <w:p w14:paraId="3FBB466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颗粒物</w:t>
            </w:r>
          </w:p>
        </w:tc>
        <w:tc>
          <w:tcPr>
            <w:tcW w:w="1098" w:type="dxa"/>
            <w:tcBorders>
              <w:tl2br w:val="nil"/>
              <w:tr2bl w:val="nil"/>
            </w:tcBorders>
            <w:noWrap w:val="0"/>
            <w:vAlign w:val="center"/>
          </w:tcPr>
          <w:p w14:paraId="358B2AE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w:t>
            </w:r>
          </w:p>
        </w:tc>
        <w:tc>
          <w:tcPr>
            <w:tcW w:w="1107" w:type="dxa"/>
            <w:tcBorders>
              <w:tl2br w:val="nil"/>
              <w:tr2bl w:val="nil"/>
            </w:tcBorders>
            <w:noWrap w:val="0"/>
            <w:vAlign w:val="center"/>
          </w:tcPr>
          <w:p w14:paraId="4A65E2BF">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w:t>
            </w:r>
          </w:p>
        </w:tc>
        <w:tc>
          <w:tcPr>
            <w:tcW w:w="1141" w:type="dxa"/>
            <w:tcBorders>
              <w:tl2br w:val="nil"/>
              <w:tr2bl w:val="nil"/>
            </w:tcBorders>
            <w:noWrap w:val="0"/>
            <w:vAlign w:val="center"/>
          </w:tcPr>
          <w:p w14:paraId="08D1EDD6">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w:t>
            </w:r>
          </w:p>
        </w:tc>
        <w:tc>
          <w:tcPr>
            <w:tcW w:w="636" w:type="dxa"/>
            <w:tcBorders>
              <w:tl2br w:val="nil"/>
              <w:tr2bl w:val="nil"/>
            </w:tcBorders>
            <w:noWrap w:val="0"/>
            <w:vAlign w:val="center"/>
          </w:tcPr>
          <w:p w14:paraId="1A9BAFBF">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w:t>
            </w:r>
          </w:p>
        </w:tc>
        <w:tc>
          <w:tcPr>
            <w:tcW w:w="677" w:type="dxa"/>
            <w:tcBorders>
              <w:tl2br w:val="nil"/>
              <w:tr2bl w:val="nil"/>
            </w:tcBorders>
            <w:noWrap w:val="0"/>
            <w:vAlign w:val="center"/>
          </w:tcPr>
          <w:p w14:paraId="251B25A4">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全封闭库房，洒水抑尘</w:t>
            </w:r>
          </w:p>
        </w:tc>
        <w:tc>
          <w:tcPr>
            <w:tcW w:w="607" w:type="dxa"/>
            <w:tcBorders>
              <w:tl2br w:val="nil"/>
              <w:tr2bl w:val="nil"/>
            </w:tcBorders>
            <w:noWrap w:val="0"/>
            <w:vAlign w:val="center"/>
          </w:tcPr>
          <w:p w14:paraId="209F7F86">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w:t>
            </w:r>
          </w:p>
        </w:tc>
        <w:tc>
          <w:tcPr>
            <w:tcW w:w="1201" w:type="dxa"/>
            <w:tcBorders>
              <w:tl2br w:val="nil"/>
              <w:tr2bl w:val="nil"/>
            </w:tcBorders>
            <w:noWrap w:val="0"/>
            <w:vAlign w:val="center"/>
          </w:tcPr>
          <w:p w14:paraId="5885C65A">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w:t>
            </w:r>
          </w:p>
        </w:tc>
        <w:tc>
          <w:tcPr>
            <w:tcW w:w="1016" w:type="dxa"/>
            <w:tcBorders>
              <w:tl2br w:val="nil"/>
              <w:tr2bl w:val="nil"/>
            </w:tcBorders>
            <w:noWrap w:val="0"/>
            <w:vAlign w:val="center"/>
          </w:tcPr>
          <w:p w14:paraId="06CF3504">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w:t>
            </w:r>
          </w:p>
        </w:tc>
        <w:tc>
          <w:tcPr>
            <w:tcW w:w="855" w:type="dxa"/>
            <w:tcBorders>
              <w:tl2br w:val="nil"/>
              <w:tr2bl w:val="nil"/>
            </w:tcBorders>
            <w:noWrap w:val="0"/>
            <w:vAlign w:val="center"/>
          </w:tcPr>
          <w:p w14:paraId="3C9C660F">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极少</w:t>
            </w:r>
          </w:p>
        </w:tc>
        <w:tc>
          <w:tcPr>
            <w:tcW w:w="2211" w:type="dxa"/>
            <w:gridSpan w:val="2"/>
            <w:tcBorders>
              <w:tl2br w:val="nil"/>
              <w:tr2bl w:val="nil"/>
            </w:tcBorders>
            <w:noWrap w:val="0"/>
            <w:vAlign w:val="center"/>
          </w:tcPr>
          <w:p w14:paraId="3D4175DB">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512115BA">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1908" w:type="dxa"/>
            <w:gridSpan w:val="2"/>
            <w:tcBorders>
              <w:tl2br w:val="nil"/>
              <w:tr2bl w:val="nil"/>
            </w:tcBorders>
            <w:noWrap w:val="0"/>
            <w:vAlign w:val="center"/>
          </w:tcPr>
          <w:p w14:paraId="4C37BE44">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default" w:ascii="Times New Roman" w:hAnsi="Times New Roman"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40m×20m×H8m</w:t>
            </w:r>
          </w:p>
        </w:tc>
        <w:tc>
          <w:tcPr>
            <w:tcW w:w="844" w:type="dxa"/>
            <w:tcBorders>
              <w:tl2br w:val="nil"/>
              <w:tr2bl w:val="nil"/>
            </w:tcBorders>
            <w:noWrap w:val="0"/>
            <w:vAlign w:val="center"/>
          </w:tcPr>
          <w:p w14:paraId="5C306CF8">
            <w:pPr>
              <w:pStyle w:val="199"/>
              <w:keepNext w:val="0"/>
              <w:keepLines w:val="0"/>
              <w:pageBreakBefore w:val="0"/>
              <w:widowControl w:val="0"/>
              <w:kinsoku/>
              <w:wordWrap/>
              <w:overflowPunct/>
              <w:topLinePunct w:val="0"/>
              <w:autoSpaceDE w:val="0"/>
              <w:autoSpaceDN w:val="0"/>
              <w:bidi w:val="0"/>
              <w:adjustRightInd/>
              <w:snapToGrid/>
              <w:spacing w:beforeLines="0" w:line="240" w:lineRule="auto"/>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无组织G5</w:t>
            </w:r>
          </w:p>
        </w:tc>
      </w:tr>
    </w:tbl>
    <w:p w14:paraId="00DBA338">
      <w:pPr>
        <w:pStyle w:val="199"/>
        <w:spacing w:before="120"/>
        <w:jc w:val="both"/>
        <w:rPr>
          <w:color w:val="auto"/>
          <w:highlight w:val="none"/>
        </w:rPr>
      </w:pPr>
    </w:p>
    <w:p w14:paraId="1AFE706B">
      <w:pPr>
        <w:pStyle w:val="199"/>
        <w:spacing w:before="120"/>
        <w:rPr>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79DBEDD4">
      <w:pPr>
        <w:pStyle w:val="6"/>
        <w:rPr>
          <w:color w:val="auto"/>
          <w:highlight w:val="none"/>
        </w:rPr>
      </w:pPr>
      <w:r>
        <w:rPr>
          <w:rFonts w:hint="eastAsia"/>
          <w:color w:val="auto"/>
          <w:highlight w:val="none"/>
          <w:lang w:val="en-US" w:eastAsia="zh-CN"/>
        </w:rPr>
        <w:t xml:space="preserve"> </w:t>
      </w:r>
      <w:r>
        <w:rPr>
          <w:rFonts w:hint="eastAsia"/>
          <w:color w:val="auto"/>
          <w:highlight w:val="none"/>
        </w:rPr>
        <w:t>废水</w:t>
      </w:r>
    </w:p>
    <w:p w14:paraId="3007B456">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本项目废水主要为选矿废水</w:t>
      </w:r>
      <w:r>
        <w:rPr>
          <w:rFonts w:hint="eastAsia" w:ascii="Times New Roman" w:hAnsi="Times New Roman" w:cs="Times New Roman"/>
          <w:color w:val="auto"/>
          <w:highlight w:val="none"/>
          <w:lang w:val="en-US" w:eastAsia="zh-CN"/>
        </w:rPr>
        <w:t>和</w:t>
      </w:r>
      <w:r>
        <w:rPr>
          <w:rFonts w:hint="eastAsia" w:ascii="Times New Roman" w:hAnsi="Times New Roman" w:eastAsia="宋体" w:cs="Times New Roman"/>
          <w:color w:val="auto"/>
          <w:highlight w:val="none"/>
          <w:lang w:val="en-US" w:eastAsia="zh-CN"/>
        </w:rPr>
        <w:t>生活污水。</w:t>
      </w:r>
    </w:p>
    <w:p w14:paraId="6CC6462A">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（1）选矿废水</w:t>
      </w:r>
      <w:r>
        <w:rPr>
          <w:rFonts w:hint="eastAsia" w:ascii="Times New Roman" w:hAnsi="Times New Roman" w:cs="Times New Roman"/>
          <w:color w:val="auto"/>
          <w:highlight w:val="none"/>
          <w:lang w:val="en-US" w:eastAsia="zh-CN"/>
        </w:rPr>
        <w:t>（W1、W2、W3、W4）</w:t>
      </w:r>
    </w:p>
    <w:p w14:paraId="7A2F7112">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萤石精粉</w:t>
      </w:r>
      <w:r>
        <w:rPr>
          <w:rFonts w:hint="eastAsia" w:ascii="Times New Roman" w:hAnsi="Times New Roman" w:cs="Times New Roman"/>
          <w:color w:val="auto"/>
          <w:highlight w:val="none"/>
          <w:lang w:val="en-US" w:eastAsia="zh-CN"/>
        </w:rPr>
        <w:t>和</w:t>
      </w:r>
      <w:r>
        <w:rPr>
          <w:rFonts w:hint="eastAsia" w:ascii="Times New Roman" w:hAnsi="Times New Roman" w:eastAsia="宋体" w:cs="Times New Roman"/>
          <w:color w:val="auto"/>
          <w:highlight w:val="none"/>
          <w:lang w:val="en-US" w:eastAsia="zh-CN"/>
        </w:rPr>
        <w:t>尾矿浆</w:t>
      </w:r>
      <w:r>
        <w:rPr>
          <w:rFonts w:hint="eastAsia" w:ascii="Times New Roman" w:hAnsi="Times New Roman" w:cs="Times New Roman"/>
          <w:color w:val="auto"/>
          <w:highlight w:val="none"/>
          <w:lang w:val="en-US" w:eastAsia="zh-CN"/>
        </w:rPr>
        <w:t>分别</w:t>
      </w:r>
      <w:r>
        <w:rPr>
          <w:rFonts w:hint="eastAsia" w:ascii="Times New Roman" w:hAnsi="Times New Roman" w:eastAsia="宋体" w:cs="Times New Roman"/>
          <w:color w:val="auto"/>
          <w:highlight w:val="none"/>
          <w:lang w:val="en-US" w:eastAsia="zh-CN"/>
        </w:rPr>
        <w:t>进入</w:t>
      </w:r>
      <w:r>
        <w:rPr>
          <w:rFonts w:hint="eastAsia" w:ascii="Times New Roman" w:hAnsi="Times New Roman" w:cs="Times New Roman"/>
          <w:color w:val="auto"/>
          <w:highlight w:val="none"/>
          <w:lang w:val="en-US" w:eastAsia="zh-CN"/>
        </w:rPr>
        <w:t>各自</w:t>
      </w:r>
      <w:r>
        <w:rPr>
          <w:rFonts w:hint="eastAsia" w:ascii="Times New Roman" w:hAnsi="Times New Roman" w:eastAsia="宋体" w:cs="Times New Roman"/>
          <w:color w:val="auto"/>
          <w:highlight w:val="none"/>
          <w:lang w:val="en-US" w:eastAsia="zh-CN"/>
        </w:rPr>
        <w:t>浓密</w:t>
      </w:r>
      <w:r>
        <w:rPr>
          <w:rFonts w:hint="eastAsia" w:ascii="Times New Roman" w:hAnsi="Times New Roman" w:cs="Times New Roman"/>
          <w:color w:val="auto"/>
          <w:highlight w:val="none"/>
          <w:lang w:val="en-US" w:eastAsia="zh-CN"/>
        </w:rPr>
        <w:t>罐</w:t>
      </w:r>
      <w:r>
        <w:rPr>
          <w:rFonts w:hint="eastAsia" w:ascii="Times New Roman" w:hAnsi="Times New Roman" w:eastAsia="宋体" w:cs="Times New Roman"/>
          <w:color w:val="auto"/>
          <w:highlight w:val="none"/>
          <w:lang w:val="en-US" w:eastAsia="zh-CN"/>
        </w:rPr>
        <w:t>，经浓密</w:t>
      </w:r>
      <w:r>
        <w:rPr>
          <w:rFonts w:hint="eastAsia" w:ascii="Times New Roman" w:hAnsi="Times New Roman" w:cs="Times New Roman"/>
          <w:color w:val="auto"/>
          <w:highlight w:val="none"/>
          <w:lang w:val="en-US" w:eastAsia="zh-CN"/>
        </w:rPr>
        <w:t>罐</w:t>
      </w:r>
      <w:r>
        <w:rPr>
          <w:rFonts w:hint="eastAsia" w:ascii="Times New Roman" w:hAnsi="Times New Roman" w:eastAsia="宋体" w:cs="Times New Roman"/>
          <w:color w:val="auto"/>
          <w:highlight w:val="none"/>
          <w:lang w:val="en-US" w:eastAsia="zh-CN"/>
        </w:rPr>
        <w:t>沉淀的上清液以及压滤机压滤沉淀后收集于循环水池</w:t>
      </w:r>
      <w:r>
        <w:rPr>
          <w:rFonts w:hint="eastAsia" w:ascii="Times New Roman" w:hAnsi="Times New Roman" w:cs="Times New Roman"/>
          <w:color w:val="auto"/>
          <w:highlight w:val="none"/>
          <w:lang w:val="en-US" w:eastAsia="zh-CN"/>
        </w:rPr>
        <w:t>，后</w:t>
      </w:r>
      <w:r>
        <w:rPr>
          <w:rFonts w:hint="eastAsia" w:ascii="Times New Roman" w:hAnsi="Times New Roman" w:eastAsia="宋体" w:cs="Times New Roman"/>
          <w:color w:val="auto"/>
          <w:highlight w:val="none"/>
          <w:lang w:val="en-US" w:eastAsia="zh-CN"/>
        </w:rPr>
        <w:t>回用于生产，形成闭路循环，不外排。</w:t>
      </w:r>
    </w:p>
    <w:p w14:paraId="03938B33">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本次</w:t>
      </w:r>
      <w:r>
        <w:rPr>
          <w:rFonts w:hint="eastAsia" w:ascii="Times New Roman" w:hAnsi="Times New Roman" w:eastAsia="宋体" w:cs="Times New Roman"/>
          <w:color w:val="auto"/>
          <w:highlight w:val="none"/>
          <w:lang w:val="en-US" w:eastAsia="zh-CN"/>
        </w:rPr>
        <w:t>评价要求对</w:t>
      </w:r>
      <w:r>
        <w:rPr>
          <w:rFonts w:hint="eastAsia" w:ascii="Times New Roman" w:hAnsi="Times New Roman" w:cs="Times New Roman"/>
          <w:color w:val="auto"/>
          <w:highlight w:val="none"/>
          <w:lang w:val="en-US" w:eastAsia="zh-CN"/>
        </w:rPr>
        <w:t>浮选车间</w:t>
      </w:r>
      <w:r>
        <w:rPr>
          <w:rFonts w:hint="eastAsia" w:ascii="Times New Roman" w:hAnsi="Times New Roman" w:eastAsia="宋体" w:cs="Times New Roman"/>
          <w:color w:val="auto"/>
          <w:highlight w:val="none"/>
          <w:lang w:val="en-US" w:eastAsia="zh-CN"/>
        </w:rPr>
        <w:t>地面做好防渗防漏工作，同时四周设置集水沟，</w:t>
      </w:r>
      <w:r>
        <w:rPr>
          <w:rFonts w:hint="eastAsia" w:ascii="Times New Roman" w:hAnsi="Times New Roman" w:cs="Times New Roman"/>
          <w:color w:val="auto"/>
          <w:highlight w:val="none"/>
          <w:lang w:val="en-US" w:eastAsia="zh-CN"/>
        </w:rPr>
        <w:t>车间</w:t>
      </w:r>
      <w:r>
        <w:rPr>
          <w:rFonts w:hint="eastAsia" w:ascii="Times New Roman" w:hAnsi="Times New Roman" w:eastAsia="宋体" w:cs="Times New Roman"/>
          <w:color w:val="auto"/>
          <w:highlight w:val="none"/>
          <w:lang w:val="en-US" w:eastAsia="zh-CN"/>
        </w:rPr>
        <w:t>流出的少量渗滤液经收集</w:t>
      </w:r>
      <w:r>
        <w:rPr>
          <w:rFonts w:hint="eastAsia" w:ascii="Times New Roman" w:hAns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同尾砂压滤水一并沉淀处理后返回循环水池，回用于生产工序，避免随意排放。</w:t>
      </w:r>
    </w:p>
    <w:p w14:paraId="44A8652D">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（2）生活污水</w:t>
      </w:r>
      <w:r>
        <w:rPr>
          <w:rFonts w:hint="eastAsia" w:ascii="Times New Roman" w:hAnsi="Times New Roman" w:cs="Times New Roman"/>
          <w:color w:val="auto"/>
          <w:highlight w:val="none"/>
          <w:lang w:val="en-US" w:eastAsia="zh-CN"/>
        </w:rPr>
        <w:t>（W5）</w:t>
      </w:r>
    </w:p>
    <w:p w14:paraId="5DCE6965">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根据前述分析，项目生活用水量为</w:t>
      </w:r>
      <w:r>
        <w:rPr>
          <w:rFonts w:hint="eastAsia" w:ascii="Times New Roman" w:hAnsi="Times New Roman" w:cs="Times New Roman"/>
          <w:color w:val="auto"/>
          <w:highlight w:val="none"/>
          <w:lang w:val="en-US" w:eastAsia="zh-CN"/>
        </w:rPr>
        <w:t>1.8</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/d（</w:t>
      </w:r>
      <w:r>
        <w:rPr>
          <w:rFonts w:hint="eastAsia" w:ascii="Times New Roman" w:hAnsi="Times New Roman" w:cs="Times New Roman"/>
          <w:color w:val="auto"/>
          <w:highlight w:val="none"/>
          <w:lang w:val="en-US" w:eastAsia="zh-CN"/>
        </w:rPr>
        <w:t>540</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/a），生活污水排放量按用水量的80%计算，则生活污水量</w:t>
      </w:r>
      <w:r>
        <w:rPr>
          <w:rFonts w:hint="eastAsia" w:ascii="Times New Roman" w:hAnsi="Times New Roman" w:cs="Times New Roman"/>
          <w:color w:val="auto"/>
          <w:highlight w:val="none"/>
          <w:lang w:val="en-US" w:eastAsia="zh-CN"/>
        </w:rPr>
        <w:t>1.44</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/d（</w:t>
      </w:r>
      <w:r>
        <w:rPr>
          <w:rFonts w:hint="eastAsia" w:ascii="Times New Roman" w:hAnsi="Times New Roman" w:cs="Times New Roman"/>
          <w:color w:val="auto"/>
          <w:highlight w:val="none"/>
          <w:lang w:val="en-US" w:eastAsia="zh-CN"/>
        </w:rPr>
        <w:t>43</w:t>
      </w:r>
      <w:r>
        <w:rPr>
          <w:rFonts w:hint="eastAsia" w:ascii="Times New Roman" w:hAnsi="Times New Roman" w:eastAsia="宋体" w:cs="Times New Roman"/>
          <w:color w:val="auto"/>
          <w:highlight w:val="none"/>
          <w:lang w:val="en-US" w:eastAsia="zh-CN"/>
        </w:rPr>
        <w:t>2m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/a）。生活污水中主要污染物包括pH、COD、BOD</w:t>
      </w:r>
      <w:r>
        <w:rPr>
          <w:rFonts w:hint="eastAsia" w:ascii="Times New Roman" w:hAnsi="Times New Roman" w:eastAsia="宋体" w:cs="Times New Roman"/>
          <w:color w:val="auto"/>
          <w:highlight w:val="none"/>
          <w:vertAlign w:val="subscript"/>
          <w:lang w:val="en-US" w:eastAsia="zh-CN"/>
        </w:rPr>
        <w:t>5</w:t>
      </w:r>
      <w:r>
        <w:rPr>
          <w:rFonts w:hint="eastAsia" w:ascii="Times New Roman" w:hAnsi="Times New Roman" w:eastAsia="宋体" w:cs="Times New Roman"/>
          <w:color w:val="auto"/>
          <w:highlight w:val="none"/>
          <w:lang w:val="en-US" w:eastAsia="zh-CN"/>
        </w:rPr>
        <w:t>、SS、NH</w:t>
      </w:r>
      <w:r>
        <w:rPr>
          <w:rFonts w:hint="eastAsia" w:ascii="Times New Roman" w:hAnsi="Times New Roman" w:eastAsia="宋体" w:cs="Times New Roman"/>
          <w:color w:val="auto"/>
          <w:highlight w:val="none"/>
          <w:vertAlign w:val="subscript"/>
          <w:lang w:val="en-US" w:eastAsia="zh-CN"/>
        </w:rPr>
        <w:t>3</w:t>
      </w:r>
      <w:r>
        <w:rPr>
          <w:rFonts w:hint="eastAsia" w:ascii="Times New Roman" w:hAnsi="Times New Roman" w:eastAsia="宋体" w:cs="Times New Roman"/>
          <w:color w:val="auto"/>
          <w:highlight w:val="none"/>
          <w:lang w:val="en-US" w:eastAsia="zh-CN"/>
        </w:rPr>
        <w:t>-N等，</w:t>
      </w:r>
      <w:r>
        <w:rPr>
          <w:rFonts w:hint="eastAsia"/>
          <w:color w:val="auto"/>
          <w:sz w:val="24"/>
          <w:szCs w:val="24"/>
          <w:highlight w:val="none"/>
          <w:lang w:val="en-US" w:eastAsia="zh-CN"/>
        </w:rPr>
        <w:t>生活污水依托盟东水泥厂办公区现有化粪池收集处理，再定期拉运至诺尔镇污水处理厂处理。</w:t>
      </w:r>
      <w:r>
        <w:rPr>
          <w:rFonts w:hint="eastAsia"/>
          <w:color w:val="auto"/>
          <w:highlight w:val="none"/>
          <w:lang w:val="en-US" w:eastAsia="zh-CN"/>
        </w:rPr>
        <w:t>生活污水</w:t>
      </w:r>
      <w:r>
        <w:rPr>
          <w:rFonts w:hint="eastAsia"/>
          <w:color w:val="auto"/>
          <w:highlight w:val="none"/>
          <w:lang w:val="zh-CN"/>
        </w:rPr>
        <w:t>执行《污水综合排放标准》（GB8978-1996）三级标准要求。</w:t>
      </w:r>
    </w:p>
    <w:p w14:paraId="2811E500">
      <w:pPr>
        <w:pStyle w:val="169"/>
        <w:snapToGrid w:val="0"/>
        <w:spacing w:line="360" w:lineRule="auto"/>
        <w:ind w:firstLine="480"/>
        <w:rPr>
          <w:color w:val="auto"/>
          <w:highlight w:val="none"/>
        </w:rPr>
      </w:pPr>
      <w:r>
        <w:rPr>
          <w:rFonts w:hint="eastAsia" w:ascii="Times New Roman" w:cs="Times New Roman"/>
          <w:color w:val="auto"/>
          <w:highlight w:val="none"/>
          <w:lang w:val="en-US" w:eastAsia="zh-CN"/>
        </w:rPr>
        <w:t>本</w:t>
      </w:r>
      <w:r>
        <w:rPr>
          <w:rFonts w:ascii="Times New Roman" w:cs="Times New Roman"/>
          <w:color w:val="auto"/>
          <w:highlight w:val="none"/>
        </w:rPr>
        <w:t>项目废水产生情况见下表</w:t>
      </w:r>
      <w:r>
        <w:rPr>
          <w:rFonts w:hint="eastAsia" w:ascii="Times New Roman" w:cs="Times New Roman"/>
          <w:color w:val="auto"/>
          <w:highlight w:val="none"/>
          <w:lang w:val="en-US" w:eastAsia="zh-CN"/>
        </w:rPr>
        <w:t>3.11-7</w:t>
      </w:r>
      <w:r>
        <w:rPr>
          <w:color w:val="auto"/>
          <w:highlight w:val="none"/>
        </w:rPr>
        <w:t>。</w:t>
      </w:r>
    </w:p>
    <w:p w14:paraId="0BCB8D73">
      <w:pPr>
        <w:pStyle w:val="199"/>
        <w:spacing w:before="120"/>
        <w:ind w:firstLine="420" w:firstLineChars="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表3.</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lang w:val="en-US" w:eastAsia="zh-CN"/>
        </w:rPr>
        <w:t xml:space="preserve">   本项目废水排放情况一览表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 w:type="dxa"/>
          <w:bottom w:w="0" w:type="dxa"/>
          <w:right w:w="10" w:type="dxa"/>
        </w:tblCellMar>
      </w:tblPr>
      <w:tblGrid>
        <w:gridCol w:w="485"/>
        <w:gridCol w:w="1644"/>
        <w:gridCol w:w="856"/>
        <w:gridCol w:w="690"/>
        <w:gridCol w:w="964"/>
        <w:gridCol w:w="703"/>
        <w:gridCol w:w="860"/>
        <w:gridCol w:w="697"/>
        <w:gridCol w:w="1422"/>
      </w:tblGrid>
      <w:tr w14:paraId="7B72BA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vMerge w:val="restart"/>
            <w:noWrap w:val="0"/>
            <w:vAlign w:val="center"/>
          </w:tcPr>
          <w:p w14:paraId="3B7772BA">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序号</w:t>
            </w:r>
          </w:p>
        </w:tc>
        <w:tc>
          <w:tcPr>
            <w:tcW w:w="0" w:type="auto"/>
            <w:vMerge w:val="restart"/>
            <w:noWrap w:val="0"/>
            <w:vAlign w:val="center"/>
          </w:tcPr>
          <w:p w14:paraId="54DA520B">
            <w:pPr>
              <w:pStyle w:val="245"/>
              <w:spacing w:line="240" w:lineRule="auto"/>
              <w:jc w:val="center"/>
              <w:rPr>
                <w:color w:val="auto"/>
                <w:highlight w:val="none"/>
              </w:rPr>
            </w:pPr>
            <w:r>
              <w:rPr>
                <w:rFonts w:hint="eastAsia"/>
                <w:color w:val="auto"/>
                <w:highlight w:val="none"/>
              </w:rPr>
              <w:t>废水来源</w:t>
            </w:r>
          </w:p>
        </w:tc>
        <w:tc>
          <w:tcPr>
            <w:tcW w:w="856" w:type="dxa"/>
            <w:vMerge w:val="restart"/>
            <w:noWrap w:val="0"/>
            <w:vAlign w:val="center"/>
          </w:tcPr>
          <w:p w14:paraId="7E9D07D3">
            <w:pPr>
              <w:pStyle w:val="245"/>
              <w:spacing w:line="240" w:lineRule="auto"/>
              <w:jc w:val="center"/>
              <w:rPr>
                <w:color w:val="auto"/>
                <w:highlight w:val="none"/>
              </w:rPr>
            </w:pPr>
            <w:r>
              <w:rPr>
                <w:color w:val="auto"/>
                <w:highlight w:val="none"/>
              </w:rPr>
              <w:t>污水量</w:t>
            </w:r>
          </w:p>
          <w:p w14:paraId="41F79DD6">
            <w:pPr>
              <w:pStyle w:val="245"/>
              <w:spacing w:line="240" w:lineRule="auto"/>
              <w:jc w:val="center"/>
              <w:rPr>
                <w:color w:val="auto"/>
                <w:highlight w:val="none"/>
              </w:rPr>
            </w:pPr>
            <w:r>
              <w:rPr>
                <w:rFonts w:hint="eastAsia"/>
                <w:color w:val="auto"/>
                <w:highlight w:val="none"/>
              </w:rPr>
              <w:t>(t/a)</w:t>
            </w:r>
          </w:p>
        </w:tc>
        <w:tc>
          <w:tcPr>
            <w:tcW w:w="690" w:type="dxa"/>
            <w:vMerge w:val="restart"/>
            <w:noWrap w:val="0"/>
            <w:vAlign w:val="center"/>
          </w:tcPr>
          <w:p w14:paraId="3448A8A4">
            <w:pPr>
              <w:pStyle w:val="245"/>
              <w:spacing w:line="240" w:lineRule="auto"/>
              <w:jc w:val="center"/>
              <w:rPr>
                <w:color w:val="auto"/>
                <w:highlight w:val="none"/>
              </w:rPr>
            </w:pPr>
            <w:r>
              <w:rPr>
                <w:color w:val="auto"/>
                <w:highlight w:val="none"/>
              </w:rPr>
              <w:t>污染物</w:t>
            </w:r>
          </w:p>
        </w:tc>
        <w:tc>
          <w:tcPr>
            <w:tcW w:w="1667" w:type="dxa"/>
            <w:gridSpan w:val="2"/>
            <w:noWrap w:val="0"/>
            <w:vAlign w:val="center"/>
          </w:tcPr>
          <w:p w14:paraId="7A594A77">
            <w:pPr>
              <w:pStyle w:val="245"/>
              <w:spacing w:line="240" w:lineRule="auto"/>
              <w:jc w:val="center"/>
              <w:rPr>
                <w:color w:val="auto"/>
                <w:highlight w:val="none"/>
              </w:rPr>
            </w:pPr>
            <w:r>
              <w:rPr>
                <w:rFonts w:hint="eastAsia"/>
                <w:color w:val="auto"/>
                <w:highlight w:val="none"/>
              </w:rPr>
              <w:t>产生情况</w:t>
            </w:r>
          </w:p>
        </w:tc>
        <w:tc>
          <w:tcPr>
            <w:tcW w:w="0" w:type="auto"/>
            <w:gridSpan w:val="2"/>
            <w:noWrap w:val="0"/>
            <w:vAlign w:val="center"/>
          </w:tcPr>
          <w:p w14:paraId="7B28ADCA">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排放情况</w:t>
            </w:r>
          </w:p>
        </w:tc>
        <w:tc>
          <w:tcPr>
            <w:tcW w:w="1422" w:type="dxa"/>
            <w:vMerge w:val="restart"/>
            <w:noWrap w:val="0"/>
            <w:vAlign w:val="center"/>
          </w:tcPr>
          <w:p w14:paraId="38051201">
            <w:pPr>
              <w:pStyle w:val="245"/>
              <w:spacing w:line="240" w:lineRule="auto"/>
              <w:jc w:val="center"/>
              <w:rPr>
                <w:color w:val="auto"/>
                <w:highlight w:val="none"/>
              </w:rPr>
            </w:pPr>
            <w:r>
              <w:rPr>
                <w:rFonts w:hint="eastAsia"/>
                <w:color w:val="auto"/>
                <w:highlight w:val="none"/>
              </w:rPr>
              <w:t>排水去向</w:t>
            </w:r>
          </w:p>
        </w:tc>
      </w:tr>
      <w:tr w14:paraId="40CC82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vMerge w:val="continue"/>
            <w:noWrap w:val="0"/>
            <w:vAlign w:val="center"/>
          </w:tcPr>
          <w:p w14:paraId="115258B2">
            <w:pPr>
              <w:pStyle w:val="245"/>
              <w:spacing w:line="240" w:lineRule="auto"/>
              <w:jc w:val="center"/>
              <w:rPr>
                <w:color w:val="auto"/>
                <w:highlight w:val="none"/>
              </w:rPr>
            </w:pPr>
          </w:p>
        </w:tc>
        <w:tc>
          <w:tcPr>
            <w:tcW w:w="0" w:type="auto"/>
            <w:vMerge w:val="continue"/>
            <w:noWrap w:val="0"/>
            <w:vAlign w:val="center"/>
          </w:tcPr>
          <w:p w14:paraId="677FB7A4">
            <w:pPr>
              <w:pStyle w:val="245"/>
              <w:spacing w:line="240" w:lineRule="auto"/>
              <w:jc w:val="center"/>
              <w:rPr>
                <w:color w:val="auto"/>
                <w:highlight w:val="none"/>
              </w:rPr>
            </w:pPr>
          </w:p>
        </w:tc>
        <w:tc>
          <w:tcPr>
            <w:tcW w:w="856" w:type="dxa"/>
            <w:vMerge w:val="continue"/>
            <w:noWrap w:val="0"/>
            <w:vAlign w:val="center"/>
          </w:tcPr>
          <w:p w14:paraId="576FF0BB">
            <w:pPr>
              <w:pStyle w:val="245"/>
              <w:spacing w:line="240" w:lineRule="auto"/>
              <w:jc w:val="center"/>
              <w:rPr>
                <w:color w:val="auto"/>
                <w:highlight w:val="none"/>
              </w:rPr>
            </w:pPr>
          </w:p>
        </w:tc>
        <w:tc>
          <w:tcPr>
            <w:tcW w:w="690" w:type="dxa"/>
            <w:vMerge w:val="continue"/>
            <w:noWrap w:val="0"/>
            <w:vAlign w:val="center"/>
          </w:tcPr>
          <w:p w14:paraId="40E0780C">
            <w:pPr>
              <w:pStyle w:val="245"/>
              <w:spacing w:line="240" w:lineRule="auto"/>
              <w:jc w:val="center"/>
              <w:rPr>
                <w:color w:val="auto"/>
                <w:highlight w:val="none"/>
              </w:rPr>
            </w:pPr>
          </w:p>
        </w:tc>
        <w:tc>
          <w:tcPr>
            <w:tcW w:w="964" w:type="dxa"/>
            <w:noWrap w:val="0"/>
            <w:vAlign w:val="center"/>
          </w:tcPr>
          <w:p w14:paraId="49907F48">
            <w:pPr>
              <w:pStyle w:val="245"/>
              <w:spacing w:line="240" w:lineRule="auto"/>
              <w:jc w:val="center"/>
              <w:rPr>
                <w:color w:val="auto"/>
                <w:highlight w:val="none"/>
              </w:rPr>
            </w:pPr>
            <w:r>
              <w:rPr>
                <w:rFonts w:hint="eastAsia"/>
                <w:color w:val="auto"/>
                <w:highlight w:val="none"/>
                <w:lang w:val="en-US" w:eastAsia="zh-CN"/>
              </w:rPr>
              <w:t>产生</w:t>
            </w:r>
            <w:r>
              <w:rPr>
                <w:color w:val="auto"/>
                <w:highlight w:val="none"/>
              </w:rPr>
              <w:t>浓度</w:t>
            </w:r>
          </w:p>
          <w:p w14:paraId="0F9DED72">
            <w:pPr>
              <w:pStyle w:val="245"/>
              <w:spacing w:line="240" w:lineRule="auto"/>
              <w:jc w:val="center"/>
              <w:rPr>
                <w:color w:val="auto"/>
                <w:highlight w:val="none"/>
              </w:rPr>
            </w:pPr>
            <w:r>
              <w:rPr>
                <w:color w:val="auto"/>
                <w:highlight w:val="none"/>
              </w:rPr>
              <w:t>（mg/</w:t>
            </w:r>
            <w:r>
              <w:rPr>
                <w:rFonts w:hint="eastAsia"/>
                <w:color w:val="auto"/>
                <w:highlight w:val="none"/>
              </w:rPr>
              <w:t>L</w:t>
            </w:r>
            <w:r>
              <w:rPr>
                <w:color w:val="auto"/>
                <w:highlight w:val="none"/>
              </w:rPr>
              <w:t>）</w:t>
            </w:r>
          </w:p>
        </w:tc>
        <w:tc>
          <w:tcPr>
            <w:tcW w:w="703" w:type="dxa"/>
            <w:noWrap w:val="0"/>
            <w:vAlign w:val="center"/>
          </w:tcPr>
          <w:p w14:paraId="586A9B91">
            <w:pPr>
              <w:pStyle w:val="245"/>
              <w:spacing w:line="240" w:lineRule="auto"/>
              <w:jc w:val="center"/>
              <w:rPr>
                <w:color w:val="auto"/>
                <w:highlight w:val="none"/>
              </w:rPr>
            </w:pPr>
            <w:r>
              <w:rPr>
                <w:rFonts w:hint="eastAsia"/>
                <w:color w:val="auto"/>
                <w:highlight w:val="none"/>
              </w:rPr>
              <w:t>产生</w:t>
            </w:r>
            <w:r>
              <w:rPr>
                <w:color w:val="auto"/>
                <w:highlight w:val="none"/>
              </w:rPr>
              <w:t>量</w:t>
            </w:r>
          </w:p>
          <w:p w14:paraId="6BFA5173">
            <w:pPr>
              <w:pStyle w:val="245"/>
              <w:spacing w:line="240" w:lineRule="auto"/>
              <w:jc w:val="center"/>
              <w:rPr>
                <w:color w:val="auto"/>
                <w:highlight w:val="none"/>
              </w:rPr>
            </w:pPr>
            <w:r>
              <w:rPr>
                <w:color w:val="auto"/>
                <w:highlight w:val="none"/>
              </w:rPr>
              <w:t>（</w:t>
            </w:r>
            <w:r>
              <w:rPr>
                <w:rFonts w:hint="eastAsia"/>
                <w:color w:val="auto"/>
                <w:highlight w:val="none"/>
                <w:lang w:val="en-US" w:eastAsia="zh-CN"/>
              </w:rPr>
              <w:t>kg</w:t>
            </w:r>
            <w:r>
              <w:rPr>
                <w:color w:val="auto"/>
                <w:highlight w:val="none"/>
              </w:rPr>
              <w:t>/a）</w:t>
            </w:r>
          </w:p>
        </w:tc>
        <w:tc>
          <w:tcPr>
            <w:tcW w:w="0" w:type="auto"/>
            <w:noWrap w:val="0"/>
            <w:vAlign w:val="center"/>
          </w:tcPr>
          <w:p w14:paraId="06251661">
            <w:pPr>
              <w:pStyle w:val="245"/>
              <w:spacing w:line="240" w:lineRule="auto"/>
              <w:jc w:val="center"/>
              <w:rPr>
                <w:color w:val="auto"/>
                <w:highlight w:val="none"/>
              </w:rPr>
            </w:pPr>
            <w:r>
              <w:rPr>
                <w:rFonts w:hint="eastAsia"/>
                <w:color w:val="auto"/>
                <w:highlight w:val="none"/>
                <w:lang w:val="en-US" w:eastAsia="zh-CN"/>
              </w:rPr>
              <w:t>排放</w:t>
            </w:r>
            <w:r>
              <w:rPr>
                <w:color w:val="auto"/>
                <w:highlight w:val="none"/>
              </w:rPr>
              <w:t>浓度</w:t>
            </w:r>
          </w:p>
          <w:p w14:paraId="7AE7EE7B">
            <w:pPr>
              <w:pStyle w:val="245"/>
              <w:spacing w:line="240" w:lineRule="auto"/>
              <w:ind w:firstLine="0" w:firstLineChars="0"/>
              <w:jc w:val="center"/>
              <w:rPr>
                <w:rFonts w:ascii="Times New Roman" w:hAnsi="Times New Roman" w:eastAsia="宋体" w:cs="Times New Roman"/>
                <w:color w:val="auto"/>
                <w:kern w:val="2"/>
                <w:sz w:val="21"/>
                <w:szCs w:val="22"/>
                <w:highlight w:val="none"/>
                <w:lang w:val="en-US" w:eastAsia="zh-CN" w:bidi="ar-SA"/>
              </w:rPr>
            </w:pPr>
            <w:r>
              <w:rPr>
                <w:color w:val="auto"/>
                <w:highlight w:val="none"/>
              </w:rPr>
              <w:t>（mg/</w:t>
            </w:r>
            <w:r>
              <w:rPr>
                <w:rFonts w:hint="eastAsia"/>
                <w:color w:val="auto"/>
                <w:highlight w:val="none"/>
              </w:rPr>
              <w:t>L</w:t>
            </w:r>
            <w:r>
              <w:rPr>
                <w:color w:val="auto"/>
                <w:highlight w:val="none"/>
              </w:rPr>
              <w:t>）</w:t>
            </w:r>
          </w:p>
        </w:tc>
        <w:tc>
          <w:tcPr>
            <w:tcW w:w="0" w:type="auto"/>
            <w:noWrap w:val="0"/>
            <w:vAlign w:val="center"/>
          </w:tcPr>
          <w:p w14:paraId="49722937">
            <w:pPr>
              <w:pStyle w:val="245"/>
              <w:spacing w:line="240" w:lineRule="auto"/>
              <w:jc w:val="center"/>
              <w:rPr>
                <w:color w:val="auto"/>
                <w:highlight w:val="none"/>
              </w:rPr>
            </w:pPr>
            <w:r>
              <w:rPr>
                <w:rFonts w:hint="eastAsia"/>
                <w:color w:val="auto"/>
                <w:highlight w:val="none"/>
                <w:lang w:val="en-US" w:eastAsia="zh-CN"/>
              </w:rPr>
              <w:t>排放</w:t>
            </w:r>
            <w:r>
              <w:rPr>
                <w:color w:val="auto"/>
                <w:highlight w:val="none"/>
              </w:rPr>
              <w:t>量</w:t>
            </w:r>
          </w:p>
          <w:p w14:paraId="2AEB668E">
            <w:pPr>
              <w:pStyle w:val="245"/>
              <w:spacing w:line="240" w:lineRule="auto"/>
              <w:ind w:firstLine="0" w:firstLineChars="0"/>
              <w:jc w:val="center"/>
              <w:rPr>
                <w:rFonts w:ascii="Times New Roman" w:hAnsi="Times New Roman" w:eastAsia="宋体" w:cs="Times New Roman"/>
                <w:color w:val="auto"/>
                <w:kern w:val="2"/>
                <w:sz w:val="21"/>
                <w:szCs w:val="22"/>
                <w:highlight w:val="none"/>
                <w:lang w:val="en-US" w:eastAsia="zh-CN" w:bidi="ar-SA"/>
              </w:rPr>
            </w:pPr>
            <w:r>
              <w:rPr>
                <w:color w:val="auto"/>
                <w:highlight w:val="none"/>
              </w:rPr>
              <w:t>（</w:t>
            </w:r>
            <w:r>
              <w:rPr>
                <w:rFonts w:hint="eastAsia"/>
                <w:color w:val="auto"/>
                <w:highlight w:val="none"/>
                <w:lang w:val="en-US" w:eastAsia="zh-CN"/>
              </w:rPr>
              <w:t>kg</w:t>
            </w:r>
            <w:r>
              <w:rPr>
                <w:color w:val="auto"/>
                <w:highlight w:val="none"/>
              </w:rPr>
              <w:t>/a）</w:t>
            </w:r>
          </w:p>
        </w:tc>
        <w:tc>
          <w:tcPr>
            <w:tcW w:w="1422" w:type="dxa"/>
            <w:vMerge w:val="continue"/>
            <w:noWrap w:val="0"/>
            <w:vAlign w:val="center"/>
          </w:tcPr>
          <w:p w14:paraId="3CFA2382">
            <w:pPr>
              <w:pStyle w:val="245"/>
              <w:spacing w:line="240" w:lineRule="auto"/>
              <w:jc w:val="center"/>
              <w:rPr>
                <w:color w:val="auto"/>
                <w:highlight w:val="none"/>
              </w:rPr>
            </w:pPr>
          </w:p>
        </w:tc>
      </w:tr>
      <w:tr w14:paraId="4165D8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noWrap w:val="0"/>
            <w:vAlign w:val="center"/>
          </w:tcPr>
          <w:p w14:paraId="7AE84597">
            <w:pPr>
              <w:pStyle w:val="245"/>
              <w:spacing w:line="240" w:lineRule="auto"/>
              <w:jc w:val="center"/>
              <w:rPr>
                <w:rFonts w:hint="default"/>
                <w:color w:val="auto"/>
                <w:highlight w:val="none"/>
                <w:lang w:val="en-US" w:eastAsia="zh-CN"/>
              </w:rPr>
            </w:pPr>
            <w:r>
              <w:rPr>
                <w:rFonts w:hint="eastAsia"/>
                <w:color w:val="auto"/>
                <w:highlight w:val="none"/>
                <w:lang w:val="en-US" w:eastAsia="zh-CN"/>
              </w:rPr>
              <w:t>W1</w:t>
            </w:r>
          </w:p>
        </w:tc>
        <w:tc>
          <w:tcPr>
            <w:tcW w:w="0" w:type="auto"/>
            <w:noWrap w:val="0"/>
            <w:vAlign w:val="center"/>
          </w:tcPr>
          <w:p w14:paraId="71482A79">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萤石精粉浓密水</w:t>
            </w:r>
          </w:p>
        </w:tc>
        <w:tc>
          <w:tcPr>
            <w:tcW w:w="856" w:type="dxa"/>
            <w:vMerge w:val="restart"/>
            <w:noWrap w:val="0"/>
            <w:vAlign w:val="center"/>
          </w:tcPr>
          <w:p w14:paraId="75836EC3">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375000</w:t>
            </w:r>
          </w:p>
        </w:tc>
        <w:tc>
          <w:tcPr>
            <w:tcW w:w="690" w:type="dxa"/>
            <w:vMerge w:val="restart"/>
            <w:noWrap w:val="0"/>
            <w:vAlign w:val="center"/>
          </w:tcPr>
          <w:p w14:paraId="5075DEA9">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SS</w:t>
            </w:r>
          </w:p>
        </w:tc>
        <w:tc>
          <w:tcPr>
            <w:tcW w:w="964" w:type="dxa"/>
            <w:vMerge w:val="restart"/>
            <w:noWrap w:val="0"/>
            <w:vAlign w:val="center"/>
          </w:tcPr>
          <w:p w14:paraId="20B16CEF">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800</w:t>
            </w:r>
          </w:p>
        </w:tc>
        <w:tc>
          <w:tcPr>
            <w:tcW w:w="703" w:type="dxa"/>
            <w:vMerge w:val="restart"/>
            <w:noWrap w:val="0"/>
            <w:vAlign w:val="center"/>
          </w:tcPr>
          <w:p w14:paraId="13952AE3">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c>
          <w:tcPr>
            <w:tcW w:w="860" w:type="dxa"/>
            <w:vMerge w:val="restart"/>
            <w:noWrap w:val="0"/>
            <w:vAlign w:val="center"/>
          </w:tcPr>
          <w:p w14:paraId="719D10F3">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c>
          <w:tcPr>
            <w:tcW w:w="697" w:type="dxa"/>
            <w:vMerge w:val="restart"/>
            <w:noWrap w:val="0"/>
            <w:vAlign w:val="center"/>
          </w:tcPr>
          <w:p w14:paraId="5EC7063F">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0</w:t>
            </w:r>
          </w:p>
        </w:tc>
        <w:tc>
          <w:tcPr>
            <w:tcW w:w="1422" w:type="dxa"/>
            <w:vMerge w:val="restart"/>
            <w:noWrap w:val="0"/>
            <w:vAlign w:val="center"/>
          </w:tcPr>
          <w:p w14:paraId="31C9565B">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循环利用，不外排</w:t>
            </w:r>
          </w:p>
        </w:tc>
      </w:tr>
      <w:tr w14:paraId="0E7007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noWrap w:val="0"/>
            <w:vAlign w:val="center"/>
          </w:tcPr>
          <w:p w14:paraId="357015F0">
            <w:pPr>
              <w:pStyle w:val="245"/>
              <w:spacing w:line="240" w:lineRule="auto"/>
              <w:jc w:val="center"/>
              <w:rPr>
                <w:rFonts w:hint="eastAsia"/>
                <w:color w:val="auto"/>
                <w:highlight w:val="none"/>
                <w:lang w:val="en-US" w:eastAsia="zh-CN"/>
              </w:rPr>
            </w:pPr>
            <w:r>
              <w:rPr>
                <w:rFonts w:hint="eastAsia"/>
                <w:color w:val="auto"/>
                <w:highlight w:val="none"/>
                <w:lang w:val="en-US" w:eastAsia="zh-CN"/>
              </w:rPr>
              <w:t>W2</w:t>
            </w:r>
          </w:p>
        </w:tc>
        <w:tc>
          <w:tcPr>
            <w:tcW w:w="0" w:type="auto"/>
            <w:noWrap w:val="0"/>
            <w:vAlign w:val="center"/>
          </w:tcPr>
          <w:p w14:paraId="6F618074">
            <w:pPr>
              <w:pStyle w:val="245"/>
              <w:spacing w:line="240" w:lineRule="auto"/>
              <w:jc w:val="center"/>
              <w:rPr>
                <w:color w:val="auto"/>
                <w:highlight w:val="none"/>
              </w:rPr>
            </w:pPr>
            <w:r>
              <w:rPr>
                <w:rFonts w:hint="eastAsia"/>
                <w:color w:val="auto"/>
                <w:highlight w:val="none"/>
                <w:lang w:val="en-US" w:eastAsia="zh-CN"/>
              </w:rPr>
              <w:t>萤石精粉压滤水</w:t>
            </w:r>
          </w:p>
        </w:tc>
        <w:tc>
          <w:tcPr>
            <w:tcW w:w="856" w:type="dxa"/>
            <w:vMerge w:val="continue"/>
            <w:noWrap w:val="0"/>
            <w:vAlign w:val="center"/>
          </w:tcPr>
          <w:p w14:paraId="65015977">
            <w:pPr>
              <w:pStyle w:val="245"/>
              <w:spacing w:line="240" w:lineRule="auto"/>
              <w:jc w:val="center"/>
              <w:rPr>
                <w:rFonts w:hint="eastAsia" w:eastAsia="宋体"/>
                <w:color w:val="auto"/>
                <w:highlight w:val="none"/>
                <w:lang w:val="en-US" w:eastAsia="zh-CN"/>
              </w:rPr>
            </w:pPr>
          </w:p>
        </w:tc>
        <w:tc>
          <w:tcPr>
            <w:tcW w:w="690" w:type="dxa"/>
            <w:vMerge w:val="continue"/>
            <w:noWrap w:val="0"/>
            <w:vAlign w:val="center"/>
          </w:tcPr>
          <w:p w14:paraId="27192358">
            <w:pPr>
              <w:pStyle w:val="245"/>
              <w:spacing w:line="240" w:lineRule="auto"/>
              <w:jc w:val="center"/>
              <w:rPr>
                <w:rFonts w:hint="default" w:eastAsia="宋体"/>
                <w:color w:val="auto"/>
                <w:highlight w:val="none"/>
                <w:lang w:val="en-US" w:eastAsia="zh-CN"/>
              </w:rPr>
            </w:pPr>
          </w:p>
        </w:tc>
        <w:tc>
          <w:tcPr>
            <w:tcW w:w="964" w:type="dxa"/>
            <w:vMerge w:val="continue"/>
            <w:noWrap w:val="0"/>
            <w:vAlign w:val="center"/>
          </w:tcPr>
          <w:p w14:paraId="02F4E3DD">
            <w:pPr>
              <w:pStyle w:val="245"/>
              <w:spacing w:line="240" w:lineRule="auto"/>
              <w:jc w:val="center"/>
              <w:rPr>
                <w:rFonts w:hint="eastAsia" w:eastAsia="宋体"/>
                <w:color w:val="auto"/>
                <w:highlight w:val="none"/>
                <w:lang w:val="en-US" w:eastAsia="zh-CN"/>
              </w:rPr>
            </w:pPr>
          </w:p>
        </w:tc>
        <w:tc>
          <w:tcPr>
            <w:tcW w:w="703" w:type="dxa"/>
            <w:vMerge w:val="continue"/>
            <w:noWrap w:val="0"/>
            <w:vAlign w:val="center"/>
          </w:tcPr>
          <w:p w14:paraId="29284E7C">
            <w:pPr>
              <w:pStyle w:val="245"/>
              <w:spacing w:line="240" w:lineRule="auto"/>
              <w:jc w:val="center"/>
              <w:rPr>
                <w:rFonts w:hint="eastAsia" w:eastAsia="宋体"/>
                <w:color w:val="auto"/>
                <w:highlight w:val="none"/>
                <w:lang w:val="en-US" w:eastAsia="zh-CN"/>
              </w:rPr>
            </w:pPr>
          </w:p>
        </w:tc>
        <w:tc>
          <w:tcPr>
            <w:tcW w:w="860" w:type="dxa"/>
            <w:vMerge w:val="continue"/>
            <w:noWrap w:val="0"/>
            <w:vAlign w:val="center"/>
          </w:tcPr>
          <w:p w14:paraId="5395873C">
            <w:pPr>
              <w:pStyle w:val="245"/>
              <w:spacing w:line="240" w:lineRule="auto"/>
              <w:jc w:val="center"/>
              <w:rPr>
                <w:rFonts w:hint="eastAsia" w:eastAsia="宋体"/>
                <w:color w:val="auto"/>
                <w:highlight w:val="none"/>
                <w:lang w:val="en-US" w:eastAsia="zh-CN"/>
              </w:rPr>
            </w:pPr>
          </w:p>
        </w:tc>
        <w:tc>
          <w:tcPr>
            <w:tcW w:w="697" w:type="dxa"/>
            <w:vMerge w:val="continue"/>
            <w:noWrap w:val="0"/>
            <w:vAlign w:val="center"/>
          </w:tcPr>
          <w:p w14:paraId="4DC0BD0D">
            <w:pPr>
              <w:pStyle w:val="245"/>
              <w:spacing w:line="240" w:lineRule="auto"/>
              <w:jc w:val="center"/>
              <w:rPr>
                <w:rFonts w:hint="eastAsia" w:eastAsia="宋体"/>
                <w:color w:val="auto"/>
                <w:highlight w:val="none"/>
                <w:lang w:val="en-US" w:eastAsia="zh-CN"/>
              </w:rPr>
            </w:pPr>
          </w:p>
        </w:tc>
        <w:tc>
          <w:tcPr>
            <w:tcW w:w="1422" w:type="dxa"/>
            <w:vMerge w:val="continue"/>
            <w:noWrap w:val="0"/>
            <w:vAlign w:val="center"/>
          </w:tcPr>
          <w:p w14:paraId="12877C79">
            <w:pPr>
              <w:pStyle w:val="245"/>
              <w:spacing w:line="240" w:lineRule="auto"/>
              <w:jc w:val="center"/>
              <w:rPr>
                <w:color w:val="auto"/>
                <w:highlight w:val="none"/>
              </w:rPr>
            </w:pPr>
          </w:p>
        </w:tc>
      </w:tr>
      <w:tr w14:paraId="63FC5C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noWrap w:val="0"/>
            <w:vAlign w:val="center"/>
          </w:tcPr>
          <w:p w14:paraId="71492E97">
            <w:pPr>
              <w:pStyle w:val="245"/>
              <w:spacing w:line="240" w:lineRule="auto"/>
              <w:jc w:val="center"/>
              <w:rPr>
                <w:rFonts w:hint="eastAsia"/>
                <w:color w:val="auto"/>
                <w:highlight w:val="none"/>
                <w:lang w:val="en-US" w:eastAsia="zh-CN"/>
              </w:rPr>
            </w:pPr>
            <w:r>
              <w:rPr>
                <w:rFonts w:hint="eastAsia"/>
                <w:color w:val="auto"/>
                <w:highlight w:val="none"/>
                <w:lang w:val="en-US" w:eastAsia="zh-CN"/>
              </w:rPr>
              <w:t>W3</w:t>
            </w:r>
          </w:p>
        </w:tc>
        <w:tc>
          <w:tcPr>
            <w:tcW w:w="0" w:type="auto"/>
            <w:noWrap w:val="0"/>
            <w:vAlign w:val="center"/>
          </w:tcPr>
          <w:p w14:paraId="2F9253AD">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尾矿浓密水</w:t>
            </w:r>
          </w:p>
        </w:tc>
        <w:tc>
          <w:tcPr>
            <w:tcW w:w="856" w:type="dxa"/>
            <w:vMerge w:val="continue"/>
            <w:noWrap w:val="0"/>
            <w:vAlign w:val="center"/>
          </w:tcPr>
          <w:p w14:paraId="309D7294">
            <w:pPr>
              <w:pStyle w:val="245"/>
              <w:spacing w:line="240" w:lineRule="auto"/>
              <w:jc w:val="center"/>
              <w:rPr>
                <w:rFonts w:hint="eastAsia" w:eastAsia="宋体"/>
                <w:color w:val="auto"/>
                <w:highlight w:val="none"/>
                <w:lang w:val="en-US" w:eastAsia="zh-CN"/>
              </w:rPr>
            </w:pPr>
          </w:p>
        </w:tc>
        <w:tc>
          <w:tcPr>
            <w:tcW w:w="690" w:type="dxa"/>
            <w:vMerge w:val="restart"/>
            <w:noWrap w:val="0"/>
            <w:vAlign w:val="center"/>
          </w:tcPr>
          <w:p w14:paraId="648462DF">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氟化物</w:t>
            </w:r>
          </w:p>
        </w:tc>
        <w:tc>
          <w:tcPr>
            <w:tcW w:w="964" w:type="dxa"/>
            <w:vMerge w:val="restart"/>
            <w:noWrap w:val="0"/>
            <w:vAlign w:val="center"/>
          </w:tcPr>
          <w:p w14:paraId="503BA4CD">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18.3</w:t>
            </w:r>
          </w:p>
        </w:tc>
        <w:tc>
          <w:tcPr>
            <w:tcW w:w="703" w:type="dxa"/>
            <w:vMerge w:val="restart"/>
            <w:noWrap w:val="0"/>
            <w:vAlign w:val="center"/>
          </w:tcPr>
          <w:p w14:paraId="070D9C5F">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w:t>
            </w:r>
          </w:p>
        </w:tc>
        <w:tc>
          <w:tcPr>
            <w:tcW w:w="860" w:type="dxa"/>
            <w:vMerge w:val="restart"/>
            <w:noWrap w:val="0"/>
            <w:vAlign w:val="center"/>
          </w:tcPr>
          <w:p w14:paraId="79E20064">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w:t>
            </w:r>
          </w:p>
        </w:tc>
        <w:tc>
          <w:tcPr>
            <w:tcW w:w="697" w:type="dxa"/>
            <w:vMerge w:val="restart"/>
            <w:noWrap w:val="0"/>
            <w:vAlign w:val="center"/>
          </w:tcPr>
          <w:p w14:paraId="5B90AAA1">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0</w:t>
            </w:r>
          </w:p>
        </w:tc>
        <w:tc>
          <w:tcPr>
            <w:tcW w:w="1422" w:type="dxa"/>
            <w:vMerge w:val="continue"/>
            <w:noWrap w:val="0"/>
            <w:vAlign w:val="center"/>
          </w:tcPr>
          <w:p w14:paraId="2D0487B5">
            <w:pPr>
              <w:pStyle w:val="245"/>
              <w:spacing w:line="240" w:lineRule="auto"/>
              <w:jc w:val="center"/>
              <w:rPr>
                <w:color w:val="auto"/>
                <w:highlight w:val="none"/>
              </w:rPr>
            </w:pPr>
          </w:p>
        </w:tc>
      </w:tr>
      <w:tr w14:paraId="5C14EE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noWrap w:val="0"/>
            <w:vAlign w:val="center"/>
          </w:tcPr>
          <w:p w14:paraId="162AC149">
            <w:pPr>
              <w:pStyle w:val="245"/>
              <w:spacing w:line="240" w:lineRule="auto"/>
              <w:jc w:val="center"/>
              <w:rPr>
                <w:rFonts w:hint="eastAsia"/>
                <w:color w:val="auto"/>
                <w:highlight w:val="none"/>
                <w:lang w:val="en-US" w:eastAsia="zh-CN"/>
              </w:rPr>
            </w:pPr>
            <w:r>
              <w:rPr>
                <w:rFonts w:hint="eastAsia"/>
                <w:color w:val="auto"/>
                <w:highlight w:val="none"/>
                <w:lang w:val="en-US" w:eastAsia="zh-CN"/>
              </w:rPr>
              <w:t>W4</w:t>
            </w:r>
          </w:p>
        </w:tc>
        <w:tc>
          <w:tcPr>
            <w:tcW w:w="0" w:type="auto"/>
            <w:noWrap w:val="0"/>
            <w:vAlign w:val="center"/>
          </w:tcPr>
          <w:p w14:paraId="4A9D3C01">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尾矿压滤水</w:t>
            </w:r>
          </w:p>
        </w:tc>
        <w:tc>
          <w:tcPr>
            <w:tcW w:w="856" w:type="dxa"/>
            <w:vMerge w:val="continue"/>
            <w:noWrap w:val="0"/>
            <w:vAlign w:val="center"/>
          </w:tcPr>
          <w:p w14:paraId="78BA05AE">
            <w:pPr>
              <w:pStyle w:val="245"/>
              <w:spacing w:line="240" w:lineRule="auto"/>
              <w:jc w:val="center"/>
              <w:rPr>
                <w:rFonts w:hint="eastAsia" w:eastAsia="宋体"/>
                <w:color w:val="auto"/>
                <w:highlight w:val="none"/>
                <w:lang w:val="en-US" w:eastAsia="zh-CN"/>
              </w:rPr>
            </w:pPr>
          </w:p>
        </w:tc>
        <w:tc>
          <w:tcPr>
            <w:tcW w:w="690" w:type="dxa"/>
            <w:vMerge w:val="continue"/>
            <w:noWrap w:val="0"/>
            <w:vAlign w:val="center"/>
          </w:tcPr>
          <w:p w14:paraId="0960FC79">
            <w:pPr>
              <w:pStyle w:val="245"/>
              <w:spacing w:line="240" w:lineRule="auto"/>
              <w:jc w:val="center"/>
              <w:rPr>
                <w:rFonts w:hint="default" w:eastAsia="宋体"/>
                <w:color w:val="auto"/>
                <w:highlight w:val="none"/>
                <w:lang w:val="en-US" w:eastAsia="zh-CN"/>
              </w:rPr>
            </w:pPr>
          </w:p>
        </w:tc>
        <w:tc>
          <w:tcPr>
            <w:tcW w:w="964" w:type="dxa"/>
            <w:vMerge w:val="continue"/>
            <w:noWrap w:val="0"/>
            <w:vAlign w:val="center"/>
          </w:tcPr>
          <w:p w14:paraId="07CFEA4E">
            <w:pPr>
              <w:pStyle w:val="245"/>
              <w:spacing w:line="240" w:lineRule="auto"/>
              <w:jc w:val="center"/>
              <w:rPr>
                <w:rFonts w:hint="eastAsia" w:eastAsia="宋体"/>
                <w:color w:val="auto"/>
                <w:highlight w:val="none"/>
                <w:lang w:val="en-US" w:eastAsia="zh-CN"/>
              </w:rPr>
            </w:pPr>
          </w:p>
        </w:tc>
        <w:tc>
          <w:tcPr>
            <w:tcW w:w="703" w:type="dxa"/>
            <w:vMerge w:val="continue"/>
            <w:noWrap w:val="0"/>
            <w:vAlign w:val="center"/>
          </w:tcPr>
          <w:p w14:paraId="05E77293">
            <w:pPr>
              <w:pStyle w:val="245"/>
              <w:spacing w:line="240" w:lineRule="auto"/>
              <w:jc w:val="center"/>
              <w:rPr>
                <w:rFonts w:hint="eastAsia" w:eastAsia="宋体"/>
                <w:color w:val="auto"/>
                <w:highlight w:val="none"/>
                <w:lang w:val="en-US" w:eastAsia="zh-CN"/>
              </w:rPr>
            </w:pPr>
          </w:p>
        </w:tc>
        <w:tc>
          <w:tcPr>
            <w:tcW w:w="860" w:type="dxa"/>
            <w:vMerge w:val="continue"/>
            <w:noWrap w:val="0"/>
            <w:vAlign w:val="center"/>
          </w:tcPr>
          <w:p w14:paraId="53577CA1">
            <w:pPr>
              <w:pStyle w:val="245"/>
              <w:spacing w:line="240" w:lineRule="auto"/>
              <w:jc w:val="center"/>
              <w:rPr>
                <w:rFonts w:hint="eastAsia" w:eastAsia="宋体"/>
                <w:color w:val="auto"/>
                <w:highlight w:val="none"/>
                <w:lang w:val="en-US" w:eastAsia="zh-CN"/>
              </w:rPr>
            </w:pPr>
          </w:p>
        </w:tc>
        <w:tc>
          <w:tcPr>
            <w:tcW w:w="697" w:type="dxa"/>
            <w:vMerge w:val="continue"/>
            <w:noWrap w:val="0"/>
            <w:vAlign w:val="center"/>
          </w:tcPr>
          <w:p w14:paraId="0565474E">
            <w:pPr>
              <w:pStyle w:val="245"/>
              <w:spacing w:line="240" w:lineRule="auto"/>
              <w:jc w:val="center"/>
              <w:rPr>
                <w:rFonts w:hint="eastAsia" w:eastAsia="宋体"/>
                <w:color w:val="auto"/>
                <w:highlight w:val="none"/>
                <w:lang w:val="en-US" w:eastAsia="zh-CN"/>
              </w:rPr>
            </w:pPr>
          </w:p>
        </w:tc>
        <w:tc>
          <w:tcPr>
            <w:tcW w:w="1422" w:type="dxa"/>
            <w:vMerge w:val="continue"/>
            <w:noWrap w:val="0"/>
            <w:vAlign w:val="center"/>
          </w:tcPr>
          <w:p w14:paraId="70C325F4">
            <w:pPr>
              <w:pStyle w:val="245"/>
              <w:spacing w:line="240" w:lineRule="auto"/>
              <w:jc w:val="center"/>
              <w:rPr>
                <w:color w:val="auto"/>
                <w:highlight w:val="none"/>
              </w:rPr>
            </w:pPr>
          </w:p>
        </w:tc>
      </w:tr>
      <w:tr w14:paraId="5139AD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vMerge w:val="restart"/>
            <w:noWrap w:val="0"/>
            <w:vAlign w:val="center"/>
          </w:tcPr>
          <w:p w14:paraId="5F840B5F">
            <w:pPr>
              <w:pStyle w:val="245"/>
              <w:spacing w:line="240" w:lineRule="auto"/>
              <w:jc w:val="center"/>
              <w:rPr>
                <w:color w:val="auto"/>
                <w:highlight w:val="none"/>
              </w:rPr>
            </w:pPr>
            <w:r>
              <w:rPr>
                <w:rFonts w:hint="eastAsia"/>
                <w:color w:val="auto"/>
                <w:highlight w:val="none"/>
                <w:lang w:val="en-US" w:eastAsia="zh-CN"/>
              </w:rPr>
              <w:t>W5</w:t>
            </w:r>
          </w:p>
        </w:tc>
        <w:tc>
          <w:tcPr>
            <w:tcW w:w="0" w:type="auto"/>
            <w:vMerge w:val="restart"/>
            <w:noWrap w:val="0"/>
            <w:vAlign w:val="center"/>
          </w:tcPr>
          <w:p w14:paraId="09E945F2">
            <w:pPr>
              <w:pStyle w:val="245"/>
              <w:spacing w:line="240" w:lineRule="auto"/>
              <w:jc w:val="center"/>
              <w:rPr>
                <w:color w:val="auto"/>
                <w:highlight w:val="none"/>
              </w:rPr>
            </w:pPr>
            <w:r>
              <w:rPr>
                <w:color w:val="auto"/>
                <w:highlight w:val="none"/>
              </w:rPr>
              <w:t>生活废水</w:t>
            </w:r>
          </w:p>
        </w:tc>
        <w:tc>
          <w:tcPr>
            <w:tcW w:w="856" w:type="dxa"/>
            <w:vMerge w:val="restart"/>
            <w:noWrap w:val="0"/>
            <w:vAlign w:val="center"/>
          </w:tcPr>
          <w:p w14:paraId="45EF97F8">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432</w:t>
            </w:r>
          </w:p>
        </w:tc>
        <w:tc>
          <w:tcPr>
            <w:tcW w:w="690" w:type="dxa"/>
            <w:noWrap w:val="0"/>
            <w:vAlign w:val="center"/>
          </w:tcPr>
          <w:p w14:paraId="719924D6">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pH</w:t>
            </w:r>
          </w:p>
        </w:tc>
        <w:tc>
          <w:tcPr>
            <w:tcW w:w="1667" w:type="dxa"/>
            <w:gridSpan w:val="2"/>
            <w:noWrap w:val="0"/>
            <w:vAlign w:val="center"/>
          </w:tcPr>
          <w:p w14:paraId="3F679D2A">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6-9</w:t>
            </w:r>
          </w:p>
        </w:tc>
        <w:tc>
          <w:tcPr>
            <w:tcW w:w="1557" w:type="dxa"/>
            <w:gridSpan w:val="2"/>
            <w:noWrap w:val="0"/>
            <w:vAlign w:val="center"/>
          </w:tcPr>
          <w:p w14:paraId="56D7274F">
            <w:pPr>
              <w:pStyle w:val="245"/>
              <w:spacing w:line="240" w:lineRule="auto"/>
              <w:jc w:val="center"/>
              <w:rPr>
                <w:rFonts w:hint="eastAsia"/>
                <w:color w:val="auto"/>
                <w:highlight w:val="none"/>
              </w:rPr>
            </w:pPr>
            <w:r>
              <w:rPr>
                <w:rFonts w:hint="eastAsia"/>
                <w:color w:val="auto"/>
                <w:highlight w:val="none"/>
                <w:lang w:val="en-US" w:eastAsia="zh-CN"/>
              </w:rPr>
              <w:t>6-9</w:t>
            </w:r>
          </w:p>
        </w:tc>
        <w:tc>
          <w:tcPr>
            <w:tcW w:w="1422" w:type="dxa"/>
            <w:vMerge w:val="restart"/>
            <w:noWrap w:val="0"/>
            <w:vAlign w:val="center"/>
          </w:tcPr>
          <w:p w14:paraId="0F0352D8">
            <w:pPr>
              <w:pStyle w:val="245"/>
              <w:spacing w:line="240" w:lineRule="auto"/>
              <w:jc w:val="center"/>
              <w:rPr>
                <w:color w:val="auto"/>
                <w:highlight w:val="none"/>
              </w:rPr>
            </w:pPr>
            <w:r>
              <w:rPr>
                <w:rFonts w:hint="eastAsia"/>
                <w:color w:val="auto"/>
                <w:highlight w:val="none"/>
                <w:lang w:val="en-US" w:eastAsia="zh-CN"/>
              </w:rPr>
              <w:t>拉运至诺尔镇污水处理厂</w:t>
            </w:r>
          </w:p>
        </w:tc>
      </w:tr>
      <w:tr w14:paraId="37BAB4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vMerge w:val="continue"/>
            <w:noWrap w:val="0"/>
            <w:vAlign w:val="center"/>
          </w:tcPr>
          <w:p w14:paraId="688C7E91">
            <w:pPr>
              <w:pStyle w:val="245"/>
              <w:spacing w:line="240" w:lineRule="auto"/>
              <w:jc w:val="center"/>
              <w:rPr>
                <w:rFonts w:hint="eastAsia"/>
                <w:color w:val="auto"/>
                <w:highlight w:val="none"/>
                <w:lang w:val="en-US" w:eastAsia="zh-CN"/>
              </w:rPr>
            </w:pPr>
          </w:p>
        </w:tc>
        <w:tc>
          <w:tcPr>
            <w:tcW w:w="0" w:type="auto"/>
            <w:vMerge w:val="continue"/>
            <w:noWrap w:val="0"/>
            <w:vAlign w:val="center"/>
          </w:tcPr>
          <w:p w14:paraId="6532862A">
            <w:pPr>
              <w:pStyle w:val="245"/>
              <w:spacing w:line="240" w:lineRule="auto"/>
              <w:jc w:val="center"/>
              <w:rPr>
                <w:color w:val="auto"/>
                <w:highlight w:val="none"/>
              </w:rPr>
            </w:pPr>
          </w:p>
        </w:tc>
        <w:tc>
          <w:tcPr>
            <w:tcW w:w="856" w:type="dxa"/>
            <w:vMerge w:val="continue"/>
            <w:noWrap w:val="0"/>
            <w:vAlign w:val="center"/>
          </w:tcPr>
          <w:p w14:paraId="0F0A6DD1">
            <w:pPr>
              <w:pStyle w:val="245"/>
              <w:spacing w:line="240" w:lineRule="auto"/>
              <w:jc w:val="center"/>
              <w:rPr>
                <w:rFonts w:hint="eastAsia"/>
                <w:color w:val="auto"/>
                <w:highlight w:val="none"/>
                <w:lang w:val="en-US" w:eastAsia="zh-CN"/>
              </w:rPr>
            </w:pPr>
          </w:p>
        </w:tc>
        <w:tc>
          <w:tcPr>
            <w:tcW w:w="690" w:type="dxa"/>
            <w:noWrap w:val="0"/>
            <w:vAlign w:val="center"/>
          </w:tcPr>
          <w:p w14:paraId="3ABF267A">
            <w:pPr>
              <w:pStyle w:val="245"/>
              <w:spacing w:line="240" w:lineRule="auto"/>
              <w:ind w:firstLine="0" w:firstLineChars="0"/>
              <w:jc w:val="center"/>
              <w:rPr>
                <w:rFonts w:hint="eastAsia" w:ascii="Times New Roman" w:hAnsi="Times New Roman" w:eastAsia="宋体" w:cs="Times New Roman"/>
                <w:color w:val="auto"/>
                <w:kern w:val="2"/>
                <w:sz w:val="21"/>
                <w:szCs w:val="22"/>
                <w:highlight w:val="none"/>
                <w:lang w:val="en-US" w:eastAsia="zh-CN" w:bidi="ar-SA"/>
              </w:rPr>
            </w:pPr>
            <w:r>
              <w:rPr>
                <w:color w:val="auto"/>
                <w:highlight w:val="none"/>
              </w:rPr>
              <w:t>COD</w:t>
            </w:r>
          </w:p>
        </w:tc>
        <w:tc>
          <w:tcPr>
            <w:tcW w:w="964" w:type="dxa"/>
            <w:noWrap w:val="0"/>
            <w:vAlign w:val="center"/>
          </w:tcPr>
          <w:p w14:paraId="10032589">
            <w:pPr>
              <w:pStyle w:val="245"/>
              <w:spacing w:line="240" w:lineRule="auto"/>
              <w:ind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400</w:t>
            </w:r>
          </w:p>
        </w:tc>
        <w:tc>
          <w:tcPr>
            <w:tcW w:w="703" w:type="dxa"/>
            <w:noWrap w:val="0"/>
            <w:vAlign w:val="center"/>
          </w:tcPr>
          <w:p w14:paraId="62A0FB49">
            <w:pPr>
              <w:pStyle w:val="245"/>
              <w:spacing w:line="240" w:lineRule="auto"/>
              <w:ind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172.8</w:t>
            </w:r>
          </w:p>
        </w:tc>
        <w:tc>
          <w:tcPr>
            <w:tcW w:w="0" w:type="auto"/>
            <w:noWrap w:val="0"/>
            <w:vAlign w:val="center"/>
          </w:tcPr>
          <w:p w14:paraId="221B324F">
            <w:pPr>
              <w:pStyle w:val="245"/>
              <w:spacing w:line="240" w:lineRule="auto"/>
              <w:ind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350</w:t>
            </w:r>
          </w:p>
        </w:tc>
        <w:tc>
          <w:tcPr>
            <w:tcW w:w="0" w:type="auto"/>
            <w:noWrap w:val="0"/>
            <w:vAlign w:val="center"/>
          </w:tcPr>
          <w:p w14:paraId="4D06A7C9">
            <w:pPr>
              <w:pStyle w:val="245"/>
              <w:spacing w:line="240" w:lineRule="auto"/>
              <w:ind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151.2</w:t>
            </w:r>
          </w:p>
        </w:tc>
        <w:tc>
          <w:tcPr>
            <w:tcW w:w="1422" w:type="dxa"/>
            <w:vMerge w:val="continue"/>
            <w:noWrap w:val="0"/>
            <w:vAlign w:val="center"/>
          </w:tcPr>
          <w:p w14:paraId="17574527">
            <w:pPr>
              <w:pStyle w:val="245"/>
              <w:spacing w:line="240" w:lineRule="auto"/>
              <w:jc w:val="center"/>
              <w:rPr>
                <w:rFonts w:hint="eastAsia"/>
                <w:color w:val="auto"/>
                <w:highlight w:val="none"/>
                <w:lang w:val="en-US" w:eastAsia="zh-CN"/>
              </w:rPr>
            </w:pPr>
          </w:p>
        </w:tc>
      </w:tr>
      <w:tr w14:paraId="5A7F88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vMerge w:val="continue"/>
            <w:noWrap w:val="0"/>
            <w:vAlign w:val="center"/>
          </w:tcPr>
          <w:p w14:paraId="1BAEF8A9">
            <w:pPr>
              <w:pStyle w:val="245"/>
              <w:spacing w:line="240" w:lineRule="auto"/>
              <w:jc w:val="center"/>
              <w:rPr>
                <w:rFonts w:hint="eastAsia"/>
                <w:color w:val="auto"/>
                <w:highlight w:val="none"/>
                <w:lang w:val="en-US" w:eastAsia="zh-CN"/>
              </w:rPr>
            </w:pPr>
          </w:p>
        </w:tc>
        <w:tc>
          <w:tcPr>
            <w:tcW w:w="0" w:type="auto"/>
            <w:vMerge w:val="continue"/>
            <w:noWrap w:val="0"/>
            <w:vAlign w:val="center"/>
          </w:tcPr>
          <w:p w14:paraId="357DC618">
            <w:pPr>
              <w:pStyle w:val="245"/>
              <w:spacing w:line="240" w:lineRule="auto"/>
              <w:jc w:val="center"/>
              <w:rPr>
                <w:color w:val="auto"/>
                <w:highlight w:val="none"/>
              </w:rPr>
            </w:pPr>
          </w:p>
        </w:tc>
        <w:tc>
          <w:tcPr>
            <w:tcW w:w="856" w:type="dxa"/>
            <w:vMerge w:val="continue"/>
            <w:noWrap w:val="0"/>
            <w:vAlign w:val="center"/>
          </w:tcPr>
          <w:p w14:paraId="543513FC">
            <w:pPr>
              <w:pStyle w:val="245"/>
              <w:spacing w:line="240" w:lineRule="auto"/>
              <w:jc w:val="center"/>
              <w:rPr>
                <w:rFonts w:hint="eastAsia"/>
                <w:color w:val="auto"/>
                <w:highlight w:val="none"/>
                <w:lang w:val="en-US" w:eastAsia="zh-CN"/>
              </w:rPr>
            </w:pPr>
          </w:p>
        </w:tc>
        <w:tc>
          <w:tcPr>
            <w:tcW w:w="690" w:type="dxa"/>
            <w:noWrap w:val="0"/>
            <w:vAlign w:val="center"/>
          </w:tcPr>
          <w:p w14:paraId="7AC57724">
            <w:pPr>
              <w:pStyle w:val="245"/>
              <w:spacing w:line="240" w:lineRule="auto"/>
              <w:ind w:firstLine="0" w:firstLineChars="0"/>
              <w:jc w:val="center"/>
              <w:rPr>
                <w:rFonts w:ascii="Times New Roman" w:hAnsi="Times New Roman" w:eastAsia="宋体" w:cs="Times New Roman"/>
                <w:color w:val="auto"/>
                <w:kern w:val="2"/>
                <w:sz w:val="21"/>
                <w:szCs w:val="22"/>
                <w:highlight w:val="none"/>
                <w:lang w:val="en-US" w:eastAsia="zh-CN" w:bidi="ar-SA"/>
              </w:rPr>
            </w:pPr>
            <w:r>
              <w:rPr>
                <w:color w:val="auto"/>
                <w:highlight w:val="none"/>
              </w:rPr>
              <w:t>BOD</w:t>
            </w:r>
            <w:r>
              <w:rPr>
                <w:color w:val="auto"/>
                <w:highlight w:val="none"/>
                <w:vertAlign w:val="subscript"/>
              </w:rPr>
              <w:t>5</w:t>
            </w:r>
          </w:p>
        </w:tc>
        <w:tc>
          <w:tcPr>
            <w:tcW w:w="964" w:type="dxa"/>
            <w:noWrap w:val="0"/>
            <w:vAlign w:val="center"/>
          </w:tcPr>
          <w:p w14:paraId="3A36E76E">
            <w:pPr>
              <w:pStyle w:val="245"/>
              <w:spacing w:line="240" w:lineRule="auto"/>
              <w:ind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300</w:t>
            </w:r>
          </w:p>
        </w:tc>
        <w:tc>
          <w:tcPr>
            <w:tcW w:w="703" w:type="dxa"/>
            <w:noWrap w:val="0"/>
            <w:vAlign w:val="center"/>
          </w:tcPr>
          <w:p w14:paraId="4D1D3AB0">
            <w:pPr>
              <w:pStyle w:val="245"/>
              <w:spacing w:line="240" w:lineRule="auto"/>
              <w:ind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129.6</w:t>
            </w:r>
          </w:p>
        </w:tc>
        <w:tc>
          <w:tcPr>
            <w:tcW w:w="0" w:type="auto"/>
            <w:noWrap w:val="0"/>
            <w:vAlign w:val="center"/>
          </w:tcPr>
          <w:p w14:paraId="5A5EEE2F">
            <w:pPr>
              <w:pStyle w:val="245"/>
              <w:spacing w:line="240" w:lineRule="auto"/>
              <w:ind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250</w:t>
            </w:r>
          </w:p>
        </w:tc>
        <w:tc>
          <w:tcPr>
            <w:tcW w:w="0" w:type="auto"/>
            <w:noWrap w:val="0"/>
            <w:vAlign w:val="center"/>
          </w:tcPr>
          <w:p w14:paraId="68959489">
            <w:pPr>
              <w:pStyle w:val="245"/>
              <w:spacing w:line="240" w:lineRule="auto"/>
              <w:ind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108.0</w:t>
            </w:r>
          </w:p>
        </w:tc>
        <w:tc>
          <w:tcPr>
            <w:tcW w:w="1422" w:type="dxa"/>
            <w:vMerge w:val="continue"/>
            <w:noWrap w:val="0"/>
            <w:vAlign w:val="center"/>
          </w:tcPr>
          <w:p w14:paraId="5AB9C7B9">
            <w:pPr>
              <w:pStyle w:val="245"/>
              <w:spacing w:line="240" w:lineRule="auto"/>
              <w:jc w:val="center"/>
              <w:rPr>
                <w:rFonts w:hint="eastAsia"/>
                <w:color w:val="auto"/>
                <w:highlight w:val="none"/>
                <w:lang w:val="en-US" w:eastAsia="zh-CN"/>
              </w:rPr>
            </w:pPr>
          </w:p>
        </w:tc>
      </w:tr>
      <w:tr w14:paraId="0E3FAB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vMerge w:val="continue"/>
            <w:noWrap w:val="0"/>
            <w:vAlign w:val="center"/>
          </w:tcPr>
          <w:p w14:paraId="0252D25A">
            <w:pPr>
              <w:pStyle w:val="245"/>
              <w:spacing w:line="240" w:lineRule="auto"/>
              <w:jc w:val="center"/>
              <w:rPr>
                <w:color w:val="auto"/>
                <w:highlight w:val="none"/>
              </w:rPr>
            </w:pPr>
          </w:p>
        </w:tc>
        <w:tc>
          <w:tcPr>
            <w:tcW w:w="0" w:type="auto"/>
            <w:vMerge w:val="continue"/>
            <w:noWrap w:val="0"/>
            <w:vAlign w:val="center"/>
          </w:tcPr>
          <w:p w14:paraId="42D2CB00">
            <w:pPr>
              <w:pStyle w:val="245"/>
              <w:spacing w:line="240" w:lineRule="auto"/>
              <w:jc w:val="center"/>
              <w:rPr>
                <w:color w:val="auto"/>
                <w:highlight w:val="none"/>
              </w:rPr>
            </w:pPr>
          </w:p>
        </w:tc>
        <w:tc>
          <w:tcPr>
            <w:tcW w:w="856" w:type="dxa"/>
            <w:vMerge w:val="continue"/>
            <w:noWrap w:val="0"/>
            <w:vAlign w:val="center"/>
          </w:tcPr>
          <w:p w14:paraId="6F9FBF14">
            <w:pPr>
              <w:pStyle w:val="245"/>
              <w:spacing w:line="240" w:lineRule="auto"/>
              <w:jc w:val="center"/>
              <w:rPr>
                <w:color w:val="auto"/>
                <w:highlight w:val="none"/>
              </w:rPr>
            </w:pPr>
          </w:p>
        </w:tc>
        <w:tc>
          <w:tcPr>
            <w:tcW w:w="690" w:type="dxa"/>
            <w:noWrap w:val="0"/>
            <w:vAlign w:val="center"/>
          </w:tcPr>
          <w:p w14:paraId="177107F0">
            <w:pPr>
              <w:pStyle w:val="245"/>
              <w:spacing w:line="240" w:lineRule="auto"/>
              <w:jc w:val="center"/>
              <w:rPr>
                <w:color w:val="auto"/>
                <w:highlight w:val="none"/>
              </w:rPr>
            </w:pPr>
            <w:r>
              <w:rPr>
                <w:color w:val="auto"/>
                <w:highlight w:val="none"/>
              </w:rPr>
              <w:t>SS</w:t>
            </w:r>
          </w:p>
        </w:tc>
        <w:tc>
          <w:tcPr>
            <w:tcW w:w="964" w:type="dxa"/>
            <w:noWrap w:val="0"/>
            <w:vAlign w:val="center"/>
          </w:tcPr>
          <w:p w14:paraId="4B2A9A3B">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300</w:t>
            </w:r>
          </w:p>
        </w:tc>
        <w:tc>
          <w:tcPr>
            <w:tcW w:w="703" w:type="dxa"/>
            <w:noWrap w:val="0"/>
            <w:vAlign w:val="center"/>
          </w:tcPr>
          <w:p w14:paraId="0E63ADF1">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129.6</w:t>
            </w:r>
          </w:p>
        </w:tc>
        <w:tc>
          <w:tcPr>
            <w:tcW w:w="0" w:type="auto"/>
            <w:noWrap w:val="0"/>
            <w:vAlign w:val="center"/>
          </w:tcPr>
          <w:p w14:paraId="51F4E266">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150</w:t>
            </w:r>
          </w:p>
        </w:tc>
        <w:tc>
          <w:tcPr>
            <w:tcW w:w="0" w:type="auto"/>
            <w:noWrap w:val="0"/>
            <w:vAlign w:val="center"/>
          </w:tcPr>
          <w:p w14:paraId="1391704D">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64.8</w:t>
            </w:r>
          </w:p>
        </w:tc>
        <w:tc>
          <w:tcPr>
            <w:tcW w:w="1422" w:type="dxa"/>
            <w:vMerge w:val="continue"/>
            <w:noWrap w:val="0"/>
            <w:vAlign w:val="center"/>
          </w:tcPr>
          <w:p w14:paraId="5A1237C2">
            <w:pPr>
              <w:pStyle w:val="245"/>
              <w:spacing w:line="240" w:lineRule="auto"/>
              <w:jc w:val="center"/>
              <w:rPr>
                <w:color w:val="auto"/>
                <w:highlight w:val="none"/>
              </w:rPr>
            </w:pPr>
          </w:p>
        </w:tc>
      </w:tr>
      <w:tr w14:paraId="244D32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0" w:type="auto"/>
            <w:vMerge w:val="continue"/>
            <w:noWrap w:val="0"/>
            <w:vAlign w:val="center"/>
          </w:tcPr>
          <w:p w14:paraId="091386D7">
            <w:pPr>
              <w:pStyle w:val="245"/>
              <w:spacing w:line="240" w:lineRule="auto"/>
              <w:jc w:val="center"/>
              <w:rPr>
                <w:color w:val="auto"/>
                <w:highlight w:val="none"/>
              </w:rPr>
            </w:pPr>
          </w:p>
        </w:tc>
        <w:tc>
          <w:tcPr>
            <w:tcW w:w="0" w:type="auto"/>
            <w:vMerge w:val="continue"/>
            <w:noWrap w:val="0"/>
            <w:vAlign w:val="center"/>
          </w:tcPr>
          <w:p w14:paraId="4C617CDA">
            <w:pPr>
              <w:pStyle w:val="245"/>
              <w:spacing w:line="240" w:lineRule="auto"/>
              <w:jc w:val="center"/>
              <w:rPr>
                <w:color w:val="auto"/>
                <w:highlight w:val="none"/>
              </w:rPr>
            </w:pPr>
          </w:p>
        </w:tc>
        <w:tc>
          <w:tcPr>
            <w:tcW w:w="856" w:type="dxa"/>
            <w:vMerge w:val="continue"/>
            <w:noWrap w:val="0"/>
            <w:vAlign w:val="center"/>
          </w:tcPr>
          <w:p w14:paraId="15D1ACC0">
            <w:pPr>
              <w:pStyle w:val="245"/>
              <w:spacing w:line="240" w:lineRule="auto"/>
              <w:jc w:val="center"/>
              <w:rPr>
                <w:color w:val="auto"/>
                <w:highlight w:val="none"/>
              </w:rPr>
            </w:pPr>
          </w:p>
        </w:tc>
        <w:tc>
          <w:tcPr>
            <w:tcW w:w="690" w:type="dxa"/>
            <w:noWrap w:val="0"/>
            <w:vAlign w:val="center"/>
          </w:tcPr>
          <w:p w14:paraId="4AB6575E">
            <w:pPr>
              <w:pStyle w:val="245"/>
              <w:spacing w:line="240" w:lineRule="auto"/>
              <w:jc w:val="center"/>
              <w:rPr>
                <w:color w:val="auto"/>
                <w:highlight w:val="none"/>
              </w:rPr>
            </w:pPr>
            <w:r>
              <w:rPr>
                <w:color w:val="auto"/>
                <w:highlight w:val="none"/>
              </w:rPr>
              <w:t>氨氮</w:t>
            </w:r>
          </w:p>
        </w:tc>
        <w:tc>
          <w:tcPr>
            <w:tcW w:w="964" w:type="dxa"/>
            <w:noWrap w:val="0"/>
            <w:vAlign w:val="center"/>
          </w:tcPr>
          <w:p w14:paraId="581C08E3">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35</w:t>
            </w:r>
          </w:p>
        </w:tc>
        <w:tc>
          <w:tcPr>
            <w:tcW w:w="703" w:type="dxa"/>
            <w:noWrap w:val="0"/>
            <w:vAlign w:val="center"/>
          </w:tcPr>
          <w:p w14:paraId="72101FA1">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15.12</w:t>
            </w:r>
          </w:p>
        </w:tc>
        <w:tc>
          <w:tcPr>
            <w:tcW w:w="0" w:type="auto"/>
            <w:noWrap w:val="0"/>
            <w:vAlign w:val="center"/>
          </w:tcPr>
          <w:p w14:paraId="756967C3">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30</w:t>
            </w:r>
          </w:p>
        </w:tc>
        <w:tc>
          <w:tcPr>
            <w:tcW w:w="0" w:type="auto"/>
            <w:noWrap w:val="0"/>
            <w:vAlign w:val="center"/>
          </w:tcPr>
          <w:p w14:paraId="3CC10413">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12.96</w:t>
            </w:r>
          </w:p>
        </w:tc>
        <w:tc>
          <w:tcPr>
            <w:tcW w:w="1422" w:type="dxa"/>
            <w:vMerge w:val="continue"/>
            <w:noWrap w:val="0"/>
            <w:vAlign w:val="center"/>
          </w:tcPr>
          <w:p w14:paraId="2E74DF48">
            <w:pPr>
              <w:pStyle w:val="245"/>
              <w:spacing w:line="240" w:lineRule="auto"/>
              <w:jc w:val="center"/>
              <w:rPr>
                <w:color w:val="auto"/>
                <w:highlight w:val="none"/>
              </w:rPr>
            </w:pPr>
          </w:p>
        </w:tc>
      </w:tr>
    </w:tbl>
    <w:p w14:paraId="5DB407AF">
      <w:pPr>
        <w:pStyle w:val="6"/>
        <w:rPr>
          <w:color w:val="auto"/>
          <w:highlight w:val="none"/>
        </w:rPr>
      </w:pPr>
      <w:r>
        <w:rPr>
          <w:rFonts w:hint="eastAsia"/>
          <w:color w:val="auto"/>
          <w:highlight w:val="none"/>
          <w:lang w:val="en-US" w:eastAsia="zh-CN"/>
        </w:rPr>
        <w:t xml:space="preserve"> </w:t>
      </w:r>
      <w:r>
        <w:rPr>
          <w:rFonts w:hint="eastAsia"/>
          <w:color w:val="auto"/>
          <w:highlight w:val="none"/>
        </w:rPr>
        <w:t>固废</w:t>
      </w:r>
    </w:p>
    <w:p w14:paraId="79CD8C36">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本项目产生的固体废物种类有一般工业固体废物、危险废物和生活垃圾。其中一般工业固废废物主要包括除尘灰、尾矿砂和废钢球；危险废物主要为机修过程产生的废机油和废油桶等。</w:t>
      </w:r>
    </w:p>
    <w:p w14:paraId="6096ADBA">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）除尘灰</w:t>
      </w:r>
      <w:r>
        <w:rPr>
          <w:rFonts w:hint="eastAsia" w:ascii="Times New Roman" w:hAnsi="Times New Roman" w:cs="Times New Roman"/>
          <w:color w:val="auto"/>
          <w:highlight w:val="none"/>
          <w:lang w:val="en-US" w:eastAsia="zh-CN"/>
        </w:rPr>
        <w:t>（S1）</w:t>
      </w:r>
    </w:p>
    <w:p w14:paraId="32577FC2">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破碎、筛分</w:t>
      </w:r>
      <w:r>
        <w:rPr>
          <w:rFonts w:hint="eastAsia" w:ascii="Times New Roman" w:hAnsi="Times New Roman" w:cs="Times New Roman"/>
          <w:color w:val="auto"/>
          <w:highlight w:val="none"/>
          <w:lang w:val="en-US" w:eastAsia="zh-CN"/>
        </w:rPr>
        <w:t>工序</w:t>
      </w:r>
      <w:r>
        <w:rPr>
          <w:rFonts w:hint="eastAsia" w:ascii="Times New Roman" w:hAnsi="Times New Roman" w:eastAsia="宋体" w:cs="Times New Roman"/>
          <w:color w:val="auto"/>
          <w:highlight w:val="none"/>
          <w:lang w:val="en-US" w:eastAsia="zh-CN"/>
        </w:rPr>
        <w:t>产生的</w:t>
      </w:r>
      <w:r>
        <w:rPr>
          <w:rFonts w:hint="eastAsia" w:ascii="Times New Roman" w:hAnsi="Times New Roman" w:cs="Times New Roman"/>
          <w:color w:val="auto"/>
          <w:highlight w:val="none"/>
          <w:lang w:val="en-US" w:eastAsia="zh-CN"/>
        </w:rPr>
        <w:t>粉尘废气采用袋式除尘器进行过滤净化处理，布袋收集的除尘灰</w:t>
      </w:r>
      <w:r>
        <w:rPr>
          <w:rFonts w:hint="eastAsia" w:ascii="Times New Roman" w:hAnsi="Times New Roman" w:eastAsia="宋体" w:cs="Times New Roman"/>
          <w:color w:val="auto"/>
          <w:highlight w:val="none"/>
          <w:lang w:val="en-US" w:eastAsia="zh-CN"/>
        </w:rPr>
        <w:t>约</w:t>
      </w:r>
      <w:r>
        <w:rPr>
          <w:rFonts w:hint="eastAsia" w:cs="Times New Roman"/>
          <w:color w:val="auto"/>
          <w:highlight w:val="none"/>
          <w:lang w:val="en-US" w:eastAsia="zh-CN"/>
        </w:rPr>
        <w:t>3.34</w:t>
      </w:r>
      <w:r>
        <w:rPr>
          <w:rFonts w:hint="eastAsia" w:ascii="Times New Roman" w:hAnsi="Times New Roman" w:eastAsia="宋体" w:cs="Times New Roman"/>
          <w:color w:val="auto"/>
          <w:highlight w:val="none"/>
          <w:lang w:val="en-US" w:eastAsia="zh-CN"/>
        </w:rPr>
        <w:t>t/a，</w:t>
      </w:r>
      <w:r>
        <w:rPr>
          <w:rFonts w:hint="eastAsia" w:ascii="Times New Roman" w:hAnsi="Times New Roman" w:cs="Times New Roman"/>
          <w:color w:val="auto"/>
          <w:highlight w:val="none"/>
          <w:lang w:val="en-US" w:eastAsia="zh-CN"/>
        </w:rPr>
        <w:t>主要为含有</w:t>
      </w:r>
      <w:r>
        <w:rPr>
          <w:rFonts w:hint="eastAsia" w:ascii="Times New Roman" w:hAnsi="Times New Roman" w:eastAsia="宋体" w:cs="Times New Roman"/>
          <w:color w:val="auto"/>
          <w:highlight w:val="none"/>
          <w:lang w:val="en-US" w:eastAsia="zh-CN"/>
        </w:rPr>
        <w:t>CaF</w:t>
      </w:r>
      <w:r>
        <w:rPr>
          <w:rFonts w:hint="eastAsia" w:ascii="Times New Roman" w:hAnsi="Times New Roman" w:eastAsia="宋体"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的颗粒物。收集的除尘灰</w:t>
      </w:r>
      <w:r>
        <w:rPr>
          <w:rFonts w:hint="eastAsia"/>
          <w:color w:val="auto"/>
          <w:highlight w:val="none"/>
          <w:lang w:val="en-US" w:eastAsia="zh-CN"/>
        </w:rPr>
        <w:t>直接送入球磨、洗选工序，回收精矿粉，不外排</w:t>
      </w:r>
      <w:r>
        <w:rPr>
          <w:rFonts w:hint="eastAsia" w:ascii="Times New Roman" w:hAnsi="Times New Roman" w:eastAsia="宋体" w:cs="Times New Roman"/>
          <w:color w:val="auto"/>
          <w:highlight w:val="none"/>
          <w:lang w:val="en-US" w:eastAsia="zh-CN"/>
        </w:rPr>
        <w:t>。</w:t>
      </w:r>
    </w:p>
    <w:p w14:paraId="63AA85FF">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）废钢球</w:t>
      </w:r>
      <w:r>
        <w:rPr>
          <w:rFonts w:hint="eastAsia" w:ascii="Times New Roman" w:hAnsi="Times New Roman" w:cs="Times New Roman"/>
          <w:color w:val="auto"/>
          <w:highlight w:val="none"/>
          <w:lang w:val="en-US" w:eastAsia="zh-CN"/>
        </w:rPr>
        <w:t>（S2）</w:t>
      </w:r>
    </w:p>
    <w:p w14:paraId="07D28864">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球磨机在运转一段时间后，内部钢球由于不停的碰撞，会慢慢的变小、磨损，定期对内部钢球进行清理，把不能使用的钢球清理出来，重新加入新的钢球，1年更换1次钢球，根据建设单位提供，</w:t>
      </w:r>
      <w:r>
        <w:rPr>
          <w:rFonts w:hint="eastAsia" w:ascii="Times New Roman" w:hAnsi="Times New Roman"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年产生废钢球</w:t>
      </w:r>
      <w:r>
        <w:rPr>
          <w:rFonts w:hint="eastAsia" w:ascii="Times New Roman" w:hAnsi="Times New Roman" w:cs="Times New Roman"/>
          <w:color w:val="auto"/>
          <w:highlight w:val="none"/>
          <w:lang w:val="en-US" w:eastAsia="zh-CN"/>
        </w:rPr>
        <w:t>3.5</w:t>
      </w:r>
      <w:r>
        <w:rPr>
          <w:rFonts w:hint="eastAsia" w:ascii="Times New Roman" w:hAnsi="Times New Roman" w:eastAsia="宋体" w:cs="Times New Roman"/>
          <w:color w:val="auto"/>
          <w:highlight w:val="none"/>
          <w:lang w:val="en-US" w:eastAsia="zh-CN"/>
        </w:rPr>
        <w:t>t/a，</w:t>
      </w:r>
      <w:r>
        <w:rPr>
          <w:rFonts w:hint="eastAsia" w:ascii="Times New Roman" w:hAnsi="Times New Roman" w:cs="Times New Roman"/>
          <w:color w:val="auto"/>
          <w:highlight w:val="none"/>
          <w:lang w:val="en-US" w:eastAsia="zh-CN"/>
        </w:rPr>
        <w:t>属于一般工业固体废物，</w:t>
      </w:r>
      <w:r>
        <w:rPr>
          <w:rFonts w:hint="eastAsia" w:ascii="Times New Roman" w:hAnsi="Times New Roman" w:eastAsia="宋体" w:cs="Times New Roman"/>
          <w:color w:val="auto"/>
          <w:highlight w:val="none"/>
          <w:lang w:val="en-US" w:eastAsia="zh-CN"/>
        </w:rPr>
        <w:t>废钢球在</w:t>
      </w:r>
      <w:r>
        <w:rPr>
          <w:rFonts w:hint="eastAsia" w:ascii="Times New Roman" w:hAnsi="Times New Roman" w:cs="Times New Roman"/>
          <w:color w:val="auto"/>
          <w:highlight w:val="none"/>
          <w:lang w:val="en-US" w:eastAsia="zh-CN"/>
        </w:rPr>
        <w:t>第三方供应</w:t>
      </w:r>
      <w:r>
        <w:rPr>
          <w:rFonts w:hint="eastAsia" w:ascii="Times New Roman" w:hAnsi="Times New Roman" w:eastAsia="宋体" w:cs="Times New Roman"/>
          <w:color w:val="auto"/>
          <w:highlight w:val="none"/>
          <w:lang w:val="en-US" w:eastAsia="zh-CN"/>
        </w:rPr>
        <w:t>商更换回收</w:t>
      </w:r>
      <w:r>
        <w:rPr>
          <w:rFonts w:hint="eastAsia" w:ascii="Times New Roman" w:hAnsi="Times New Roman" w:cs="Times New Roman"/>
          <w:color w:val="auto"/>
          <w:highlight w:val="none"/>
          <w:lang w:val="en-US" w:eastAsia="zh-CN"/>
        </w:rPr>
        <w:t>再利用，不落地，不外排</w:t>
      </w:r>
      <w:r>
        <w:rPr>
          <w:rFonts w:hint="eastAsia" w:ascii="Times New Roman" w:hAnsi="Times New Roman" w:eastAsia="宋体" w:cs="Times New Roman"/>
          <w:color w:val="auto"/>
          <w:highlight w:val="none"/>
          <w:lang w:val="en-US" w:eastAsia="zh-CN"/>
        </w:rPr>
        <w:t>。</w:t>
      </w:r>
    </w:p>
    <w:p w14:paraId="09503121">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）废机油和废油桶</w:t>
      </w:r>
      <w:r>
        <w:rPr>
          <w:rFonts w:hint="eastAsia" w:ascii="Times New Roman" w:hAnsi="Times New Roman" w:cs="Times New Roman"/>
          <w:color w:val="auto"/>
          <w:highlight w:val="none"/>
          <w:lang w:val="en-US" w:eastAsia="zh-CN"/>
        </w:rPr>
        <w:t>（S3）</w:t>
      </w:r>
    </w:p>
    <w:p w14:paraId="3A43C09E">
      <w:pPr>
        <w:ind w:firstLine="48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本项目定期</w:t>
      </w:r>
      <w:r>
        <w:rPr>
          <w:rFonts w:hint="eastAsia"/>
          <w:b w:val="0"/>
          <w:bCs w:val="0"/>
          <w:color w:val="auto"/>
          <w:highlight w:val="none"/>
          <w:lang w:val="en-US" w:eastAsia="zh-CN"/>
        </w:rPr>
        <w:t>设备维修更换下的废机油产生量为3.0t/a，属于危险废物，</w:t>
      </w:r>
      <w:r>
        <w:rPr>
          <w:rFonts w:hint="eastAsia" w:ascii="Times New Roman" w:hAnsi="Times New Roman" w:eastAsia="宋体" w:cs="Times New Roman"/>
          <w:color w:val="auto"/>
          <w:highlight w:val="none"/>
          <w:lang w:val="en-US" w:eastAsia="zh-CN"/>
        </w:rPr>
        <w:t>《国家危险废物名录》（20</w:t>
      </w:r>
      <w:r>
        <w:rPr>
          <w:rFonts w:hint="eastAsia" w:cs="Times New Roman"/>
          <w:color w:val="auto"/>
          <w:highlight w:val="none"/>
          <w:lang w:val="en-US" w:eastAsia="zh-CN"/>
        </w:rPr>
        <w:t>25</w:t>
      </w:r>
      <w:r>
        <w:rPr>
          <w:rFonts w:hint="eastAsia" w:ascii="Times New Roman" w:hAnsi="Times New Roman" w:eastAsia="宋体" w:cs="Times New Roman"/>
          <w:color w:val="auto"/>
          <w:highlight w:val="none"/>
          <w:lang w:val="en-US" w:eastAsia="zh-CN"/>
        </w:rPr>
        <w:t>年版），废润滑油属于“HW08-废矿物油与含矿物油废物”，危废代码为</w:t>
      </w:r>
      <w:r>
        <w:rPr>
          <w:rFonts w:hint="eastAsia" w:ascii="Times New Roman" w:hAnsi="Times New Roman" w:eastAsia="宋体" w:cs="Times New Roman"/>
          <w:color w:val="auto"/>
          <w:highlight w:val="none"/>
          <w:u w:val="single"/>
          <w:lang w:val="en-US" w:eastAsia="zh-CN"/>
        </w:rPr>
        <w:t>900-214-08</w:t>
      </w:r>
      <w:r>
        <w:rPr>
          <w:rFonts w:hint="eastAsia" w:ascii="Times New Roman" w:hAnsi="Times New Roman" w:cs="Times New Roman"/>
          <w:color w:val="auto"/>
          <w:highlight w:val="none"/>
          <w:lang w:val="en-US" w:eastAsia="zh-CN"/>
        </w:rPr>
        <w:t>；废油桶</w:t>
      </w:r>
      <w:r>
        <w:rPr>
          <w:rFonts w:hint="eastAsia"/>
          <w:b w:val="0"/>
          <w:bCs w:val="0"/>
          <w:color w:val="auto"/>
          <w:highlight w:val="none"/>
          <w:lang w:val="en-US" w:eastAsia="zh-CN"/>
        </w:rPr>
        <w:t>产生量为0.03t/a，属于危险废物，</w:t>
      </w:r>
      <w:r>
        <w:rPr>
          <w:rFonts w:hint="eastAsia" w:ascii="Times New Roman" w:hAnsi="Times New Roman" w:eastAsia="宋体" w:cs="Times New Roman"/>
          <w:color w:val="auto"/>
          <w:highlight w:val="none"/>
          <w:lang w:val="en-US" w:eastAsia="zh-CN"/>
        </w:rPr>
        <w:t>废物类别“HW49-其他废物”，危废代码为</w:t>
      </w:r>
      <w:r>
        <w:rPr>
          <w:rFonts w:hint="eastAsia" w:ascii="Times New Roman" w:hAnsi="Times New Roman" w:eastAsia="宋体" w:cs="Times New Roman"/>
          <w:color w:val="auto"/>
          <w:highlight w:val="none"/>
          <w:u w:val="single"/>
          <w:lang w:val="en-US" w:eastAsia="zh-CN"/>
        </w:rPr>
        <w:t>900-</w:t>
      </w:r>
      <w:r>
        <w:rPr>
          <w:rFonts w:hint="eastAsia" w:cs="Times New Roman"/>
          <w:color w:val="auto"/>
          <w:highlight w:val="none"/>
          <w:u w:val="single"/>
          <w:lang w:val="en-US" w:eastAsia="zh-CN"/>
        </w:rPr>
        <w:t>249</w:t>
      </w:r>
      <w:r>
        <w:rPr>
          <w:rFonts w:hint="eastAsia" w:ascii="Times New Roman" w:hAnsi="Times New Roman" w:eastAsia="宋体" w:cs="Times New Roman"/>
          <w:color w:val="auto"/>
          <w:highlight w:val="none"/>
          <w:u w:val="single"/>
          <w:lang w:val="en-US" w:eastAsia="zh-CN"/>
        </w:rPr>
        <w:t>-</w:t>
      </w:r>
      <w:r>
        <w:rPr>
          <w:rFonts w:hint="eastAsia" w:cs="Times New Roman"/>
          <w:color w:val="auto"/>
          <w:highlight w:val="none"/>
          <w:u w:val="single"/>
          <w:lang w:val="en-US" w:eastAsia="zh-CN"/>
        </w:rPr>
        <w:t>08</w:t>
      </w:r>
      <w:r>
        <w:rPr>
          <w:rFonts w:hint="eastAsia" w:ascii="Times New Roman" w:hAnsi="Times New Roman" w:cs="Times New Roman"/>
          <w:color w:val="auto"/>
          <w:highlight w:val="none"/>
          <w:lang w:val="en-US" w:eastAsia="zh-CN"/>
        </w:rPr>
        <w:t>。产生的废机油置于废机油桶内，临时暂存于危险废物暂存间内，再定期委托具有危险废物经营许可证单位处置。</w:t>
      </w:r>
    </w:p>
    <w:p w14:paraId="0E10AF25">
      <w:pPr>
        <w:ind w:firstLine="48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（4）尾矿砂（S4）</w:t>
      </w:r>
    </w:p>
    <w:p w14:paraId="4E78ACCB">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本项目选矿过程中经压滤后尾矿砂产生量约17.5万t/a，根据类比</w:t>
      </w:r>
      <w:r>
        <w:rPr>
          <w:rFonts w:hint="default" w:ascii="Times New Roman" w:hAnsi="Times New Roman" w:eastAsia="宋体" w:cs="Times New Roman"/>
          <w:color w:val="auto"/>
          <w:highlight w:val="none"/>
          <w:lang w:val="en-US" w:eastAsia="zh-CN"/>
        </w:rPr>
        <w:t>内蒙古</w:t>
      </w:r>
      <w:r>
        <w:rPr>
          <w:rFonts w:hint="eastAsia" w:ascii="Times New Roman" w:hAnsi="Times New Roman" w:eastAsia="宋体" w:cs="Times New Roman"/>
          <w:color w:val="auto"/>
          <w:highlight w:val="none"/>
          <w:lang w:val="en-US" w:eastAsia="zh-CN"/>
        </w:rPr>
        <w:t>和合环境科技</w:t>
      </w:r>
      <w:r>
        <w:rPr>
          <w:rFonts w:hint="default" w:ascii="Times New Roman" w:hAnsi="Times New Roman" w:eastAsia="宋体" w:cs="Times New Roman"/>
          <w:color w:val="auto"/>
          <w:highlight w:val="none"/>
          <w:lang w:val="en-US" w:eastAsia="zh-CN"/>
        </w:rPr>
        <w:t>有限公司出具的</w:t>
      </w:r>
      <w:r>
        <w:rPr>
          <w:rFonts w:hint="eastAsia" w:ascii="Times New Roman" w:hAnsi="Times New Roman" w:eastAsia="宋体" w:cs="Times New Roman"/>
          <w:color w:val="auto"/>
          <w:highlight w:val="none"/>
          <w:lang w:val="en-US" w:eastAsia="zh-CN"/>
        </w:rPr>
        <w:t>《苏尼特右旗珑辉矿业有限责任公司萤石选厂尾砂检测报告》，确定，本项目产生尾矿砂属于第</w:t>
      </w:r>
      <w:r>
        <w:rPr>
          <w:rFonts w:hint="eastAsia" w:ascii="Times New Roman" w:hAnsi="Times New Roman" w:eastAsia="宋体" w:cs="Times New Roman"/>
          <w:color w:val="auto"/>
          <w:highlight w:val="none"/>
          <w:lang w:val="en-US" w:eastAsia="zh-CN"/>
        </w:rPr>
        <w:fldChar w:fldCharType="begin"/>
      </w:r>
      <w:r>
        <w:rPr>
          <w:rFonts w:hint="eastAsia" w:ascii="Times New Roman" w:hAnsi="Times New Roman" w:eastAsia="宋体" w:cs="Times New Roman"/>
          <w:color w:val="auto"/>
          <w:highlight w:val="none"/>
          <w:lang w:val="en-US" w:eastAsia="zh-CN"/>
        </w:rPr>
        <w:instrText xml:space="preserve"> = 1 \* ROMAN </w:instrText>
      </w:r>
      <w:r>
        <w:rPr>
          <w:rFonts w:hint="eastAsia" w:ascii="Times New Roman" w:hAnsi="Times New Roman" w:eastAsia="宋体" w:cs="Times New Roman"/>
          <w:color w:val="auto"/>
          <w:highlight w:val="none"/>
          <w:lang w:val="en-US" w:eastAsia="zh-CN"/>
        </w:rPr>
        <w:fldChar w:fldCharType="separate"/>
      </w:r>
      <w:r>
        <w:rPr>
          <w:rFonts w:hint="eastAsia" w:ascii="Times New Roman" w:hAnsi="Times New Roman" w:eastAsia="宋体" w:cs="Times New Roman"/>
          <w:color w:val="auto"/>
          <w:highlight w:val="none"/>
          <w:lang w:val="en-US" w:eastAsia="zh-CN"/>
        </w:rPr>
        <w:t>I</w:t>
      </w:r>
      <w:r>
        <w:rPr>
          <w:rFonts w:hint="eastAsia" w:ascii="Times New Roman" w:hAnsi="Times New Roman" w:eastAsia="宋体" w:cs="Times New Roman"/>
          <w:color w:val="auto"/>
          <w:highlight w:val="none"/>
          <w:lang w:val="en-US" w:eastAsia="zh-CN"/>
        </w:rPr>
        <w:fldChar w:fldCharType="end"/>
      </w:r>
      <w:r>
        <w:rPr>
          <w:rFonts w:hint="eastAsia" w:ascii="Times New Roman" w:hAnsi="Times New Roman" w:eastAsia="宋体" w:cs="Times New Roman"/>
          <w:color w:val="auto"/>
          <w:highlight w:val="none"/>
          <w:lang w:val="en-US" w:eastAsia="zh-CN"/>
        </w:rPr>
        <w:t>类一般工业固体废物。</w:t>
      </w:r>
    </w:p>
    <w:p w14:paraId="33B2503E">
      <w:pPr>
        <w:ind w:firstLine="480" w:firstLineChars="0"/>
        <w:rPr>
          <w:rFonts w:hint="default" w:cs="Times New Roman"/>
          <w:color w:val="auto"/>
          <w:highlight w:val="none"/>
          <w:lang w:val="en-US" w:eastAsia="zh-CN"/>
        </w:rPr>
      </w:pPr>
      <w:r>
        <w:rPr>
          <w:rFonts w:hint="eastAsia" w:ascii="Times New Roman" w:hAnsi="Times New Roman" w:eastAsia="宋体" w:cs="Times New Roman"/>
          <w:color w:val="auto"/>
          <w:highlight w:val="none"/>
          <w:lang w:val="en-US" w:eastAsia="zh-CN"/>
        </w:rPr>
        <w:t>厂区内配套建设1座800m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尾矿砂临时贮存库，选矿厂产生的尾矿</w:t>
      </w:r>
      <w:r>
        <w:rPr>
          <w:rFonts w:hint="eastAsia" w:cs="Times New Roman"/>
          <w:color w:val="auto"/>
          <w:highlight w:val="none"/>
          <w:lang w:val="en-US" w:eastAsia="zh-CN"/>
        </w:rPr>
        <w:t>砂优先</w:t>
      </w:r>
      <w:r>
        <w:rPr>
          <w:rFonts w:hint="eastAsia" w:ascii="Times New Roman" w:hAnsi="Times New Roman" w:eastAsia="宋体" w:cs="Times New Roman"/>
          <w:color w:val="auto"/>
          <w:highlight w:val="none"/>
          <w:lang w:val="en-US" w:eastAsia="zh-CN"/>
        </w:rPr>
        <w:t>供给</w:t>
      </w:r>
      <w:r>
        <w:rPr>
          <w:rFonts w:hint="eastAsia" w:ascii="Times New Roman" w:hAnsi="Times New Roman" w:eastAsia="宋体" w:cs="Times New Roman"/>
          <w:color w:val="auto"/>
          <w:highlight w:val="yellow"/>
          <w:lang w:val="en-US" w:eastAsia="zh-CN"/>
        </w:rPr>
        <w:t>河北围场满族蒙古族自治县联玉墙体材料厂和隆化县皓诚新型节能砖厂</w:t>
      </w:r>
      <w:r>
        <w:rPr>
          <w:rFonts w:hint="eastAsia" w:ascii="Times New Roman" w:hAnsi="Times New Roman" w:eastAsia="宋体" w:cs="Times New Roman"/>
          <w:color w:val="auto"/>
          <w:highlight w:val="none"/>
          <w:lang w:val="en-US" w:eastAsia="zh-CN"/>
        </w:rPr>
        <w:t>作制砖原材料，资源化综合利用</w:t>
      </w:r>
      <w:r>
        <w:rPr>
          <w:rFonts w:hint="eastAsia" w:cs="Times New Roman"/>
          <w:color w:val="auto"/>
          <w:highlight w:val="none"/>
          <w:lang w:val="en-US" w:eastAsia="zh-CN"/>
        </w:rPr>
        <w:t>。因接纳砖厂市场原因利用不畅时，做周边矿区采空坑填充料。</w:t>
      </w:r>
    </w:p>
    <w:p w14:paraId="1B03C999">
      <w:pPr>
        <w:ind w:firstLine="48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评价要求</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尾矿砂</w:t>
      </w:r>
      <w:r>
        <w:rPr>
          <w:rFonts w:hint="eastAsia" w:ascii="Times New Roman" w:hAnsi="Times New Roman" w:eastAsia="宋体" w:cs="Times New Roman"/>
          <w:color w:val="auto"/>
          <w:highlight w:val="none"/>
          <w:lang w:val="en-US" w:eastAsia="zh-CN"/>
        </w:rPr>
        <w:t>运输过程中车辆采取防雨、防渗漏、防遗撒措施。</w:t>
      </w:r>
    </w:p>
    <w:p w14:paraId="3AC80271">
      <w:pPr>
        <w:ind w:firstLine="48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循环水</w:t>
      </w:r>
      <w:r>
        <w:rPr>
          <w:rFonts w:hint="default" w:ascii="Times New Roman" w:hAnsi="Times New Roman" w:eastAsia="宋体" w:cs="Times New Roman"/>
          <w:color w:val="auto"/>
          <w:highlight w:val="none"/>
          <w:lang w:val="en-US" w:eastAsia="zh-CN"/>
        </w:rPr>
        <w:t>池底泥</w:t>
      </w:r>
      <w:r>
        <w:rPr>
          <w:rFonts w:hint="eastAsia" w:cs="Times New Roman"/>
          <w:color w:val="auto"/>
          <w:highlight w:val="none"/>
          <w:lang w:val="en-US" w:eastAsia="zh-CN"/>
        </w:rPr>
        <w:t>（S5）</w:t>
      </w:r>
    </w:p>
    <w:p w14:paraId="326DD678">
      <w:pPr>
        <w:ind w:firstLine="480"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w:t>
      </w:r>
      <w:r>
        <w:rPr>
          <w:rFonts w:hint="default" w:ascii="Times New Roman" w:hAnsi="Times New Roman" w:cs="Times New Roman"/>
          <w:color w:val="auto"/>
          <w:highlight w:val="none"/>
        </w:rPr>
        <w:t>选矿废水因有</w:t>
      </w:r>
      <w:r>
        <w:rPr>
          <w:rFonts w:hint="eastAsia" w:cs="Times New Roman"/>
          <w:color w:val="auto"/>
          <w:highlight w:val="none"/>
          <w:lang w:val="en-US" w:eastAsia="zh-CN"/>
        </w:rPr>
        <w:t>悬浮物污染物</w:t>
      </w:r>
      <w:r>
        <w:rPr>
          <w:rFonts w:hint="default" w:ascii="Times New Roman" w:hAnsi="Times New Roman" w:cs="Times New Roman"/>
          <w:color w:val="auto"/>
          <w:highlight w:val="none"/>
        </w:rPr>
        <w:t>，</w:t>
      </w:r>
      <w:r>
        <w:rPr>
          <w:rFonts w:hint="eastAsia" w:cs="Times New Roman"/>
          <w:color w:val="auto"/>
          <w:highlight w:val="none"/>
          <w:lang w:val="en-US" w:eastAsia="zh-CN"/>
        </w:rPr>
        <w:t>循环池内</w:t>
      </w:r>
      <w:r>
        <w:rPr>
          <w:rFonts w:hint="default" w:ascii="Times New Roman" w:hAnsi="Times New Roman" w:cs="Times New Roman"/>
          <w:color w:val="auto"/>
          <w:highlight w:val="none"/>
        </w:rPr>
        <w:t>添加</w:t>
      </w:r>
      <w:r>
        <w:rPr>
          <w:rFonts w:hint="eastAsia" w:cs="Times New Roman"/>
          <w:color w:val="auto"/>
          <w:highlight w:val="none"/>
          <w:lang w:eastAsia="zh-CN"/>
        </w:rPr>
        <w:t>混凝</w:t>
      </w:r>
      <w:r>
        <w:rPr>
          <w:rFonts w:hint="default" w:ascii="Times New Roman" w:hAnsi="Times New Roman" w:cs="Times New Roman"/>
          <w:color w:val="auto"/>
          <w:highlight w:val="none"/>
        </w:rPr>
        <w:t>剂</w:t>
      </w:r>
      <w:r>
        <w:rPr>
          <w:rFonts w:hint="eastAsia" w:cs="Times New Roman"/>
          <w:color w:val="auto"/>
          <w:highlight w:val="none"/>
          <w:lang w:val="en-US" w:eastAsia="zh-CN"/>
        </w:rPr>
        <w:t>可混凝沉淀去除选矿水中悬浮物</w:t>
      </w:r>
      <w:r>
        <w:rPr>
          <w:rFonts w:hint="default" w:ascii="Times New Roman" w:hAnsi="Times New Roman" w:cs="Times New Roman"/>
          <w:color w:val="auto"/>
          <w:highlight w:val="none"/>
        </w:rPr>
        <w:t>，沉淀过程中产生的底泥量</w:t>
      </w:r>
      <w:r>
        <w:rPr>
          <w:rFonts w:hint="eastAsia" w:cs="Times New Roman"/>
          <w:color w:val="auto"/>
          <w:highlight w:val="none"/>
          <w:lang w:val="en-US" w:eastAsia="zh-CN"/>
        </w:rPr>
        <w:t>约</w:t>
      </w:r>
      <w:r>
        <w:rPr>
          <w:rFonts w:hint="default" w:ascii="Times New Roman" w:hAnsi="Times New Roman" w:cs="Times New Roman"/>
          <w:color w:val="auto"/>
          <w:highlight w:val="none"/>
        </w:rPr>
        <w:t>为</w:t>
      </w:r>
      <w:r>
        <w:rPr>
          <w:rFonts w:hint="eastAsia" w:cs="Times New Roman"/>
          <w:color w:val="auto"/>
          <w:highlight w:val="none"/>
          <w:lang w:val="en-US" w:eastAsia="zh-CN"/>
        </w:rPr>
        <w:t>5.4</w:t>
      </w:r>
      <w:r>
        <w:rPr>
          <w:rFonts w:hint="default" w:ascii="Times New Roman" w:hAnsi="Times New Roman" w:cs="Times New Roman"/>
          <w:color w:val="auto"/>
          <w:highlight w:val="none"/>
        </w:rPr>
        <w:t>t/</w:t>
      </w:r>
      <w:r>
        <w:rPr>
          <w:rFonts w:hint="eastAsia" w:cs="Times New Roman"/>
          <w:color w:val="auto"/>
          <w:highlight w:val="none"/>
          <w:lang w:val="en-US" w:eastAsia="zh-CN"/>
        </w:rPr>
        <w:t>a</w:t>
      </w:r>
      <w:r>
        <w:rPr>
          <w:rFonts w:hint="default" w:ascii="Times New Roman" w:hAnsi="Times New Roman" w:cs="Times New Roman"/>
          <w:color w:val="auto"/>
          <w:highlight w:val="none"/>
        </w:rPr>
        <w:t>，</w:t>
      </w:r>
      <w:r>
        <w:rPr>
          <w:rFonts w:hint="eastAsia" w:cs="Times New Roman"/>
          <w:color w:val="auto"/>
          <w:highlight w:val="none"/>
          <w:lang w:val="en-US" w:eastAsia="zh-CN"/>
        </w:rPr>
        <w:t>循环水池内</w:t>
      </w:r>
      <w:r>
        <w:rPr>
          <w:rFonts w:hint="eastAsia" w:ascii="Times New Roman" w:hAnsi="Times New Roman" w:eastAsia="宋体" w:cs="Times New Roman"/>
          <w:color w:val="auto"/>
          <w:highlight w:val="none"/>
          <w:lang w:val="en-US" w:eastAsia="zh-CN"/>
        </w:rPr>
        <w:t>混凝</w:t>
      </w:r>
      <w:r>
        <w:rPr>
          <w:rFonts w:hint="default" w:ascii="Times New Roman" w:hAnsi="Times New Roman" w:eastAsia="宋体" w:cs="Times New Roman"/>
          <w:color w:val="auto"/>
          <w:highlight w:val="none"/>
          <w:lang w:val="en-US" w:eastAsia="zh-CN"/>
        </w:rPr>
        <w:t>沉淀后产生的底泥经</w:t>
      </w:r>
      <w:r>
        <w:rPr>
          <w:rFonts w:hint="eastAsia" w:cs="Times New Roman"/>
          <w:color w:val="auto"/>
          <w:highlight w:val="none"/>
          <w:lang w:val="en-US" w:eastAsia="zh-CN"/>
        </w:rPr>
        <w:t>尾矿</w:t>
      </w:r>
      <w:r>
        <w:rPr>
          <w:rFonts w:hint="default" w:ascii="Times New Roman" w:hAnsi="Times New Roman" w:eastAsia="宋体" w:cs="Times New Roman"/>
          <w:color w:val="auto"/>
          <w:highlight w:val="none"/>
          <w:lang w:val="en-US" w:eastAsia="zh-CN"/>
        </w:rPr>
        <w:t>压滤机压滤后同尾矿砂一同综合利用。</w:t>
      </w:r>
    </w:p>
    <w:p w14:paraId="395858A5">
      <w:pPr>
        <w:ind w:firstLine="48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（6）生活垃圾（S6）</w:t>
      </w:r>
    </w:p>
    <w:p w14:paraId="5B27E44E">
      <w:pPr>
        <w:ind w:firstLine="480" w:firstLineChars="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职工日常</w:t>
      </w:r>
      <w:r>
        <w:rPr>
          <w:rFonts w:hint="eastAsia" w:ascii="Times New Roman" w:hAnsi="Times New Roman" w:cs="Times New Roman"/>
          <w:color w:val="auto"/>
          <w:highlight w:val="none"/>
          <w:lang w:val="en-US" w:eastAsia="zh-CN"/>
        </w:rPr>
        <w:t>办公、</w:t>
      </w:r>
      <w:r>
        <w:rPr>
          <w:rFonts w:hint="eastAsia" w:ascii="Times New Roman" w:hAnsi="Times New Roman" w:eastAsia="宋体" w:cs="Times New Roman"/>
          <w:color w:val="auto"/>
          <w:highlight w:val="none"/>
          <w:lang w:val="en-US" w:eastAsia="zh-CN"/>
        </w:rPr>
        <w:t>生活</w:t>
      </w:r>
      <w:r>
        <w:rPr>
          <w:rFonts w:hint="eastAsia" w:ascii="Times New Roman" w:hAnsi="Times New Roman" w:cs="Times New Roman"/>
          <w:color w:val="auto"/>
          <w:highlight w:val="none"/>
          <w:lang w:val="en-US" w:eastAsia="zh-CN"/>
        </w:rPr>
        <w:t>过程</w:t>
      </w:r>
      <w:r>
        <w:rPr>
          <w:rFonts w:hint="eastAsia" w:ascii="Times New Roman" w:hAnsi="Times New Roman" w:eastAsia="宋体" w:cs="Times New Roman"/>
          <w:color w:val="auto"/>
          <w:highlight w:val="none"/>
          <w:lang w:val="en-US" w:eastAsia="zh-CN"/>
        </w:rPr>
        <w:t>产生的生活垃圾</w:t>
      </w:r>
      <w:r>
        <w:rPr>
          <w:rFonts w:hint="eastAsia" w:ascii="Times New Roman" w:hAnsi="Times New Roman"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按照每人每天0.5kg/d人计，生活垃圾产生量</w:t>
      </w:r>
      <w:r>
        <w:rPr>
          <w:rFonts w:hint="eastAsia" w:ascii="Times New Roman" w:hAnsi="Times New Roman" w:cs="Times New Roman"/>
          <w:color w:val="auto"/>
          <w:highlight w:val="none"/>
          <w:lang w:val="en-US" w:eastAsia="zh-CN"/>
        </w:rPr>
        <w:t>4.5</w:t>
      </w:r>
      <w:r>
        <w:rPr>
          <w:rFonts w:hint="eastAsia" w:ascii="Times New Roman" w:hAnsi="Times New Roman" w:eastAsia="宋体" w:cs="Times New Roman"/>
          <w:color w:val="auto"/>
          <w:highlight w:val="none"/>
          <w:lang w:val="en-US" w:eastAsia="zh-CN"/>
        </w:rPr>
        <w:t>t/a，</w:t>
      </w:r>
      <w:r>
        <w:rPr>
          <w:rFonts w:hint="eastAsia" w:ascii="Times New Roman" w:hAnsi="Times New Roman" w:cs="Times New Roman"/>
          <w:color w:val="auto"/>
          <w:highlight w:val="none"/>
          <w:lang w:val="en-US" w:eastAsia="zh-CN"/>
        </w:rPr>
        <w:t>本项目依托多伦县盟东水泥厂办公区生活垃圾收集箱</w:t>
      </w:r>
      <w:r>
        <w:rPr>
          <w:rFonts w:hint="eastAsia" w:ascii="Times New Roman" w:hAnsi="Times New Roman" w:eastAsia="宋体" w:cs="Times New Roman"/>
          <w:color w:val="auto"/>
          <w:highlight w:val="none"/>
          <w:lang w:val="en-US" w:eastAsia="zh-CN"/>
        </w:rPr>
        <w:t>，定期运送至环卫部门指定地点进行合理处置</w:t>
      </w:r>
      <w:r>
        <w:rPr>
          <w:rFonts w:hint="eastAsia" w:ascii="Times New Roman" w:hAnsi="Times New Roman" w:cs="Times New Roman"/>
          <w:color w:val="auto"/>
          <w:highlight w:val="none"/>
          <w:lang w:val="en-US" w:eastAsia="zh-CN"/>
        </w:rPr>
        <w:t>。</w:t>
      </w:r>
    </w:p>
    <w:p w14:paraId="386B9F02">
      <w:pPr>
        <w:ind w:firstLine="496"/>
        <w:rPr>
          <w:color w:val="auto"/>
          <w:spacing w:val="4"/>
          <w:highlight w:val="none"/>
        </w:rPr>
        <w:sectPr>
          <w:pgSz w:w="11907" w:h="16840"/>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26" w:charSpace="0"/>
        </w:sectPr>
      </w:pPr>
      <w:r>
        <w:rPr>
          <w:color w:val="auto"/>
          <w:spacing w:val="4"/>
          <w:highlight w:val="none"/>
        </w:rPr>
        <w:t>本项目固体废物产生情况见表3.</w:t>
      </w:r>
      <w:r>
        <w:rPr>
          <w:rFonts w:hint="eastAsia"/>
          <w:color w:val="auto"/>
          <w:spacing w:val="4"/>
          <w:highlight w:val="none"/>
          <w:lang w:val="en-US" w:eastAsia="zh-CN"/>
        </w:rPr>
        <w:t>11-8</w:t>
      </w:r>
      <w:r>
        <w:rPr>
          <w:color w:val="auto"/>
          <w:spacing w:val="4"/>
          <w:highlight w:val="none"/>
        </w:rPr>
        <w:t>。</w:t>
      </w:r>
    </w:p>
    <w:p w14:paraId="79FD33B6">
      <w:pPr>
        <w:pStyle w:val="2"/>
        <w:rPr>
          <w:color w:val="auto"/>
          <w:highlight w:val="none"/>
        </w:rPr>
      </w:pPr>
    </w:p>
    <w:p w14:paraId="00B59AFA">
      <w:pPr>
        <w:pStyle w:val="199"/>
        <w:spacing w:before="120"/>
        <w:ind w:firstLine="420" w:firstLineChars="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表3</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 xml:space="preserve"> </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本项目固体废物产生情况一览表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26"/>
        <w:gridCol w:w="1390"/>
        <w:gridCol w:w="1159"/>
        <w:gridCol w:w="1214"/>
        <w:gridCol w:w="1336"/>
        <w:gridCol w:w="1200"/>
        <w:gridCol w:w="7351"/>
      </w:tblGrid>
      <w:tr w14:paraId="022F03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noWrap w:val="0"/>
            <w:vAlign w:val="center"/>
          </w:tcPr>
          <w:p w14:paraId="5A5BD579">
            <w:pPr>
              <w:pStyle w:val="245"/>
              <w:spacing w:line="240" w:lineRule="auto"/>
              <w:rPr>
                <w:color w:val="auto"/>
                <w:highlight w:val="none"/>
              </w:rPr>
            </w:pPr>
            <w:r>
              <w:rPr>
                <w:color w:val="auto"/>
                <w:highlight w:val="none"/>
              </w:rPr>
              <w:t>序号</w:t>
            </w:r>
          </w:p>
        </w:tc>
        <w:tc>
          <w:tcPr>
            <w:tcW w:w="1390" w:type="dxa"/>
            <w:noWrap w:val="0"/>
            <w:vAlign w:val="center"/>
          </w:tcPr>
          <w:p w14:paraId="751F7D82">
            <w:pPr>
              <w:pStyle w:val="245"/>
              <w:spacing w:line="240" w:lineRule="auto"/>
              <w:rPr>
                <w:color w:val="auto"/>
                <w:highlight w:val="none"/>
              </w:rPr>
            </w:pPr>
            <w:r>
              <w:rPr>
                <w:color w:val="auto"/>
                <w:highlight w:val="none"/>
              </w:rPr>
              <w:t>固废</w:t>
            </w:r>
          </w:p>
          <w:p w14:paraId="465692C3">
            <w:pPr>
              <w:pStyle w:val="245"/>
              <w:spacing w:line="240" w:lineRule="auto"/>
              <w:rPr>
                <w:color w:val="auto"/>
                <w:highlight w:val="none"/>
              </w:rPr>
            </w:pPr>
            <w:r>
              <w:rPr>
                <w:color w:val="auto"/>
                <w:highlight w:val="none"/>
              </w:rPr>
              <w:t>名称</w:t>
            </w:r>
          </w:p>
        </w:tc>
        <w:tc>
          <w:tcPr>
            <w:tcW w:w="1159" w:type="dxa"/>
            <w:noWrap w:val="0"/>
            <w:vAlign w:val="center"/>
          </w:tcPr>
          <w:p w14:paraId="5FC3DCC3">
            <w:pPr>
              <w:pStyle w:val="245"/>
              <w:spacing w:line="240" w:lineRule="auto"/>
              <w:rPr>
                <w:color w:val="auto"/>
                <w:highlight w:val="none"/>
              </w:rPr>
            </w:pPr>
            <w:r>
              <w:rPr>
                <w:color w:val="auto"/>
                <w:highlight w:val="none"/>
              </w:rPr>
              <w:t>来源</w:t>
            </w:r>
          </w:p>
        </w:tc>
        <w:tc>
          <w:tcPr>
            <w:tcW w:w="1214" w:type="dxa"/>
            <w:noWrap w:val="0"/>
            <w:vAlign w:val="center"/>
          </w:tcPr>
          <w:p w14:paraId="462EF406">
            <w:pPr>
              <w:pStyle w:val="245"/>
              <w:spacing w:line="240" w:lineRule="auto"/>
              <w:rPr>
                <w:rFonts w:hint="eastAsia" w:eastAsia="宋体"/>
                <w:color w:val="auto"/>
                <w:highlight w:val="none"/>
                <w:lang w:val="en-US" w:eastAsia="zh-CN"/>
              </w:rPr>
            </w:pPr>
            <w:r>
              <w:rPr>
                <w:color w:val="auto"/>
                <w:highlight w:val="none"/>
              </w:rPr>
              <w:t>产生量</w:t>
            </w:r>
            <w:r>
              <w:rPr>
                <w:rFonts w:hint="eastAsia"/>
                <w:color w:val="auto"/>
                <w:highlight w:val="none"/>
                <w:lang w:val="en-US" w:eastAsia="zh-CN"/>
              </w:rPr>
              <w:t>(</w:t>
            </w:r>
            <w:r>
              <w:rPr>
                <w:color w:val="auto"/>
                <w:highlight w:val="none"/>
              </w:rPr>
              <w:t>t/a</w:t>
            </w:r>
            <w:r>
              <w:rPr>
                <w:rFonts w:hint="eastAsia"/>
                <w:color w:val="auto"/>
                <w:highlight w:val="none"/>
                <w:lang w:val="en-US" w:eastAsia="zh-CN"/>
              </w:rPr>
              <w:t>)</w:t>
            </w:r>
          </w:p>
        </w:tc>
        <w:tc>
          <w:tcPr>
            <w:tcW w:w="1336" w:type="dxa"/>
            <w:noWrap w:val="0"/>
            <w:vAlign w:val="center"/>
          </w:tcPr>
          <w:p w14:paraId="440DCB39">
            <w:pPr>
              <w:pStyle w:val="245"/>
              <w:spacing w:line="240" w:lineRule="auto"/>
              <w:rPr>
                <w:rFonts w:hint="default" w:eastAsia="宋体"/>
                <w:color w:val="auto"/>
                <w:highlight w:val="none"/>
                <w:lang w:val="en-US" w:eastAsia="zh-CN"/>
              </w:rPr>
            </w:pPr>
            <w:r>
              <w:rPr>
                <w:rFonts w:hint="eastAsia"/>
                <w:color w:val="auto"/>
                <w:highlight w:val="none"/>
                <w:lang w:val="en-US" w:eastAsia="zh-CN"/>
              </w:rPr>
              <w:t>固废种类</w:t>
            </w:r>
          </w:p>
        </w:tc>
        <w:tc>
          <w:tcPr>
            <w:tcW w:w="1200" w:type="dxa"/>
            <w:noWrap w:val="0"/>
            <w:vAlign w:val="center"/>
          </w:tcPr>
          <w:p w14:paraId="77B44C12">
            <w:pPr>
              <w:pStyle w:val="245"/>
              <w:spacing w:line="240" w:lineRule="auto"/>
              <w:rPr>
                <w:rFonts w:hint="default"/>
                <w:color w:val="auto"/>
                <w:highlight w:val="none"/>
                <w:lang w:val="en-US" w:eastAsia="zh-CN"/>
              </w:rPr>
            </w:pPr>
            <w:r>
              <w:rPr>
                <w:rFonts w:hint="eastAsia"/>
                <w:color w:val="auto"/>
                <w:highlight w:val="none"/>
                <w:lang w:val="en-US" w:eastAsia="zh-CN"/>
              </w:rPr>
              <w:t>废物代码</w:t>
            </w:r>
          </w:p>
        </w:tc>
        <w:tc>
          <w:tcPr>
            <w:tcW w:w="7351" w:type="dxa"/>
            <w:noWrap w:val="0"/>
            <w:vAlign w:val="center"/>
          </w:tcPr>
          <w:p w14:paraId="5C1D0A09">
            <w:pPr>
              <w:pStyle w:val="245"/>
              <w:spacing w:line="240" w:lineRule="auto"/>
              <w:rPr>
                <w:color w:val="auto"/>
                <w:highlight w:val="none"/>
              </w:rPr>
            </w:pPr>
            <w:r>
              <w:rPr>
                <w:color w:val="auto"/>
                <w:highlight w:val="none"/>
              </w:rPr>
              <w:t>处理方式</w:t>
            </w:r>
          </w:p>
        </w:tc>
      </w:tr>
      <w:tr w14:paraId="7F7083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noWrap w:val="0"/>
            <w:vAlign w:val="center"/>
          </w:tcPr>
          <w:p w14:paraId="777E8879">
            <w:pPr>
              <w:pStyle w:val="245"/>
              <w:spacing w:line="240" w:lineRule="auto"/>
              <w:rPr>
                <w:color w:val="auto"/>
                <w:highlight w:val="none"/>
              </w:rPr>
            </w:pPr>
            <w:r>
              <w:rPr>
                <w:rFonts w:hint="eastAsia"/>
                <w:color w:val="auto"/>
                <w:highlight w:val="none"/>
                <w:lang w:val="en-US" w:eastAsia="zh-CN"/>
              </w:rPr>
              <w:t>S</w:t>
            </w:r>
            <w:r>
              <w:rPr>
                <w:rFonts w:hint="eastAsia"/>
                <w:color w:val="auto"/>
                <w:highlight w:val="none"/>
              </w:rPr>
              <w:t>1</w:t>
            </w:r>
          </w:p>
        </w:tc>
        <w:tc>
          <w:tcPr>
            <w:tcW w:w="1390" w:type="dxa"/>
            <w:noWrap w:val="0"/>
            <w:vAlign w:val="center"/>
          </w:tcPr>
          <w:p w14:paraId="125F1DAF">
            <w:pPr>
              <w:pStyle w:val="245"/>
              <w:spacing w:line="240" w:lineRule="auto"/>
              <w:rPr>
                <w:rFonts w:hint="eastAsia" w:eastAsia="宋体"/>
                <w:color w:val="auto"/>
                <w:highlight w:val="none"/>
                <w:lang w:eastAsia="zh-CN"/>
              </w:rPr>
            </w:pPr>
            <w:r>
              <w:rPr>
                <w:rFonts w:hint="eastAsia"/>
                <w:color w:val="auto"/>
                <w:highlight w:val="none"/>
                <w:lang w:val="en-US" w:eastAsia="zh-CN"/>
              </w:rPr>
              <w:t>除尘灰</w:t>
            </w:r>
          </w:p>
        </w:tc>
        <w:tc>
          <w:tcPr>
            <w:tcW w:w="1159" w:type="dxa"/>
            <w:noWrap w:val="0"/>
            <w:vAlign w:val="center"/>
          </w:tcPr>
          <w:p w14:paraId="06158813">
            <w:pPr>
              <w:pStyle w:val="245"/>
              <w:spacing w:line="240" w:lineRule="auto"/>
              <w:rPr>
                <w:color w:val="auto"/>
                <w:highlight w:val="none"/>
              </w:rPr>
            </w:pPr>
            <w:r>
              <w:rPr>
                <w:rFonts w:hint="eastAsia"/>
                <w:color w:val="auto"/>
                <w:highlight w:val="none"/>
              </w:rPr>
              <w:t>布袋除尘器</w:t>
            </w:r>
          </w:p>
        </w:tc>
        <w:tc>
          <w:tcPr>
            <w:tcW w:w="1214" w:type="dxa"/>
            <w:noWrap w:val="0"/>
            <w:vAlign w:val="center"/>
          </w:tcPr>
          <w:p w14:paraId="34FC71C8">
            <w:pPr>
              <w:pStyle w:val="245"/>
              <w:spacing w:line="240" w:lineRule="auto"/>
              <w:rPr>
                <w:rFonts w:hint="default" w:eastAsia="宋体"/>
                <w:color w:val="auto"/>
                <w:highlight w:val="none"/>
                <w:lang w:val="en-US" w:eastAsia="zh-CN"/>
              </w:rPr>
            </w:pPr>
            <w:r>
              <w:rPr>
                <w:rFonts w:hint="eastAsia"/>
                <w:color w:val="auto"/>
                <w:highlight w:val="none"/>
                <w:lang w:val="en-US" w:eastAsia="zh-CN"/>
              </w:rPr>
              <w:t>212.68</w:t>
            </w:r>
          </w:p>
        </w:tc>
        <w:tc>
          <w:tcPr>
            <w:tcW w:w="1336" w:type="dxa"/>
            <w:noWrap w:val="0"/>
            <w:vAlign w:val="center"/>
          </w:tcPr>
          <w:p w14:paraId="703513A4">
            <w:pPr>
              <w:pStyle w:val="245"/>
              <w:spacing w:line="240" w:lineRule="auto"/>
              <w:rPr>
                <w:color w:val="auto"/>
                <w:highlight w:val="none"/>
              </w:rPr>
            </w:pPr>
            <w:r>
              <w:rPr>
                <w:color w:val="auto"/>
                <w:highlight w:val="none"/>
              </w:rPr>
              <w:t>一般固废</w:t>
            </w:r>
          </w:p>
        </w:tc>
        <w:tc>
          <w:tcPr>
            <w:tcW w:w="1200" w:type="dxa"/>
            <w:noWrap w:val="0"/>
            <w:vAlign w:val="center"/>
          </w:tcPr>
          <w:p w14:paraId="1D9838B9">
            <w:pPr>
              <w:pStyle w:val="245"/>
              <w:spacing w:line="240" w:lineRule="auto"/>
              <w:rPr>
                <w:rFonts w:hint="eastAsia" w:eastAsia="宋体"/>
                <w:color w:val="auto"/>
                <w:highlight w:val="none"/>
                <w:lang w:val="en-US" w:eastAsia="zh-CN"/>
              </w:rPr>
            </w:pPr>
            <w:r>
              <w:rPr>
                <w:rFonts w:hint="eastAsia"/>
                <w:color w:val="auto"/>
                <w:highlight w:val="none"/>
                <w:lang w:val="en-US" w:eastAsia="zh-CN"/>
              </w:rPr>
              <w:t>/</w:t>
            </w:r>
          </w:p>
        </w:tc>
        <w:tc>
          <w:tcPr>
            <w:tcW w:w="7351" w:type="dxa"/>
            <w:noWrap w:val="0"/>
            <w:vAlign w:val="center"/>
          </w:tcPr>
          <w:p w14:paraId="15CD3461">
            <w:pPr>
              <w:pStyle w:val="245"/>
              <w:spacing w:line="240" w:lineRule="auto"/>
              <w:rPr>
                <w:color w:val="auto"/>
                <w:highlight w:val="none"/>
              </w:rPr>
            </w:pPr>
            <w:r>
              <w:rPr>
                <w:rFonts w:hint="eastAsia"/>
                <w:color w:val="auto"/>
                <w:highlight w:val="none"/>
              </w:rPr>
              <w:t>返回生产使用</w:t>
            </w:r>
          </w:p>
        </w:tc>
      </w:tr>
      <w:tr w14:paraId="7627D4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noWrap w:val="0"/>
            <w:vAlign w:val="center"/>
          </w:tcPr>
          <w:p w14:paraId="017A57AE">
            <w:pPr>
              <w:pStyle w:val="245"/>
              <w:spacing w:line="240" w:lineRule="auto"/>
              <w:ind w:firstLine="0" w:firstLineChars="0"/>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S2</w:t>
            </w:r>
          </w:p>
        </w:tc>
        <w:tc>
          <w:tcPr>
            <w:tcW w:w="1390" w:type="dxa"/>
            <w:noWrap w:val="0"/>
            <w:vAlign w:val="center"/>
          </w:tcPr>
          <w:p w14:paraId="673708BC">
            <w:pPr>
              <w:pStyle w:val="245"/>
              <w:spacing w:line="240" w:lineRule="auto"/>
              <w:ind w:firstLine="0" w:firstLineChars="0"/>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废钢球</w:t>
            </w:r>
          </w:p>
        </w:tc>
        <w:tc>
          <w:tcPr>
            <w:tcW w:w="1159" w:type="dxa"/>
            <w:noWrap w:val="0"/>
            <w:vAlign w:val="center"/>
          </w:tcPr>
          <w:p w14:paraId="0D667160">
            <w:pPr>
              <w:pStyle w:val="245"/>
              <w:spacing w:line="240" w:lineRule="auto"/>
              <w:ind w:firstLine="0" w:firstLineChars="0"/>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球磨机</w:t>
            </w:r>
          </w:p>
        </w:tc>
        <w:tc>
          <w:tcPr>
            <w:tcW w:w="1214" w:type="dxa"/>
            <w:noWrap w:val="0"/>
            <w:vAlign w:val="center"/>
          </w:tcPr>
          <w:p w14:paraId="339CC2B5">
            <w:pPr>
              <w:pStyle w:val="245"/>
              <w:spacing w:line="240" w:lineRule="auto"/>
              <w:ind w:firstLine="0" w:firstLineChars="0"/>
              <w:rPr>
                <w:rFonts w:hint="default"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3.5</w:t>
            </w:r>
          </w:p>
        </w:tc>
        <w:tc>
          <w:tcPr>
            <w:tcW w:w="1336" w:type="dxa"/>
            <w:noWrap w:val="0"/>
            <w:vAlign w:val="center"/>
          </w:tcPr>
          <w:p w14:paraId="69FEF969">
            <w:pPr>
              <w:pStyle w:val="245"/>
              <w:spacing w:line="240" w:lineRule="auto"/>
              <w:ind w:firstLine="0" w:firstLineChars="0"/>
              <w:rPr>
                <w:rFonts w:ascii="Times New Roman" w:hAnsi="Times New Roman" w:eastAsia="宋体" w:cs="Times New Roman"/>
                <w:color w:val="auto"/>
                <w:kern w:val="2"/>
                <w:sz w:val="21"/>
                <w:szCs w:val="22"/>
                <w:highlight w:val="none"/>
                <w:lang w:val="en-US" w:eastAsia="zh-CN" w:bidi="ar-SA"/>
              </w:rPr>
            </w:pPr>
            <w:r>
              <w:rPr>
                <w:color w:val="auto"/>
                <w:highlight w:val="none"/>
              </w:rPr>
              <w:t>一般固废</w:t>
            </w:r>
          </w:p>
        </w:tc>
        <w:tc>
          <w:tcPr>
            <w:tcW w:w="1200" w:type="dxa"/>
            <w:noWrap w:val="0"/>
            <w:vAlign w:val="center"/>
          </w:tcPr>
          <w:p w14:paraId="4474464C">
            <w:pPr>
              <w:pStyle w:val="245"/>
              <w:spacing w:line="240" w:lineRule="auto"/>
              <w:ind w:firstLine="0" w:firstLineChars="0"/>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w:t>
            </w:r>
          </w:p>
        </w:tc>
        <w:tc>
          <w:tcPr>
            <w:tcW w:w="7351" w:type="dxa"/>
            <w:noWrap w:val="0"/>
            <w:vAlign w:val="center"/>
          </w:tcPr>
          <w:p w14:paraId="55A5872C">
            <w:pPr>
              <w:pStyle w:val="245"/>
              <w:spacing w:line="240" w:lineRule="auto"/>
              <w:ind w:firstLine="0" w:firstLineChars="0"/>
              <w:rPr>
                <w:rFonts w:hint="eastAsia" w:ascii="Times New Roman" w:hAnsi="Times New Roman" w:eastAsia="宋体" w:cs="Times New Roman"/>
                <w:color w:val="auto"/>
                <w:kern w:val="2"/>
                <w:sz w:val="21"/>
                <w:szCs w:val="22"/>
                <w:highlight w:val="none"/>
                <w:lang w:val="en-US" w:eastAsia="zh-CN" w:bidi="ar-SA"/>
              </w:rPr>
            </w:pPr>
            <w:r>
              <w:rPr>
                <w:rFonts w:hint="eastAsia"/>
                <w:color w:val="auto"/>
                <w:highlight w:val="none"/>
                <w:lang w:val="en-US" w:eastAsia="zh-CN"/>
              </w:rPr>
              <w:t>供应商回收利用</w:t>
            </w:r>
          </w:p>
        </w:tc>
      </w:tr>
      <w:tr w14:paraId="48D9EC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restart"/>
            <w:noWrap w:val="0"/>
            <w:vAlign w:val="center"/>
          </w:tcPr>
          <w:p w14:paraId="2D0F84E2">
            <w:pPr>
              <w:pStyle w:val="245"/>
              <w:spacing w:line="240" w:lineRule="auto"/>
              <w:rPr>
                <w:rFonts w:hint="default" w:eastAsia="宋体"/>
                <w:color w:val="auto"/>
                <w:highlight w:val="none"/>
                <w:lang w:val="en-US" w:eastAsia="zh-CN"/>
              </w:rPr>
            </w:pPr>
            <w:r>
              <w:rPr>
                <w:rFonts w:hint="eastAsia"/>
                <w:color w:val="auto"/>
                <w:highlight w:val="none"/>
                <w:lang w:val="en-US" w:eastAsia="zh-CN"/>
              </w:rPr>
              <w:t>S3</w:t>
            </w:r>
          </w:p>
        </w:tc>
        <w:tc>
          <w:tcPr>
            <w:tcW w:w="1390" w:type="dxa"/>
            <w:noWrap w:val="0"/>
            <w:vAlign w:val="center"/>
          </w:tcPr>
          <w:p w14:paraId="765308A2">
            <w:pPr>
              <w:pStyle w:val="245"/>
              <w:spacing w:line="240" w:lineRule="auto"/>
              <w:rPr>
                <w:color w:val="auto"/>
                <w:highlight w:val="none"/>
              </w:rPr>
            </w:pPr>
            <w:r>
              <w:rPr>
                <w:rFonts w:hint="eastAsia"/>
                <w:color w:val="auto"/>
                <w:highlight w:val="none"/>
              </w:rPr>
              <w:t>废</w:t>
            </w:r>
            <w:r>
              <w:rPr>
                <w:rFonts w:hint="eastAsia"/>
                <w:color w:val="auto"/>
                <w:highlight w:val="none"/>
                <w:lang w:val="en-US" w:eastAsia="zh-CN"/>
              </w:rPr>
              <w:t>机</w:t>
            </w:r>
            <w:r>
              <w:rPr>
                <w:rFonts w:hint="eastAsia"/>
                <w:color w:val="auto"/>
                <w:highlight w:val="none"/>
              </w:rPr>
              <w:t>油</w:t>
            </w:r>
          </w:p>
        </w:tc>
        <w:tc>
          <w:tcPr>
            <w:tcW w:w="1159" w:type="dxa"/>
            <w:vMerge w:val="restart"/>
            <w:noWrap w:val="0"/>
            <w:vAlign w:val="center"/>
          </w:tcPr>
          <w:p w14:paraId="48BFB956">
            <w:pPr>
              <w:pStyle w:val="245"/>
              <w:spacing w:line="240" w:lineRule="auto"/>
              <w:rPr>
                <w:rFonts w:hint="default" w:eastAsia="宋体"/>
                <w:color w:val="auto"/>
                <w:highlight w:val="none"/>
                <w:lang w:val="en-US" w:eastAsia="zh-CN"/>
              </w:rPr>
            </w:pPr>
            <w:r>
              <w:rPr>
                <w:rFonts w:hint="eastAsia"/>
                <w:color w:val="auto"/>
                <w:highlight w:val="none"/>
                <w:lang w:val="en-US" w:eastAsia="zh-CN"/>
              </w:rPr>
              <w:t>设备检修</w:t>
            </w:r>
          </w:p>
        </w:tc>
        <w:tc>
          <w:tcPr>
            <w:tcW w:w="1214" w:type="dxa"/>
            <w:noWrap w:val="0"/>
            <w:vAlign w:val="center"/>
          </w:tcPr>
          <w:p w14:paraId="5D2B45EB">
            <w:pPr>
              <w:pStyle w:val="245"/>
              <w:spacing w:line="240" w:lineRule="auto"/>
              <w:rPr>
                <w:rFonts w:hint="default" w:eastAsia="宋体"/>
                <w:color w:val="auto"/>
                <w:highlight w:val="none"/>
                <w:lang w:val="en-US" w:eastAsia="zh-CN"/>
              </w:rPr>
            </w:pPr>
            <w:r>
              <w:rPr>
                <w:rFonts w:hint="eastAsia"/>
                <w:color w:val="auto"/>
                <w:highlight w:val="none"/>
                <w:lang w:val="en-US" w:eastAsia="zh-CN"/>
              </w:rPr>
              <w:t>3.0</w:t>
            </w:r>
          </w:p>
        </w:tc>
        <w:tc>
          <w:tcPr>
            <w:tcW w:w="1336" w:type="dxa"/>
            <w:noWrap w:val="0"/>
            <w:vAlign w:val="center"/>
          </w:tcPr>
          <w:p w14:paraId="18606B31">
            <w:pPr>
              <w:pStyle w:val="245"/>
              <w:spacing w:line="240" w:lineRule="auto"/>
              <w:rPr>
                <w:rFonts w:hint="eastAsia" w:eastAsia="宋体"/>
                <w:color w:val="auto"/>
                <w:highlight w:val="none"/>
                <w:lang w:eastAsia="zh-CN"/>
              </w:rPr>
            </w:pPr>
            <w:r>
              <w:rPr>
                <w:rFonts w:hint="eastAsia"/>
                <w:color w:val="auto"/>
                <w:highlight w:val="none"/>
              </w:rPr>
              <w:t>危险</w:t>
            </w:r>
            <w:r>
              <w:rPr>
                <w:rFonts w:hint="eastAsia"/>
                <w:color w:val="auto"/>
                <w:highlight w:val="none"/>
                <w:lang w:val="en-US" w:eastAsia="zh-CN"/>
              </w:rPr>
              <w:t>废物</w:t>
            </w:r>
          </w:p>
        </w:tc>
        <w:tc>
          <w:tcPr>
            <w:tcW w:w="1200" w:type="dxa"/>
            <w:noWrap w:val="0"/>
            <w:vAlign w:val="center"/>
          </w:tcPr>
          <w:p w14:paraId="13C4769B">
            <w:pPr>
              <w:pStyle w:val="245"/>
              <w:spacing w:line="240" w:lineRule="auto"/>
              <w:rPr>
                <w:rFonts w:hint="eastAsia"/>
                <w:color w:val="auto"/>
                <w:highlight w:val="none"/>
              </w:rPr>
            </w:pPr>
            <w:r>
              <w:rPr>
                <w:rFonts w:hint="eastAsia" w:ascii="Times New Roman" w:hAnsi="Times New Roman" w:eastAsia="宋体" w:cs="Times New Roman"/>
                <w:color w:val="auto"/>
                <w:highlight w:val="none"/>
                <w:u w:val="none"/>
                <w:lang w:val="en-US" w:eastAsia="zh-CN"/>
              </w:rPr>
              <w:t>900-214-08</w:t>
            </w:r>
          </w:p>
        </w:tc>
        <w:tc>
          <w:tcPr>
            <w:tcW w:w="7351" w:type="dxa"/>
            <w:vMerge w:val="restart"/>
            <w:noWrap w:val="0"/>
            <w:vAlign w:val="center"/>
          </w:tcPr>
          <w:p w14:paraId="1649B047">
            <w:pPr>
              <w:pStyle w:val="245"/>
              <w:spacing w:line="240" w:lineRule="auto"/>
              <w:rPr>
                <w:rFonts w:hint="eastAsia" w:eastAsia="宋体"/>
                <w:color w:val="auto"/>
                <w:highlight w:val="none"/>
                <w:lang w:val="en-US" w:eastAsia="zh-CN"/>
              </w:rPr>
            </w:pPr>
            <w:r>
              <w:rPr>
                <w:rFonts w:hint="eastAsia"/>
                <w:color w:val="auto"/>
                <w:highlight w:val="none"/>
                <w:lang w:val="en-US" w:eastAsia="zh-CN"/>
              </w:rPr>
              <w:t>委托</w:t>
            </w:r>
            <w:r>
              <w:rPr>
                <w:rFonts w:hint="eastAsia"/>
                <w:color w:val="auto"/>
                <w:highlight w:val="none"/>
              </w:rPr>
              <w:t>资质单位</w:t>
            </w:r>
            <w:r>
              <w:rPr>
                <w:rFonts w:hint="eastAsia"/>
                <w:color w:val="auto"/>
                <w:highlight w:val="none"/>
                <w:lang w:val="en-US" w:eastAsia="zh-CN"/>
              </w:rPr>
              <w:t>处置</w:t>
            </w:r>
          </w:p>
        </w:tc>
      </w:tr>
      <w:tr w14:paraId="49744D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Merge w:val="continue"/>
            <w:noWrap w:val="0"/>
            <w:vAlign w:val="center"/>
          </w:tcPr>
          <w:p w14:paraId="6F9CADAA">
            <w:pPr>
              <w:pStyle w:val="245"/>
              <w:spacing w:line="240" w:lineRule="auto"/>
              <w:rPr>
                <w:color w:val="auto"/>
                <w:highlight w:val="none"/>
              </w:rPr>
            </w:pPr>
          </w:p>
        </w:tc>
        <w:tc>
          <w:tcPr>
            <w:tcW w:w="1390" w:type="dxa"/>
            <w:noWrap w:val="0"/>
            <w:vAlign w:val="center"/>
          </w:tcPr>
          <w:p w14:paraId="4147584C">
            <w:pPr>
              <w:pStyle w:val="245"/>
              <w:spacing w:line="240" w:lineRule="auto"/>
              <w:rPr>
                <w:rFonts w:hint="eastAsia" w:eastAsia="宋体"/>
                <w:color w:val="auto"/>
                <w:highlight w:val="none"/>
                <w:lang w:eastAsia="zh-CN"/>
              </w:rPr>
            </w:pPr>
            <w:r>
              <w:rPr>
                <w:rFonts w:hint="eastAsia"/>
                <w:color w:val="auto"/>
                <w:highlight w:val="none"/>
                <w:lang w:val="en-US" w:eastAsia="zh-CN"/>
              </w:rPr>
              <w:t>废机油桶</w:t>
            </w:r>
          </w:p>
        </w:tc>
        <w:tc>
          <w:tcPr>
            <w:tcW w:w="1159" w:type="dxa"/>
            <w:vMerge w:val="continue"/>
            <w:noWrap w:val="0"/>
            <w:vAlign w:val="center"/>
          </w:tcPr>
          <w:p w14:paraId="3FDABB2D">
            <w:pPr>
              <w:pStyle w:val="245"/>
              <w:spacing w:line="240" w:lineRule="auto"/>
              <w:rPr>
                <w:color w:val="auto"/>
                <w:highlight w:val="none"/>
              </w:rPr>
            </w:pPr>
          </w:p>
        </w:tc>
        <w:tc>
          <w:tcPr>
            <w:tcW w:w="1214" w:type="dxa"/>
            <w:noWrap w:val="0"/>
            <w:vAlign w:val="center"/>
          </w:tcPr>
          <w:p w14:paraId="375491C9">
            <w:pPr>
              <w:pStyle w:val="245"/>
              <w:spacing w:line="240" w:lineRule="auto"/>
              <w:rPr>
                <w:rFonts w:hint="default" w:eastAsia="宋体"/>
                <w:color w:val="auto"/>
                <w:highlight w:val="none"/>
                <w:lang w:val="en-US" w:eastAsia="zh-CN"/>
              </w:rPr>
            </w:pPr>
            <w:r>
              <w:rPr>
                <w:rFonts w:hint="eastAsia"/>
                <w:color w:val="auto"/>
                <w:highlight w:val="none"/>
                <w:lang w:val="en-US" w:eastAsia="zh-CN"/>
              </w:rPr>
              <w:t>0.03</w:t>
            </w:r>
          </w:p>
        </w:tc>
        <w:tc>
          <w:tcPr>
            <w:tcW w:w="1336" w:type="dxa"/>
            <w:noWrap w:val="0"/>
            <w:vAlign w:val="center"/>
          </w:tcPr>
          <w:p w14:paraId="7533A339">
            <w:pPr>
              <w:pStyle w:val="245"/>
              <w:spacing w:line="240" w:lineRule="auto"/>
              <w:rPr>
                <w:color w:val="auto"/>
                <w:highlight w:val="none"/>
              </w:rPr>
            </w:pPr>
            <w:r>
              <w:rPr>
                <w:rFonts w:hint="eastAsia"/>
                <w:color w:val="auto"/>
                <w:highlight w:val="none"/>
              </w:rPr>
              <w:t>危险</w:t>
            </w:r>
            <w:r>
              <w:rPr>
                <w:rFonts w:hint="eastAsia"/>
                <w:color w:val="auto"/>
                <w:highlight w:val="none"/>
                <w:lang w:val="en-US" w:eastAsia="zh-CN"/>
              </w:rPr>
              <w:t>废物</w:t>
            </w:r>
          </w:p>
        </w:tc>
        <w:tc>
          <w:tcPr>
            <w:tcW w:w="1200" w:type="dxa"/>
            <w:noWrap w:val="0"/>
            <w:vAlign w:val="center"/>
          </w:tcPr>
          <w:p w14:paraId="606DD7C4">
            <w:pPr>
              <w:pStyle w:val="245"/>
              <w:spacing w:line="240" w:lineRule="auto"/>
              <w:rPr>
                <w:rFonts w:hint="default"/>
                <w:color w:val="auto"/>
                <w:highlight w:val="none"/>
                <w:lang w:val="en-US"/>
              </w:rPr>
            </w:pPr>
            <w:r>
              <w:rPr>
                <w:rFonts w:hint="eastAsia"/>
                <w:color w:val="auto"/>
                <w:highlight w:val="none"/>
                <w:lang w:val="en-US" w:eastAsia="zh-CN"/>
              </w:rPr>
              <w:t>900-249-08</w:t>
            </w:r>
          </w:p>
        </w:tc>
        <w:tc>
          <w:tcPr>
            <w:tcW w:w="7351" w:type="dxa"/>
            <w:vMerge w:val="continue"/>
            <w:noWrap w:val="0"/>
            <w:vAlign w:val="center"/>
          </w:tcPr>
          <w:p w14:paraId="468E1387">
            <w:pPr>
              <w:pStyle w:val="245"/>
              <w:spacing w:line="240" w:lineRule="auto"/>
              <w:rPr>
                <w:color w:val="auto"/>
                <w:highlight w:val="none"/>
              </w:rPr>
            </w:pPr>
          </w:p>
        </w:tc>
      </w:tr>
      <w:tr w14:paraId="56AACA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noWrap w:val="0"/>
            <w:vAlign w:val="center"/>
          </w:tcPr>
          <w:p w14:paraId="040DB3E7">
            <w:pPr>
              <w:pStyle w:val="245"/>
              <w:spacing w:line="240" w:lineRule="auto"/>
              <w:rPr>
                <w:rFonts w:hint="default" w:eastAsia="宋体"/>
                <w:color w:val="auto"/>
                <w:highlight w:val="none"/>
                <w:lang w:val="en-US" w:eastAsia="zh-CN"/>
              </w:rPr>
            </w:pPr>
            <w:r>
              <w:rPr>
                <w:rFonts w:hint="eastAsia"/>
                <w:color w:val="auto"/>
                <w:highlight w:val="none"/>
                <w:lang w:val="en-US" w:eastAsia="zh-CN"/>
              </w:rPr>
              <w:t>S4</w:t>
            </w:r>
          </w:p>
        </w:tc>
        <w:tc>
          <w:tcPr>
            <w:tcW w:w="1390" w:type="dxa"/>
            <w:noWrap w:val="0"/>
            <w:vAlign w:val="center"/>
          </w:tcPr>
          <w:p w14:paraId="49D79ECC">
            <w:pPr>
              <w:pStyle w:val="245"/>
              <w:spacing w:line="240" w:lineRule="auto"/>
              <w:rPr>
                <w:rFonts w:hint="default"/>
                <w:color w:val="auto"/>
                <w:highlight w:val="none"/>
                <w:lang w:val="en-US" w:eastAsia="zh-CN"/>
              </w:rPr>
            </w:pPr>
            <w:r>
              <w:rPr>
                <w:rFonts w:hint="eastAsia"/>
                <w:color w:val="auto"/>
                <w:highlight w:val="none"/>
                <w:lang w:val="en-US" w:eastAsia="zh-CN"/>
              </w:rPr>
              <w:t>废尾矿砂</w:t>
            </w:r>
          </w:p>
        </w:tc>
        <w:tc>
          <w:tcPr>
            <w:tcW w:w="1159" w:type="dxa"/>
            <w:noWrap w:val="0"/>
            <w:vAlign w:val="center"/>
          </w:tcPr>
          <w:p w14:paraId="4C5E5919">
            <w:pPr>
              <w:pStyle w:val="245"/>
              <w:spacing w:line="240" w:lineRule="auto"/>
              <w:rPr>
                <w:rFonts w:hint="default" w:eastAsia="宋体"/>
                <w:color w:val="auto"/>
                <w:highlight w:val="none"/>
                <w:lang w:val="en-US" w:eastAsia="zh-CN"/>
              </w:rPr>
            </w:pPr>
            <w:r>
              <w:rPr>
                <w:rFonts w:hint="eastAsia"/>
                <w:color w:val="auto"/>
                <w:highlight w:val="none"/>
                <w:lang w:val="en-US" w:eastAsia="zh-CN"/>
              </w:rPr>
              <w:t>压滤工序</w:t>
            </w:r>
          </w:p>
        </w:tc>
        <w:tc>
          <w:tcPr>
            <w:tcW w:w="1214" w:type="dxa"/>
            <w:noWrap w:val="0"/>
            <w:vAlign w:val="center"/>
          </w:tcPr>
          <w:p w14:paraId="07C9A55C">
            <w:pPr>
              <w:pStyle w:val="245"/>
              <w:spacing w:line="240" w:lineRule="auto"/>
              <w:rPr>
                <w:rFonts w:hint="default"/>
                <w:color w:val="auto"/>
                <w:highlight w:val="none"/>
                <w:lang w:val="en-US" w:eastAsia="zh-CN"/>
              </w:rPr>
            </w:pPr>
            <w:r>
              <w:rPr>
                <w:rFonts w:hint="eastAsia"/>
                <w:color w:val="auto"/>
                <w:highlight w:val="none"/>
                <w:lang w:val="en-US" w:eastAsia="zh-CN"/>
              </w:rPr>
              <w:t>175000</w:t>
            </w:r>
          </w:p>
        </w:tc>
        <w:tc>
          <w:tcPr>
            <w:tcW w:w="1336" w:type="dxa"/>
            <w:noWrap w:val="0"/>
            <w:vAlign w:val="center"/>
          </w:tcPr>
          <w:p w14:paraId="311036FB">
            <w:pPr>
              <w:pStyle w:val="245"/>
              <w:spacing w:line="240" w:lineRule="auto"/>
              <w:rPr>
                <w:rFonts w:hint="default" w:eastAsia="宋体"/>
                <w:color w:val="auto"/>
                <w:highlight w:val="none"/>
                <w:lang w:val="en-US" w:eastAsia="zh-CN"/>
              </w:rPr>
            </w:pPr>
            <w:r>
              <w:rPr>
                <w:rFonts w:hint="eastAsia"/>
                <w:color w:val="auto"/>
                <w:highlight w:val="none"/>
                <w:lang w:val="en-US" w:eastAsia="zh-CN"/>
              </w:rPr>
              <w:t>一般固废</w:t>
            </w:r>
          </w:p>
        </w:tc>
        <w:tc>
          <w:tcPr>
            <w:tcW w:w="1200" w:type="dxa"/>
            <w:noWrap w:val="0"/>
            <w:vAlign w:val="center"/>
          </w:tcPr>
          <w:p w14:paraId="21DB3E15">
            <w:pPr>
              <w:pStyle w:val="245"/>
              <w:spacing w:line="240" w:lineRule="auto"/>
              <w:rPr>
                <w:rFonts w:hint="default"/>
                <w:color w:val="auto"/>
                <w:highlight w:val="none"/>
                <w:lang w:val="en-US" w:eastAsia="zh-CN"/>
              </w:rPr>
            </w:pPr>
            <w:r>
              <w:rPr>
                <w:rFonts w:hint="eastAsia"/>
                <w:color w:val="auto"/>
                <w:highlight w:val="none"/>
                <w:lang w:val="en-US" w:eastAsia="zh-CN"/>
              </w:rPr>
              <w:t>/</w:t>
            </w:r>
          </w:p>
        </w:tc>
        <w:tc>
          <w:tcPr>
            <w:tcW w:w="7351" w:type="dxa"/>
            <w:noWrap w:val="0"/>
            <w:vAlign w:val="center"/>
          </w:tcPr>
          <w:p w14:paraId="08BEA712">
            <w:pPr>
              <w:pStyle w:val="245"/>
              <w:spacing w:line="240" w:lineRule="auto"/>
              <w:rPr>
                <w:rFonts w:hint="default" w:eastAsia="宋体"/>
                <w:color w:val="auto"/>
                <w:highlight w:val="none"/>
                <w:lang w:val="en-US" w:eastAsia="zh-CN"/>
              </w:rPr>
            </w:pPr>
            <w:r>
              <w:rPr>
                <w:rFonts w:hint="eastAsia"/>
                <w:color w:val="auto"/>
                <w:highlight w:val="none"/>
                <w:lang w:val="en-US" w:eastAsia="zh-CN"/>
              </w:rPr>
              <w:t>优先供给</w:t>
            </w:r>
            <w:r>
              <w:rPr>
                <w:rFonts w:hint="eastAsia"/>
                <w:color w:val="auto"/>
                <w:highlight w:val="yellow"/>
                <w:lang w:val="en-US" w:eastAsia="zh-CN"/>
              </w:rPr>
              <w:t>河北围场满族蒙古族自治县联玉墙体材料厂和隆化县皓诚新型节能砖厂</w:t>
            </w:r>
            <w:r>
              <w:rPr>
                <w:rFonts w:hint="eastAsia"/>
                <w:color w:val="auto"/>
                <w:highlight w:val="none"/>
                <w:lang w:val="en-US" w:eastAsia="zh-CN"/>
              </w:rPr>
              <w:t>作制砖原材料，资源化综合利用，</w:t>
            </w:r>
            <w:r>
              <w:rPr>
                <w:rFonts w:hint="eastAsia" w:cs="Times New Roman"/>
                <w:color w:val="auto"/>
                <w:highlight w:val="none"/>
                <w:lang w:val="en-US" w:eastAsia="zh-CN"/>
              </w:rPr>
              <w:t>因接纳砖厂市场原因利用不畅时，做周边矿区采空坑填充料。</w:t>
            </w:r>
          </w:p>
        </w:tc>
      </w:tr>
      <w:tr w14:paraId="12975A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noWrap w:val="0"/>
            <w:vAlign w:val="center"/>
          </w:tcPr>
          <w:p w14:paraId="7B716913">
            <w:pPr>
              <w:pStyle w:val="245"/>
              <w:spacing w:line="240" w:lineRule="auto"/>
              <w:rPr>
                <w:rFonts w:hint="default"/>
                <w:color w:val="auto"/>
                <w:highlight w:val="none"/>
                <w:lang w:val="en-US" w:eastAsia="zh-CN"/>
              </w:rPr>
            </w:pPr>
            <w:r>
              <w:rPr>
                <w:rFonts w:hint="eastAsia"/>
                <w:color w:val="auto"/>
                <w:highlight w:val="none"/>
                <w:lang w:val="en-US" w:eastAsia="zh-CN"/>
              </w:rPr>
              <w:t>S5</w:t>
            </w:r>
          </w:p>
        </w:tc>
        <w:tc>
          <w:tcPr>
            <w:tcW w:w="1390" w:type="dxa"/>
            <w:noWrap w:val="0"/>
            <w:vAlign w:val="center"/>
          </w:tcPr>
          <w:p w14:paraId="11E818FA">
            <w:pPr>
              <w:pStyle w:val="245"/>
              <w:spacing w:line="240" w:lineRule="auto"/>
              <w:rPr>
                <w:rFonts w:hint="default"/>
                <w:color w:val="auto"/>
                <w:highlight w:val="none"/>
                <w:lang w:val="en-US" w:eastAsia="zh-CN"/>
              </w:rPr>
            </w:pPr>
            <w:r>
              <w:rPr>
                <w:rFonts w:hint="eastAsia"/>
                <w:color w:val="auto"/>
                <w:highlight w:val="none"/>
                <w:lang w:val="en-US" w:eastAsia="zh-CN"/>
              </w:rPr>
              <w:t>底泥</w:t>
            </w:r>
          </w:p>
        </w:tc>
        <w:tc>
          <w:tcPr>
            <w:tcW w:w="1159" w:type="dxa"/>
            <w:noWrap w:val="0"/>
            <w:vAlign w:val="center"/>
          </w:tcPr>
          <w:p w14:paraId="629ED2EF">
            <w:pPr>
              <w:pStyle w:val="245"/>
              <w:spacing w:line="240" w:lineRule="auto"/>
              <w:rPr>
                <w:rFonts w:hint="default"/>
                <w:color w:val="auto"/>
                <w:highlight w:val="none"/>
                <w:lang w:val="en-US" w:eastAsia="zh-CN"/>
              </w:rPr>
            </w:pPr>
            <w:r>
              <w:rPr>
                <w:rFonts w:hint="eastAsia"/>
                <w:color w:val="auto"/>
                <w:highlight w:val="none"/>
                <w:lang w:val="en-US" w:eastAsia="zh-CN"/>
              </w:rPr>
              <w:t>循环水池</w:t>
            </w:r>
          </w:p>
        </w:tc>
        <w:tc>
          <w:tcPr>
            <w:tcW w:w="1214" w:type="dxa"/>
            <w:noWrap w:val="0"/>
            <w:vAlign w:val="center"/>
          </w:tcPr>
          <w:p w14:paraId="1E43F439">
            <w:pPr>
              <w:pStyle w:val="245"/>
              <w:spacing w:line="240" w:lineRule="auto"/>
              <w:rPr>
                <w:rFonts w:hint="default"/>
                <w:color w:val="auto"/>
                <w:highlight w:val="none"/>
                <w:lang w:val="en-US" w:eastAsia="zh-CN"/>
              </w:rPr>
            </w:pPr>
            <w:r>
              <w:rPr>
                <w:rFonts w:hint="eastAsia"/>
                <w:color w:val="auto"/>
                <w:highlight w:val="none"/>
                <w:lang w:val="en-US" w:eastAsia="zh-CN"/>
              </w:rPr>
              <w:t>5.4</w:t>
            </w:r>
          </w:p>
        </w:tc>
        <w:tc>
          <w:tcPr>
            <w:tcW w:w="1336" w:type="dxa"/>
            <w:noWrap w:val="0"/>
            <w:vAlign w:val="center"/>
          </w:tcPr>
          <w:p w14:paraId="5BBB58AA">
            <w:pPr>
              <w:pStyle w:val="245"/>
              <w:spacing w:line="240" w:lineRule="auto"/>
              <w:rPr>
                <w:rFonts w:hint="eastAsia"/>
                <w:color w:val="auto"/>
                <w:highlight w:val="none"/>
                <w:lang w:val="en-US" w:eastAsia="zh-CN"/>
              </w:rPr>
            </w:pPr>
            <w:r>
              <w:rPr>
                <w:rFonts w:hint="eastAsia"/>
                <w:color w:val="auto"/>
                <w:highlight w:val="none"/>
                <w:lang w:val="en-US" w:eastAsia="zh-CN"/>
              </w:rPr>
              <w:t>一般固废</w:t>
            </w:r>
          </w:p>
        </w:tc>
        <w:tc>
          <w:tcPr>
            <w:tcW w:w="1200" w:type="dxa"/>
            <w:noWrap w:val="0"/>
            <w:vAlign w:val="center"/>
          </w:tcPr>
          <w:p w14:paraId="7381F077">
            <w:pPr>
              <w:pStyle w:val="245"/>
              <w:spacing w:line="240" w:lineRule="auto"/>
              <w:rPr>
                <w:rFonts w:hint="default"/>
                <w:color w:val="auto"/>
                <w:highlight w:val="none"/>
                <w:lang w:val="en-US" w:eastAsia="zh-CN"/>
              </w:rPr>
            </w:pPr>
            <w:r>
              <w:rPr>
                <w:rFonts w:hint="eastAsia"/>
                <w:color w:val="auto"/>
                <w:highlight w:val="none"/>
                <w:lang w:val="en-US" w:eastAsia="zh-CN"/>
              </w:rPr>
              <w:t>/</w:t>
            </w:r>
          </w:p>
        </w:tc>
        <w:tc>
          <w:tcPr>
            <w:tcW w:w="7351" w:type="dxa"/>
            <w:noWrap w:val="0"/>
            <w:vAlign w:val="center"/>
          </w:tcPr>
          <w:p w14:paraId="4E507A04">
            <w:pPr>
              <w:pStyle w:val="245"/>
              <w:spacing w:line="240" w:lineRule="auto"/>
              <w:rPr>
                <w:rFonts w:hint="eastAsia"/>
                <w:color w:val="auto"/>
                <w:highlight w:val="none"/>
                <w:lang w:val="en-US" w:eastAsia="zh-CN"/>
              </w:rPr>
            </w:pPr>
            <w:r>
              <w:rPr>
                <w:rFonts w:hint="default" w:ascii="Times New Roman" w:hAnsi="Times New Roman" w:eastAsia="宋体" w:cs="Times New Roman"/>
                <w:color w:val="auto"/>
                <w:highlight w:val="none"/>
                <w:lang w:val="en-US" w:eastAsia="zh-CN"/>
              </w:rPr>
              <w:t>经</w:t>
            </w:r>
            <w:r>
              <w:rPr>
                <w:rFonts w:hint="eastAsia" w:cs="Times New Roman"/>
                <w:color w:val="auto"/>
                <w:highlight w:val="none"/>
                <w:lang w:val="en-US" w:eastAsia="zh-CN"/>
              </w:rPr>
              <w:t>尾矿</w:t>
            </w:r>
            <w:r>
              <w:rPr>
                <w:rFonts w:hint="default" w:ascii="Times New Roman" w:hAnsi="Times New Roman" w:eastAsia="宋体" w:cs="Times New Roman"/>
                <w:color w:val="auto"/>
                <w:highlight w:val="none"/>
                <w:lang w:val="en-US" w:eastAsia="zh-CN"/>
              </w:rPr>
              <w:t>压滤机压滤后同尾矿砂一同综合利用</w:t>
            </w:r>
            <w:r>
              <w:rPr>
                <w:rFonts w:hint="eastAsia" w:cs="Times New Roman"/>
                <w:color w:val="auto"/>
                <w:highlight w:val="none"/>
                <w:lang w:val="en-US" w:eastAsia="zh-CN"/>
              </w:rPr>
              <w:t>。</w:t>
            </w:r>
          </w:p>
        </w:tc>
      </w:tr>
      <w:tr w14:paraId="020ED8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noWrap w:val="0"/>
            <w:vAlign w:val="center"/>
          </w:tcPr>
          <w:p w14:paraId="51E4F93F">
            <w:pPr>
              <w:pStyle w:val="245"/>
              <w:spacing w:line="240" w:lineRule="auto"/>
              <w:rPr>
                <w:rFonts w:hint="default" w:eastAsia="宋体"/>
                <w:color w:val="auto"/>
                <w:highlight w:val="none"/>
                <w:lang w:val="en-US" w:eastAsia="zh-CN"/>
              </w:rPr>
            </w:pPr>
            <w:r>
              <w:rPr>
                <w:rFonts w:hint="eastAsia"/>
                <w:color w:val="auto"/>
                <w:highlight w:val="none"/>
                <w:lang w:val="en-US" w:eastAsia="zh-CN"/>
              </w:rPr>
              <w:t>S6</w:t>
            </w:r>
          </w:p>
        </w:tc>
        <w:tc>
          <w:tcPr>
            <w:tcW w:w="1390" w:type="dxa"/>
            <w:noWrap w:val="0"/>
            <w:vAlign w:val="center"/>
          </w:tcPr>
          <w:p w14:paraId="3E4E18FA">
            <w:pPr>
              <w:pStyle w:val="245"/>
              <w:spacing w:line="240" w:lineRule="auto"/>
              <w:rPr>
                <w:color w:val="auto"/>
                <w:highlight w:val="none"/>
              </w:rPr>
            </w:pPr>
            <w:r>
              <w:rPr>
                <w:color w:val="auto"/>
                <w:highlight w:val="none"/>
              </w:rPr>
              <w:t>生活垃圾</w:t>
            </w:r>
          </w:p>
        </w:tc>
        <w:tc>
          <w:tcPr>
            <w:tcW w:w="1159" w:type="dxa"/>
            <w:noWrap w:val="0"/>
            <w:vAlign w:val="center"/>
          </w:tcPr>
          <w:p w14:paraId="618ABAEE">
            <w:pPr>
              <w:pStyle w:val="245"/>
              <w:spacing w:line="240" w:lineRule="auto"/>
              <w:rPr>
                <w:color w:val="auto"/>
                <w:highlight w:val="none"/>
              </w:rPr>
            </w:pPr>
            <w:r>
              <w:rPr>
                <w:color w:val="auto"/>
                <w:highlight w:val="none"/>
              </w:rPr>
              <w:t>办公生活</w:t>
            </w:r>
          </w:p>
        </w:tc>
        <w:tc>
          <w:tcPr>
            <w:tcW w:w="1214" w:type="dxa"/>
            <w:noWrap w:val="0"/>
            <w:vAlign w:val="center"/>
          </w:tcPr>
          <w:p w14:paraId="3D8A9ABC">
            <w:pPr>
              <w:pStyle w:val="245"/>
              <w:spacing w:line="240" w:lineRule="auto"/>
              <w:rPr>
                <w:color w:val="auto"/>
                <w:highlight w:val="none"/>
              </w:rPr>
            </w:pPr>
            <w:r>
              <w:rPr>
                <w:color w:val="auto"/>
                <w:highlight w:val="none"/>
              </w:rPr>
              <w:t>73</w:t>
            </w:r>
          </w:p>
        </w:tc>
        <w:tc>
          <w:tcPr>
            <w:tcW w:w="1336" w:type="dxa"/>
            <w:noWrap w:val="0"/>
            <w:vAlign w:val="center"/>
          </w:tcPr>
          <w:p w14:paraId="76E610B6">
            <w:pPr>
              <w:pStyle w:val="245"/>
              <w:spacing w:line="240" w:lineRule="auto"/>
              <w:rPr>
                <w:color w:val="auto"/>
                <w:highlight w:val="none"/>
              </w:rPr>
            </w:pPr>
            <w:r>
              <w:rPr>
                <w:color w:val="auto"/>
                <w:highlight w:val="none"/>
              </w:rPr>
              <w:t>生活垃圾</w:t>
            </w:r>
          </w:p>
        </w:tc>
        <w:tc>
          <w:tcPr>
            <w:tcW w:w="1200" w:type="dxa"/>
            <w:noWrap w:val="0"/>
            <w:vAlign w:val="center"/>
          </w:tcPr>
          <w:p w14:paraId="492FA861">
            <w:pPr>
              <w:pStyle w:val="245"/>
              <w:spacing w:line="240" w:lineRule="auto"/>
              <w:rPr>
                <w:rFonts w:hint="eastAsia" w:eastAsia="宋体"/>
                <w:color w:val="auto"/>
                <w:highlight w:val="none"/>
                <w:lang w:val="en-US" w:eastAsia="zh-CN"/>
              </w:rPr>
            </w:pPr>
            <w:r>
              <w:rPr>
                <w:rFonts w:hint="eastAsia"/>
                <w:color w:val="auto"/>
                <w:highlight w:val="none"/>
                <w:lang w:val="en-US" w:eastAsia="zh-CN"/>
              </w:rPr>
              <w:t>/</w:t>
            </w:r>
          </w:p>
        </w:tc>
        <w:tc>
          <w:tcPr>
            <w:tcW w:w="7351" w:type="dxa"/>
            <w:noWrap w:val="0"/>
            <w:vAlign w:val="center"/>
          </w:tcPr>
          <w:p w14:paraId="17BECF4D">
            <w:pPr>
              <w:pStyle w:val="245"/>
              <w:spacing w:line="240" w:lineRule="auto"/>
              <w:rPr>
                <w:color w:val="auto"/>
                <w:highlight w:val="none"/>
              </w:rPr>
            </w:pPr>
            <w:r>
              <w:rPr>
                <w:rFonts w:hint="eastAsia"/>
                <w:color w:val="auto"/>
                <w:highlight w:val="none"/>
                <w:lang w:val="en-US" w:eastAsia="zh-CN"/>
              </w:rPr>
              <w:t>送</w:t>
            </w:r>
            <w:r>
              <w:rPr>
                <w:color w:val="auto"/>
                <w:highlight w:val="none"/>
              </w:rPr>
              <w:t>环卫部门处置</w:t>
            </w:r>
          </w:p>
        </w:tc>
      </w:tr>
    </w:tbl>
    <w:p w14:paraId="1C0D24C1">
      <w:pPr>
        <w:pStyle w:val="6"/>
        <w:numPr>
          <w:ilvl w:val="0"/>
          <w:numId w:val="0"/>
        </w:numPr>
        <w:ind w:leftChars="0"/>
        <w:rPr>
          <w:color w:val="auto"/>
          <w:highlight w:val="none"/>
        </w:rPr>
        <w:sectPr>
          <w:pgSz w:w="16840" w:h="11907"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linePitch="326" w:charSpace="0"/>
        </w:sectPr>
      </w:pPr>
    </w:p>
    <w:p w14:paraId="33B865A9">
      <w:pPr>
        <w:pStyle w:val="6"/>
        <w:rPr>
          <w:color w:val="auto"/>
          <w:highlight w:val="none"/>
        </w:rPr>
      </w:pPr>
      <w:r>
        <w:rPr>
          <w:rFonts w:hint="eastAsia"/>
          <w:color w:val="auto"/>
          <w:highlight w:val="none"/>
          <w:lang w:val="en-US" w:eastAsia="zh-CN"/>
        </w:rPr>
        <w:t xml:space="preserve"> </w:t>
      </w:r>
      <w:r>
        <w:rPr>
          <w:rFonts w:hint="eastAsia"/>
          <w:color w:val="auto"/>
          <w:highlight w:val="none"/>
        </w:rPr>
        <w:t>噪声</w:t>
      </w:r>
    </w:p>
    <w:p w14:paraId="08532192">
      <w:pPr>
        <w:ind w:firstLine="480" w:firstLineChars="0"/>
        <w:rPr>
          <w:rFonts w:hint="eastAsia" w:ascii="Times New Roman" w:hAnsi="Times New Roman" w:cs="Times New Roman"/>
          <w:color w:val="auto"/>
          <w:highlight w:val="none"/>
          <w:lang w:val="en-US" w:eastAsia="zh-CN"/>
        </w:rPr>
        <w:sectPr>
          <w:pgSz w:w="11907" w:h="16840"/>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26" w:charSpace="0"/>
        </w:sectPr>
      </w:pPr>
      <w:r>
        <w:rPr>
          <w:rFonts w:hint="eastAsia" w:ascii="Times New Roman" w:hAnsi="Times New Roman" w:cs="Times New Roman"/>
          <w:color w:val="auto"/>
          <w:highlight w:val="none"/>
          <w:lang w:val="en-US" w:eastAsia="zh-CN"/>
        </w:rPr>
        <w:t>本项目噪声污染源主要来自生产过程中各种设备和设施的运行噪声，主要为生产工序的给矿机、颚式破碎机、振动筛、球磨机、螺旋分级机、泥浆泵、过滤机、水环真空泵、浓缩机等设备。根据类比调查结果，项目各产噪声设备均采取相应措施，具体噪声源强见表3.1</w:t>
      </w: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9和表3.11-10</w:t>
      </w:r>
      <w:r>
        <w:rPr>
          <w:rFonts w:hint="eastAsia" w:ascii="Times New Roman" w:hAnsi="Times New Roman" w:cs="Times New Roman"/>
          <w:color w:val="auto"/>
          <w:highlight w:val="none"/>
          <w:lang w:val="en-US" w:eastAsia="zh-CN"/>
        </w:rPr>
        <w:t>。</w:t>
      </w:r>
    </w:p>
    <w:p w14:paraId="3CF694D9">
      <w:pPr>
        <w:pStyle w:val="331"/>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highlight w:val="none"/>
          <w:lang w:val="en-US" w:eastAsia="zh-CN"/>
        </w:rPr>
        <w:t>表</w:t>
      </w:r>
      <w:r>
        <w:rPr>
          <w:rFonts w:hint="eastAsia" w:ascii="Times New Roman" w:hAnsi="Times New Roman" w:cs="Times New Roman"/>
          <w:color w:val="auto"/>
          <w:sz w:val="24"/>
          <w:highlight w:val="none"/>
          <w:lang w:val="en-US" w:eastAsia="zh-CN"/>
        </w:rPr>
        <w:t>3.1</w:t>
      </w: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lang w:val="en-US" w:eastAsia="zh-CN"/>
        </w:rPr>
        <w:t xml:space="preserve">    </w:t>
      </w:r>
      <w:r>
        <w:rPr>
          <w:rFonts w:hint="eastAsia"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highlight w:val="none"/>
        </w:rPr>
        <w:t>噪声源</w:t>
      </w:r>
      <w:r>
        <w:rPr>
          <w:rFonts w:hint="eastAsia" w:cs="Times New Roman"/>
          <w:color w:val="auto"/>
          <w:highlight w:val="none"/>
          <w:lang w:val="en-US" w:eastAsia="zh-CN"/>
        </w:rPr>
        <w:t>强调查清单(室内声源）</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856"/>
        <w:gridCol w:w="1071"/>
        <w:gridCol w:w="1536"/>
        <w:gridCol w:w="531"/>
        <w:gridCol w:w="531"/>
        <w:gridCol w:w="426"/>
        <w:gridCol w:w="641"/>
        <w:gridCol w:w="1347"/>
        <w:gridCol w:w="1191"/>
        <w:gridCol w:w="1589"/>
        <w:gridCol w:w="1138"/>
        <w:gridCol w:w="1105"/>
        <w:gridCol w:w="641"/>
        <w:gridCol w:w="965"/>
      </w:tblGrid>
      <w:tr w14:paraId="63343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vMerge w:val="restart"/>
            <w:tcBorders>
              <w:tl2br w:val="nil"/>
              <w:tr2bl w:val="nil"/>
            </w:tcBorders>
            <w:noWrap w:val="0"/>
            <w:vAlign w:val="center"/>
          </w:tcPr>
          <w:p w14:paraId="38E9C5C5">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0" w:type="auto"/>
            <w:vMerge w:val="restart"/>
            <w:tcBorders>
              <w:tl2br w:val="nil"/>
              <w:tr2bl w:val="nil"/>
            </w:tcBorders>
            <w:noWrap w:val="0"/>
            <w:vAlign w:val="center"/>
          </w:tcPr>
          <w:p w14:paraId="71E2AE9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建筑物名称</w:t>
            </w:r>
          </w:p>
        </w:tc>
        <w:tc>
          <w:tcPr>
            <w:tcW w:w="0" w:type="auto"/>
            <w:vMerge w:val="restart"/>
            <w:tcBorders>
              <w:tl2br w:val="nil"/>
              <w:tr2bl w:val="nil"/>
            </w:tcBorders>
            <w:noWrap w:val="0"/>
            <w:vAlign w:val="center"/>
          </w:tcPr>
          <w:p w14:paraId="461F0017">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声源名称</w:t>
            </w:r>
          </w:p>
        </w:tc>
        <w:tc>
          <w:tcPr>
            <w:tcW w:w="0" w:type="auto"/>
            <w:vMerge w:val="restart"/>
            <w:tcBorders>
              <w:tl2br w:val="nil"/>
              <w:tr2bl w:val="nil"/>
            </w:tcBorders>
            <w:noWrap w:val="0"/>
            <w:vAlign w:val="center"/>
          </w:tcPr>
          <w:p w14:paraId="21A8D891">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型号</w:t>
            </w:r>
          </w:p>
        </w:tc>
        <w:tc>
          <w:tcPr>
            <w:tcW w:w="0" w:type="auto"/>
            <w:gridSpan w:val="3"/>
            <w:tcBorders>
              <w:tl2br w:val="nil"/>
              <w:tr2bl w:val="nil"/>
            </w:tcBorders>
            <w:noWrap w:val="0"/>
            <w:vAlign w:val="center"/>
          </w:tcPr>
          <w:p w14:paraId="6E18E1B4">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空间相对位置</w:t>
            </w:r>
          </w:p>
        </w:tc>
        <w:tc>
          <w:tcPr>
            <w:tcW w:w="0" w:type="auto"/>
            <w:vMerge w:val="restart"/>
            <w:tcBorders>
              <w:tl2br w:val="nil"/>
              <w:tr2bl w:val="nil"/>
            </w:tcBorders>
            <w:noWrap w:val="0"/>
            <w:vAlign w:val="center"/>
          </w:tcPr>
          <w:p w14:paraId="62AEA9A1">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w:t>
            </w:r>
            <w:r>
              <w:rPr>
                <w:rFonts w:hint="eastAsia" w:cs="Times New Roman"/>
                <w:color w:val="auto"/>
                <w:highlight w:val="none"/>
                <w:lang w:val="en-US" w:eastAsia="zh-CN"/>
              </w:rPr>
              <w:t>源</w:t>
            </w:r>
            <w:r>
              <w:rPr>
                <w:rFonts w:hint="default" w:ascii="Times New Roman" w:hAnsi="Times New Roman" w:cs="Times New Roman"/>
                <w:color w:val="auto"/>
                <w:highlight w:val="none"/>
                <w:lang w:val="en-US" w:eastAsia="zh-CN"/>
              </w:rPr>
              <w:t>强</w:t>
            </w:r>
          </w:p>
        </w:tc>
        <w:tc>
          <w:tcPr>
            <w:tcW w:w="0" w:type="auto"/>
            <w:vMerge w:val="restart"/>
            <w:tcBorders>
              <w:tl2br w:val="nil"/>
              <w:tr2bl w:val="nil"/>
            </w:tcBorders>
            <w:noWrap w:val="0"/>
            <w:vAlign w:val="center"/>
          </w:tcPr>
          <w:p w14:paraId="3801156F">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声源控制措施</w:t>
            </w:r>
          </w:p>
        </w:tc>
        <w:tc>
          <w:tcPr>
            <w:tcW w:w="0" w:type="auto"/>
            <w:vMerge w:val="restart"/>
            <w:tcBorders>
              <w:tl2br w:val="nil"/>
              <w:tr2bl w:val="nil"/>
            </w:tcBorders>
            <w:noWrap w:val="0"/>
            <w:vAlign w:val="center"/>
          </w:tcPr>
          <w:p w14:paraId="26C62BC5">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距室内边界距离/m</w:t>
            </w:r>
          </w:p>
        </w:tc>
        <w:tc>
          <w:tcPr>
            <w:tcW w:w="0" w:type="auto"/>
            <w:vMerge w:val="restart"/>
            <w:tcBorders>
              <w:tl2br w:val="nil"/>
              <w:tr2bl w:val="nil"/>
            </w:tcBorders>
            <w:noWrap w:val="0"/>
            <w:vAlign w:val="center"/>
          </w:tcPr>
          <w:p w14:paraId="599FFDF6">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室内边界声级/dB（A）</w:t>
            </w:r>
          </w:p>
        </w:tc>
        <w:tc>
          <w:tcPr>
            <w:tcW w:w="0" w:type="auto"/>
            <w:vMerge w:val="restart"/>
            <w:tcBorders>
              <w:tl2br w:val="nil"/>
              <w:tr2bl w:val="nil"/>
            </w:tcBorders>
            <w:noWrap w:val="0"/>
            <w:vAlign w:val="center"/>
          </w:tcPr>
          <w:p w14:paraId="00325396">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运行时段</w:t>
            </w:r>
          </w:p>
        </w:tc>
        <w:tc>
          <w:tcPr>
            <w:tcW w:w="0" w:type="auto"/>
            <w:vMerge w:val="restart"/>
            <w:tcBorders>
              <w:tl2br w:val="nil"/>
              <w:tr2bl w:val="nil"/>
            </w:tcBorders>
            <w:noWrap w:val="0"/>
            <w:vAlign w:val="center"/>
          </w:tcPr>
          <w:p w14:paraId="7C25B6EC">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建筑物插入损失</w:t>
            </w:r>
          </w:p>
        </w:tc>
        <w:tc>
          <w:tcPr>
            <w:tcW w:w="0" w:type="auto"/>
            <w:gridSpan w:val="2"/>
            <w:tcBorders>
              <w:tl2br w:val="nil"/>
              <w:tr2bl w:val="nil"/>
            </w:tcBorders>
            <w:noWrap w:val="0"/>
            <w:vAlign w:val="center"/>
          </w:tcPr>
          <w:p w14:paraId="2D87CC0F">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建筑物外噪声</w:t>
            </w:r>
          </w:p>
        </w:tc>
      </w:tr>
      <w:tr w14:paraId="3E39D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0" w:type="auto"/>
            <w:vMerge w:val="continue"/>
            <w:tcBorders>
              <w:tl2br w:val="nil"/>
              <w:tr2bl w:val="nil"/>
            </w:tcBorders>
            <w:noWrap w:val="0"/>
            <w:vAlign w:val="center"/>
          </w:tcPr>
          <w:p w14:paraId="7A7CE0EF">
            <w:pPr>
              <w:pStyle w:val="330"/>
              <w:bidi w:val="0"/>
              <w:jc w:val="center"/>
              <w:rPr>
                <w:rFonts w:hint="default" w:ascii="Times New Roman" w:hAnsi="Times New Roman" w:cs="Times New Roman"/>
                <w:color w:val="auto"/>
                <w:highlight w:val="none"/>
              </w:rPr>
            </w:pPr>
          </w:p>
        </w:tc>
        <w:tc>
          <w:tcPr>
            <w:tcW w:w="0" w:type="auto"/>
            <w:vMerge w:val="continue"/>
            <w:tcBorders>
              <w:tl2br w:val="nil"/>
              <w:tr2bl w:val="nil"/>
            </w:tcBorders>
            <w:noWrap w:val="0"/>
            <w:vAlign w:val="center"/>
          </w:tcPr>
          <w:p w14:paraId="75855B85">
            <w:pPr>
              <w:pStyle w:val="330"/>
              <w:bidi w:val="0"/>
              <w:jc w:val="center"/>
              <w:rPr>
                <w:rFonts w:hint="default" w:ascii="Times New Roman" w:hAnsi="Times New Roman" w:cs="Times New Roman"/>
                <w:color w:val="auto"/>
                <w:highlight w:val="none"/>
              </w:rPr>
            </w:pPr>
          </w:p>
        </w:tc>
        <w:tc>
          <w:tcPr>
            <w:tcW w:w="0" w:type="auto"/>
            <w:vMerge w:val="continue"/>
            <w:tcBorders>
              <w:tl2br w:val="nil"/>
              <w:tr2bl w:val="nil"/>
            </w:tcBorders>
            <w:noWrap w:val="0"/>
            <w:vAlign w:val="center"/>
          </w:tcPr>
          <w:p w14:paraId="7F44CA13">
            <w:pPr>
              <w:pStyle w:val="330"/>
              <w:bidi w:val="0"/>
              <w:jc w:val="center"/>
              <w:rPr>
                <w:rFonts w:hint="default" w:ascii="Times New Roman" w:hAnsi="Times New Roman" w:cs="Times New Roman"/>
                <w:color w:val="auto"/>
                <w:highlight w:val="none"/>
              </w:rPr>
            </w:pPr>
          </w:p>
        </w:tc>
        <w:tc>
          <w:tcPr>
            <w:tcW w:w="0" w:type="auto"/>
            <w:vMerge w:val="continue"/>
            <w:tcBorders>
              <w:tl2br w:val="nil"/>
              <w:tr2bl w:val="nil"/>
            </w:tcBorders>
            <w:noWrap w:val="0"/>
            <w:vAlign w:val="center"/>
          </w:tcPr>
          <w:p w14:paraId="3A398851">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3847EAB7">
            <w:pPr>
              <w:pStyle w:val="330"/>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X</w:t>
            </w:r>
          </w:p>
        </w:tc>
        <w:tc>
          <w:tcPr>
            <w:tcW w:w="0" w:type="auto"/>
            <w:tcBorders>
              <w:tl2br w:val="nil"/>
              <w:tr2bl w:val="nil"/>
            </w:tcBorders>
            <w:noWrap w:val="0"/>
            <w:vAlign w:val="center"/>
          </w:tcPr>
          <w:p w14:paraId="0EBE8419">
            <w:pPr>
              <w:pStyle w:val="330"/>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Y</w:t>
            </w:r>
          </w:p>
        </w:tc>
        <w:tc>
          <w:tcPr>
            <w:tcW w:w="0" w:type="auto"/>
            <w:tcBorders>
              <w:tl2br w:val="nil"/>
              <w:tr2bl w:val="nil"/>
            </w:tcBorders>
            <w:noWrap w:val="0"/>
            <w:vAlign w:val="center"/>
          </w:tcPr>
          <w:p w14:paraId="310F2B0C">
            <w:pPr>
              <w:pStyle w:val="330"/>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Z</w:t>
            </w:r>
          </w:p>
        </w:tc>
        <w:tc>
          <w:tcPr>
            <w:tcW w:w="0" w:type="auto"/>
            <w:vMerge w:val="continue"/>
            <w:tcBorders>
              <w:tl2br w:val="nil"/>
              <w:tr2bl w:val="nil"/>
            </w:tcBorders>
            <w:noWrap w:val="0"/>
            <w:vAlign w:val="center"/>
          </w:tcPr>
          <w:p w14:paraId="494F01CC">
            <w:pPr>
              <w:pStyle w:val="330"/>
              <w:bidi w:val="0"/>
              <w:jc w:val="center"/>
              <w:rPr>
                <w:rFonts w:hint="default" w:ascii="Times New Roman" w:hAnsi="Times New Roman" w:cs="Times New Roman"/>
                <w:color w:val="auto"/>
                <w:highlight w:val="none"/>
              </w:rPr>
            </w:pPr>
          </w:p>
        </w:tc>
        <w:tc>
          <w:tcPr>
            <w:tcW w:w="0" w:type="auto"/>
            <w:vMerge w:val="continue"/>
            <w:tcBorders>
              <w:tl2br w:val="nil"/>
              <w:tr2bl w:val="nil"/>
            </w:tcBorders>
            <w:noWrap w:val="0"/>
            <w:vAlign w:val="center"/>
          </w:tcPr>
          <w:p w14:paraId="2989C03F">
            <w:pPr>
              <w:pStyle w:val="330"/>
              <w:bidi w:val="0"/>
              <w:jc w:val="center"/>
              <w:rPr>
                <w:rFonts w:hint="default" w:ascii="Times New Roman" w:hAnsi="Times New Roman" w:cs="Times New Roman"/>
                <w:color w:val="auto"/>
                <w:highlight w:val="none"/>
              </w:rPr>
            </w:pPr>
          </w:p>
        </w:tc>
        <w:tc>
          <w:tcPr>
            <w:tcW w:w="0" w:type="auto"/>
            <w:vMerge w:val="continue"/>
            <w:tcBorders>
              <w:tl2br w:val="nil"/>
              <w:tr2bl w:val="nil"/>
            </w:tcBorders>
            <w:noWrap w:val="0"/>
            <w:vAlign w:val="center"/>
          </w:tcPr>
          <w:p w14:paraId="30D7239C">
            <w:pPr>
              <w:pStyle w:val="330"/>
              <w:bidi w:val="0"/>
              <w:jc w:val="center"/>
              <w:rPr>
                <w:rFonts w:hint="default" w:ascii="Times New Roman" w:hAnsi="Times New Roman" w:cs="Times New Roman"/>
                <w:color w:val="auto"/>
                <w:highlight w:val="none"/>
              </w:rPr>
            </w:pPr>
          </w:p>
        </w:tc>
        <w:tc>
          <w:tcPr>
            <w:tcW w:w="0" w:type="auto"/>
            <w:vMerge w:val="continue"/>
            <w:tcBorders>
              <w:tl2br w:val="nil"/>
              <w:tr2bl w:val="nil"/>
            </w:tcBorders>
            <w:noWrap w:val="0"/>
            <w:vAlign w:val="center"/>
          </w:tcPr>
          <w:p w14:paraId="4A880B92">
            <w:pPr>
              <w:pStyle w:val="330"/>
              <w:bidi w:val="0"/>
              <w:jc w:val="center"/>
              <w:rPr>
                <w:rFonts w:hint="default" w:ascii="Times New Roman" w:hAnsi="Times New Roman" w:cs="Times New Roman"/>
                <w:color w:val="auto"/>
                <w:highlight w:val="none"/>
              </w:rPr>
            </w:pPr>
          </w:p>
        </w:tc>
        <w:tc>
          <w:tcPr>
            <w:tcW w:w="0" w:type="auto"/>
            <w:vMerge w:val="continue"/>
            <w:tcBorders>
              <w:tl2br w:val="nil"/>
              <w:tr2bl w:val="nil"/>
            </w:tcBorders>
            <w:noWrap w:val="0"/>
            <w:vAlign w:val="center"/>
          </w:tcPr>
          <w:p w14:paraId="258DEEC8">
            <w:pPr>
              <w:pStyle w:val="330"/>
              <w:bidi w:val="0"/>
              <w:jc w:val="center"/>
              <w:rPr>
                <w:rFonts w:hint="default" w:ascii="Times New Roman" w:hAnsi="Times New Roman" w:cs="Times New Roman"/>
                <w:color w:val="auto"/>
                <w:highlight w:val="none"/>
              </w:rPr>
            </w:pPr>
          </w:p>
        </w:tc>
        <w:tc>
          <w:tcPr>
            <w:tcW w:w="0" w:type="auto"/>
            <w:vMerge w:val="continue"/>
            <w:tcBorders>
              <w:tl2br w:val="nil"/>
              <w:tr2bl w:val="nil"/>
            </w:tcBorders>
            <w:noWrap w:val="0"/>
            <w:vAlign w:val="center"/>
          </w:tcPr>
          <w:p w14:paraId="2539834F">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348C685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声压级</w:t>
            </w:r>
          </w:p>
        </w:tc>
        <w:tc>
          <w:tcPr>
            <w:tcW w:w="0" w:type="auto"/>
            <w:tcBorders>
              <w:tl2br w:val="nil"/>
              <w:tr2bl w:val="nil"/>
            </w:tcBorders>
            <w:noWrap w:val="0"/>
            <w:vAlign w:val="center"/>
          </w:tcPr>
          <w:p w14:paraId="7A56B51C">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建筑物外距离</w:t>
            </w:r>
          </w:p>
        </w:tc>
      </w:tr>
      <w:tr w14:paraId="73CAD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70E0B98D">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p>
        </w:tc>
        <w:tc>
          <w:tcPr>
            <w:tcW w:w="0" w:type="auto"/>
            <w:vMerge w:val="restart"/>
            <w:tcBorders>
              <w:tl2br w:val="nil"/>
              <w:tr2bl w:val="nil"/>
            </w:tcBorders>
            <w:noWrap w:val="0"/>
            <w:vAlign w:val="center"/>
          </w:tcPr>
          <w:p w14:paraId="7EF8E7CF">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破碎厂房</w:t>
            </w:r>
          </w:p>
        </w:tc>
        <w:tc>
          <w:tcPr>
            <w:tcW w:w="0" w:type="auto"/>
            <w:tcBorders>
              <w:tl2br w:val="nil"/>
              <w:tr2bl w:val="nil"/>
            </w:tcBorders>
            <w:noWrap w:val="0"/>
            <w:vAlign w:val="center"/>
          </w:tcPr>
          <w:p w14:paraId="3DCE8BA2">
            <w:pPr>
              <w:pStyle w:val="199"/>
              <w:autoSpaceDE w:val="0"/>
              <w:autoSpaceDN w:val="0"/>
              <w:spacing w:beforeLines="0" w:line="240" w:lineRule="auto"/>
              <w:ind w:firstLine="0" w:firstLineChars="0"/>
              <w:jc w:val="center"/>
              <w:rPr>
                <w:rFonts w:hint="default" w:ascii="Times New Roman" w:hAnsi="Times New Roman" w:cs="Times New Roman"/>
                <w:color w:val="auto"/>
                <w:highlight w:val="none"/>
              </w:rPr>
            </w:pPr>
            <w:r>
              <w:rPr>
                <w:rFonts w:hint="eastAsia"/>
                <w:b w:val="0"/>
                <w:color w:val="auto"/>
                <w:kern w:val="0"/>
                <w:highlight w:val="none"/>
              </w:rPr>
              <w:t>槽式给矿机</w:t>
            </w:r>
          </w:p>
        </w:tc>
        <w:tc>
          <w:tcPr>
            <w:tcW w:w="0" w:type="auto"/>
            <w:tcBorders>
              <w:tl2br w:val="nil"/>
              <w:tr2bl w:val="nil"/>
            </w:tcBorders>
            <w:noWrap w:val="0"/>
            <w:vAlign w:val="center"/>
          </w:tcPr>
          <w:p w14:paraId="1CDFFC75">
            <w:pPr>
              <w:pStyle w:val="199"/>
              <w:autoSpaceDE w:val="0"/>
              <w:autoSpaceDN w:val="0"/>
              <w:spacing w:beforeLines="0" w:line="240" w:lineRule="auto"/>
              <w:ind w:firstLine="0" w:firstLineChars="0"/>
              <w:jc w:val="center"/>
              <w:rPr>
                <w:rFonts w:hint="default" w:ascii="Times New Roman" w:hAnsi="Times New Roman" w:cs="Times New Roman"/>
                <w:color w:val="auto"/>
                <w:highlight w:val="none"/>
              </w:rPr>
            </w:pPr>
            <w:r>
              <w:rPr>
                <w:rFonts w:hint="eastAsia"/>
                <w:b w:val="0"/>
                <w:color w:val="auto"/>
                <w:kern w:val="0"/>
                <w:highlight w:val="none"/>
              </w:rPr>
              <w:t>980</w:t>
            </w:r>
            <w:r>
              <w:rPr>
                <w:color w:val="auto"/>
                <w:highlight w:val="none"/>
              </w:rPr>
              <w:t>×</w:t>
            </w:r>
            <w:r>
              <w:rPr>
                <w:rFonts w:hint="eastAsia"/>
                <w:b w:val="0"/>
                <w:color w:val="auto"/>
                <w:kern w:val="0"/>
                <w:highlight w:val="none"/>
              </w:rPr>
              <w:t>1240</w:t>
            </w:r>
          </w:p>
        </w:tc>
        <w:tc>
          <w:tcPr>
            <w:tcW w:w="0" w:type="auto"/>
            <w:tcBorders>
              <w:tl2br w:val="nil"/>
              <w:tr2bl w:val="nil"/>
            </w:tcBorders>
            <w:noWrap w:val="0"/>
            <w:vAlign w:val="center"/>
          </w:tcPr>
          <w:p w14:paraId="562F873C">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0" w:type="auto"/>
            <w:tcBorders>
              <w:tl2br w:val="nil"/>
              <w:tr2bl w:val="nil"/>
            </w:tcBorders>
            <w:noWrap w:val="0"/>
            <w:vAlign w:val="center"/>
          </w:tcPr>
          <w:p w14:paraId="7B25BB8F">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0070AEE5">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0545BFE9">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0" w:type="auto"/>
            <w:tcBorders>
              <w:tl2br w:val="nil"/>
              <w:tr2bl w:val="nil"/>
            </w:tcBorders>
            <w:noWrap w:val="0"/>
            <w:vAlign w:val="center"/>
          </w:tcPr>
          <w:p w14:paraId="35853200">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36938DE8">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c>
          <w:tcPr>
            <w:tcW w:w="0" w:type="auto"/>
            <w:tcBorders>
              <w:tl2br w:val="nil"/>
              <w:tr2bl w:val="nil"/>
            </w:tcBorders>
            <w:noWrap w:val="0"/>
            <w:vAlign w:val="center"/>
          </w:tcPr>
          <w:p w14:paraId="1884B10A">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restart"/>
            <w:tcBorders>
              <w:tl2br w:val="nil"/>
              <w:tr2bl w:val="nil"/>
            </w:tcBorders>
            <w:noWrap w:val="0"/>
            <w:vAlign w:val="center"/>
          </w:tcPr>
          <w:p w14:paraId="0C233AEB">
            <w:pPr>
              <w:pStyle w:val="330"/>
              <w:bidi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6:00-24:00</w:t>
            </w:r>
          </w:p>
        </w:tc>
        <w:tc>
          <w:tcPr>
            <w:tcW w:w="0" w:type="auto"/>
            <w:tcBorders>
              <w:tl2br w:val="nil"/>
              <w:tr2bl w:val="nil"/>
            </w:tcBorders>
            <w:noWrap w:val="0"/>
            <w:vAlign w:val="center"/>
          </w:tcPr>
          <w:p w14:paraId="3734C87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7F5ECC3F">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60</w:t>
            </w:r>
          </w:p>
        </w:tc>
        <w:tc>
          <w:tcPr>
            <w:tcW w:w="0" w:type="auto"/>
            <w:tcBorders>
              <w:tl2br w:val="nil"/>
              <w:tr2bl w:val="nil"/>
            </w:tcBorders>
            <w:noWrap w:val="0"/>
            <w:vAlign w:val="center"/>
          </w:tcPr>
          <w:p w14:paraId="6327F6F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3DF73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368BF1CC">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2</w:t>
            </w:r>
          </w:p>
        </w:tc>
        <w:tc>
          <w:tcPr>
            <w:tcW w:w="0" w:type="auto"/>
            <w:vMerge w:val="continue"/>
            <w:tcBorders>
              <w:tl2br w:val="nil"/>
              <w:tr2bl w:val="nil"/>
            </w:tcBorders>
            <w:noWrap w:val="0"/>
            <w:vAlign w:val="center"/>
          </w:tcPr>
          <w:p w14:paraId="2BF905AC">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3F509C71">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破碎机</w:t>
            </w:r>
          </w:p>
        </w:tc>
        <w:tc>
          <w:tcPr>
            <w:tcW w:w="0" w:type="auto"/>
            <w:tcBorders>
              <w:tl2br w:val="nil"/>
              <w:tr2bl w:val="nil"/>
            </w:tcBorders>
            <w:noWrap w:val="0"/>
            <w:vAlign w:val="center"/>
          </w:tcPr>
          <w:p w14:paraId="07447D0F">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PE</w:t>
            </w:r>
            <w:r>
              <w:rPr>
                <w:rFonts w:hint="eastAsia"/>
                <w:b w:val="0"/>
                <w:color w:val="auto"/>
                <w:kern w:val="0"/>
                <w:highlight w:val="none"/>
                <w:lang w:eastAsia="zh-CN"/>
              </w:rPr>
              <w:t>6</w:t>
            </w:r>
            <w:r>
              <w:rPr>
                <w:rFonts w:hint="eastAsia"/>
                <w:b w:val="0"/>
                <w:color w:val="auto"/>
                <w:kern w:val="0"/>
                <w:highlight w:val="none"/>
              </w:rPr>
              <w:t>00</w:t>
            </w:r>
            <w:r>
              <w:rPr>
                <w:color w:val="auto"/>
                <w:highlight w:val="none"/>
              </w:rPr>
              <w:t>×</w:t>
            </w:r>
            <w:r>
              <w:rPr>
                <w:rFonts w:hint="eastAsia"/>
                <w:b w:val="0"/>
                <w:color w:val="auto"/>
                <w:kern w:val="0"/>
                <w:highlight w:val="none"/>
                <w:lang w:eastAsia="zh-CN"/>
              </w:rPr>
              <w:t>9</w:t>
            </w:r>
            <w:r>
              <w:rPr>
                <w:rFonts w:hint="eastAsia"/>
                <w:b w:val="0"/>
                <w:color w:val="auto"/>
                <w:kern w:val="0"/>
                <w:highlight w:val="none"/>
              </w:rPr>
              <w:t>00</w:t>
            </w:r>
          </w:p>
        </w:tc>
        <w:tc>
          <w:tcPr>
            <w:tcW w:w="0" w:type="auto"/>
            <w:tcBorders>
              <w:tl2br w:val="nil"/>
              <w:tr2bl w:val="nil"/>
            </w:tcBorders>
            <w:noWrap w:val="0"/>
            <w:vAlign w:val="center"/>
          </w:tcPr>
          <w:p w14:paraId="71FC930A">
            <w:pPr>
              <w:pStyle w:val="330"/>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069E7439">
            <w:pPr>
              <w:pStyle w:val="330"/>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100</w:t>
            </w:r>
          </w:p>
        </w:tc>
        <w:tc>
          <w:tcPr>
            <w:tcW w:w="0" w:type="auto"/>
            <w:tcBorders>
              <w:tl2br w:val="nil"/>
              <w:tr2bl w:val="nil"/>
            </w:tcBorders>
            <w:noWrap w:val="0"/>
            <w:vAlign w:val="center"/>
          </w:tcPr>
          <w:p w14:paraId="2F2C100B">
            <w:pPr>
              <w:pStyle w:val="330"/>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4B0677B5">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c>
          <w:tcPr>
            <w:tcW w:w="0" w:type="auto"/>
            <w:tcBorders>
              <w:tl2br w:val="nil"/>
              <w:tr2bl w:val="nil"/>
            </w:tcBorders>
            <w:noWrap w:val="0"/>
            <w:vAlign w:val="center"/>
          </w:tcPr>
          <w:p w14:paraId="4F6C376B">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5A55C8F6">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0" w:type="auto"/>
            <w:tcBorders>
              <w:tl2br w:val="nil"/>
              <w:tr2bl w:val="nil"/>
            </w:tcBorders>
            <w:noWrap w:val="0"/>
            <w:vAlign w:val="center"/>
          </w:tcPr>
          <w:p w14:paraId="74AB27E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0" w:type="auto"/>
            <w:vMerge w:val="continue"/>
            <w:tcBorders>
              <w:tl2br w:val="nil"/>
              <w:tr2bl w:val="nil"/>
            </w:tcBorders>
            <w:noWrap w:val="0"/>
            <w:vAlign w:val="center"/>
          </w:tcPr>
          <w:p w14:paraId="74FE553B">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3F5752C">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14</w:t>
            </w:r>
          </w:p>
        </w:tc>
        <w:tc>
          <w:tcPr>
            <w:tcW w:w="0" w:type="auto"/>
            <w:tcBorders>
              <w:tl2br w:val="nil"/>
              <w:tr2bl w:val="nil"/>
            </w:tcBorders>
            <w:noWrap w:val="0"/>
            <w:vAlign w:val="center"/>
          </w:tcPr>
          <w:p w14:paraId="7A59298A">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66</w:t>
            </w:r>
          </w:p>
        </w:tc>
        <w:tc>
          <w:tcPr>
            <w:tcW w:w="0" w:type="auto"/>
            <w:tcBorders>
              <w:tl2br w:val="nil"/>
              <w:tr2bl w:val="nil"/>
            </w:tcBorders>
            <w:noWrap w:val="0"/>
            <w:vAlign w:val="center"/>
          </w:tcPr>
          <w:p w14:paraId="5A91640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5207D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56A0C70E">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3</w:t>
            </w:r>
          </w:p>
        </w:tc>
        <w:tc>
          <w:tcPr>
            <w:tcW w:w="0" w:type="auto"/>
            <w:vMerge w:val="continue"/>
            <w:tcBorders>
              <w:tl2br w:val="nil"/>
              <w:tr2bl w:val="nil"/>
            </w:tcBorders>
            <w:noWrap w:val="0"/>
            <w:vAlign w:val="center"/>
          </w:tcPr>
          <w:p w14:paraId="7EF1D86C">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211EA478">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破碎机</w:t>
            </w:r>
          </w:p>
        </w:tc>
        <w:tc>
          <w:tcPr>
            <w:tcW w:w="0" w:type="auto"/>
            <w:tcBorders>
              <w:tl2br w:val="nil"/>
              <w:tr2bl w:val="nil"/>
            </w:tcBorders>
            <w:noWrap w:val="0"/>
            <w:vAlign w:val="center"/>
          </w:tcPr>
          <w:p w14:paraId="1CEF85B8">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PC</w:t>
            </w:r>
            <w:r>
              <w:rPr>
                <w:rFonts w:hint="eastAsia"/>
                <w:b w:val="0"/>
                <w:color w:val="auto"/>
                <w:kern w:val="0"/>
                <w:highlight w:val="none"/>
                <w:lang w:eastAsia="zh-CN"/>
              </w:rPr>
              <w:t>25</w:t>
            </w:r>
            <w:r>
              <w:rPr>
                <w:rFonts w:hint="eastAsia"/>
                <w:b w:val="0"/>
                <w:color w:val="auto"/>
                <w:kern w:val="0"/>
                <w:highlight w:val="none"/>
              </w:rPr>
              <w:t>0</w:t>
            </w:r>
            <w:r>
              <w:rPr>
                <w:color w:val="auto"/>
                <w:highlight w:val="none"/>
              </w:rPr>
              <w:t>×</w:t>
            </w:r>
            <w:r>
              <w:rPr>
                <w:rFonts w:hint="eastAsia"/>
                <w:b w:val="0"/>
                <w:color w:val="auto"/>
                <w:kern w:val="0"/>
                <w:highlight w:val="none"/>
              </w:rPr>
              <w:t>1</w:t>
            </w:r>
            <w:r>
              <w:rPr>
                <w:rFonts w:hint="eastAsia"/>
                <w:b w:val="0"/>
                <w:color w:val="auto"/>
                <w:kern w:val="0"/>
                <w:highlight w:val="none"/>
                <w:lang w:eastAsia="zh-CN"/>
              </w:rPr>
              <w:t>2</w:t>
            </w:r>
            <w:r>
              <w:rPr>
                <w:rFonts w:hint="eastAsia"/>
                <w:b w:val="0"/>
                <w:color w:val="auto"/>
                <w:kern w:val="0"/>
                <w:highlight w:val="none"/>
              </w:rPr>
              <w:t>00</w:t>
            </w:r>
          </w:p>
        </w:tc>
        <w:tc>
          <w:tcPr>
            <w:tcW w:w="0" w:type="auto"/>
            <w:tcBorders>
              <w:tl2br w:val="nil"/>
              <w:tr2bl w:val="nil"/>
            </w:tcBorders>
            <w:noWrap w:val="0"/>
            <w:vAlign w:val="center"/>
          </w:tcPr>
          <w:p w14:paraId="01E8A6C3">
            <w:pPr>
              <w:pStyle w:val="330"/>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100</w:t>
            </w:r>
          </w:p>
        </w:tc>
        <w:tc>
          <w:tcPr>
            <w:tcW w:w="0" w:type="auto"/>
            <w:tcBorders>
              <w:tl2br w:val="nil"/>
              <w:tr2bl w:val="nil"/>
            </w:tcBorders>
            <w:noWrap w:val="0"/>
            <w:vAlign w:val="center"/>
          </w:tcPr>
          <w:p w14:paraId="679C5636">
            <w:pPr>
              <w:pStyle w:val="330"/>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120</w:t>
            </w:r>
          </w:p>
        </w:tc>
        <w:tc>
          <w:tcPr>
            <w:tcW w:w="0" w:type="auto"/>
            <w:tcBorders>
              <w:tl2br w:val="nil"/>
              <w:tr2bl w:val="nil"/>
            </w:tcBorders>
            <w:noWrap w:val="0"/>
            <w:vAlign w:val="center"/>
          </w:tcPr>
          <w:p w14:paraId="695616BA">
            <w:pPr>
              <w:pStyle w:val="330"/>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2AD818E6">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0" w:type="auto"/>
            <w:tcBorders>
              <w:tl2br w:val="nil"/>
              <w:tr2bl w:val="nil"/>
            </w:tcBorders>
            <w:noWrap w:val="0"/>
            <w:vAlign w:val="center"/>
          </w:tcPr>
          <w:p w14:paraId="3AE2C09F">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2D37272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w:t>
            </w:r>
          </w:p>
        </w:tc>
        <w:tc>
          <w:tcPr>
            <w:tcW w:w="0" w:type="auto"/>
            <w:tcBorders>
              <w:tl2br w:val="nil"/>
              <w:tr2bl w:val="nil"/>
            </w:tcBorders>
            <w:noWrap w:val="0"/>
            <w:vAlign w:val="center"/>
          </w:tcPr>
          <w:p w14:paraId="3114AC8E">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0913ABF2">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C748BF3">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7</w:t>
            </w:r>
          </w:p>
        </w:tc>
        <w:tc>
          <w:tcPr>
            <w:tcW w:w="0" w:type="auto"/>
            <w:tcBorders>
              <w:tl2br w:val="nil"/>
              <w:tr2bl w:val="nil"/>
            </w:tcBorders>
            <w:noWrap w:val="0"/>
            <w:vAlign w:val="center"/>
          </w:tcPr>
          <w:p w14:paraId="558B431B">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53</w:t>
            </w:r>
          </w:p>
        </w:tc>
        <w:tc>
          <w:tcPr>
            <w:tcW w:w="0" w:type="auto"/>
            <w:tcBorders>
              <w:tl2br w:val="nil"/>
              <w:tr2bl w:val="nil"/>
            </w:tcBorders>
            <w:noWrap w:val="0"/>
            <w:vAlign w:val="center"/>
          </w:tcPr>
          <w:p w14:paraId="35B9F89C">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4D86D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5F08FA7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4</w:t>
            </w:r>
          </w:p>
        </w:tc>
        <w:tc>
          <w:tcPr>
            <w:tcW w:w="0" w:type="auto"/>
            <w:vMerge w:val="continue"/>
            <w:tcBorders>
              <w:tl2br w:val="nil"/>
              <w:tr2bl w:val="nil"/>
            </w:tcBorders>
            <w:noWrap w:val="0"/>
            <w:vAlign w:val="center"/>
          </w:tcPr>
          <w:p w14:paraId="4889C640">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069D1EE8">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输送机</w:t>
            </w:r>
          </w:p>
        </w:tc>
        <w:tc>
          <w:tcPr>
            <w:tcW w:w="0" w:type="auto"/>
            <w:tcBorders>
              <w:tl2br w:val="nil"/>
              <w:tr2bl w:val="nil"/>
            </w:tcBorders>
            <w:noWrap w:val="0"/>
            <w:vAlign w:val="center"/>
          </w:tcPr>
          <w:p w14:paraId="57E3BD1F">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B:600</w:t>
            </w:r>
            <w:r>
              <w:rPr>
                <w:rFonts w:hint="eastAsia"/>
                <w:b w:val="0"/>
                <w:color w:val="auto"/>
                <w:kern w:val="0"/>
                <w:highlight w:val="none"/>
                <w:lang w:eastAsia="zh-CN"/>
              </w:rPr>
              <w:t>，</w:t>
            </w:r>
            <w:r>
              <w:rPr>
                <w:rFonts w:hint="eastAsia"/>
                <w:b w:val="0"/>
                <w:color w:val="auto"/>
                <w:kern w:val="0"/>
                <w:highlight w:val="none"/>
              </w:rPr>
              <w:t>L=27m</w:t>
            </w:r>
          </w:p>
        </w:tc>
        <w:tc>
          <w:tcPr>
            <w:tcW w:w="0" w:type="auto"/>
            <w:tcBorders>
              <w:tl2br w:val="nil"/>
              <w:tr2bl w:val="nil"/>
            </w:tcBorders>
            <w:noWrap w:val="0"/>
            <w:vAlign w:val="center"/>
          </w:tcPr>
          <w:p w14:paraId="3D71B83B">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54A87EC4">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7B30B09D">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47B571D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28DD52CE">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575E4EFD">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0" w:type="auto"/>
            <w:tcBorders>
              <w:tl2br w:val="nil"/>
              <w:tr2bl w:val="nil"/>
            </w:tcBorders>
            <w:noWrap w:val="0"/>
            <w:vAlign w:val="center"/>
          </w:tcPr>
          <w:p w14:paraId="665EB7E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6404F5E1">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E0BA8D5">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14</w:t>
            </w:r>
          </w:p>
        </w:tc>
        <w:tc>
          <w:tcPr>
            <w:tcW w:w="0" w:type="auto"/>
            <w:tcBorders>
              <w:tl2br w:val="nil"/>
              <w:tr2bl w:val="nil"/>
            </w:tcBorders>
            <w:noWrap w:val="0"/>
            <w:vAlign w:val="center"/>
          </w:tcPr>
          <w:p w14:paraId="6D7F8BFA">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56</w:t>
            </w:r>
          </w:p>
        </w:tc>
        <w:tc>
          <w:tcPr>
            <w:tcW w:w="0" w:type="auto"/>
            <w:tcBorders>
              <w:tl2br w:val="nil"/>
              <w:tr2bl w:val="nil"/>
            </w:tcBorders>
            <w:noWrap w:val="0"/>
            <w:vAlign w:val="center"/>
          </w:tcPr>
          <w:p w14:paraId="15012296">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234C0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2E3CAFE9">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5</w:t>
            </w:r>
          </w:p>
        </w:tc>
        <w:tc>
          <w:tcPr>
            <w:tcW w:w="0" w:type="auto"/>
            <w:vMerge w:val="continue"/>
            <w:tcBorders>
              <w:tl2br w:val="nil"/>
              <w:tr2bl w:val="nil"/>
            </w:tcBorders>
            <w:noWrap w:val="0"/>
            <w:vAlign w:val="center"/>
          </w:tcPr>
          <w:p w14:paraId="36757801">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677E228F">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输送机</w:t>
            </w:r>
          </w:p>
        </w:tc>
        <w:tc>
          <w:tcPr>
            <w:tcW w:w="0" w:type="auto"/>
            <w:tcBorders>
              <w:tl2br w:val="nil"/>
              <w:tr2bl w:val="nil"/>
            </w:tcBorders>
            <w:noWrap w:val="0"/>
            <w:vAlign w:val="center"/>
          </w:tcPr>
          <w:p w14:paraId="03735296">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B:600</w:t>
            </w:r>
            <w:r>
              <w:rPr>
                <w:rFonts w:hint="eastAsia"/>
                <w:b w:val="0"/>
                <w:color w:val="auto"/>
                <w:kern w:val="0"/>
                <w:highlight w:val="none"/>
                <w:lang w:eastAsia="zh-CN"/>
              </w:rPr>
              <w:t>，</w:t>
            </w:r>
            <w:r>
              <w:rPr>
                <w:rFonts w:hint="eastAsia"/>
                <w:b w:val="0"/>
                <w:color w:val="auto"/>
                <w:kern w:val="0"/>
                <w:highlight w:val="none"/>
              </w:rPr>
              <w:t>L=6m</w:t>
            </w:r>
          </w:p>
        </w:tc>
        <w:tc>
          <w:tcPr>
            <w:tcW w:w="0" w:type="auto"/>
            <w:tcBorders>
              <w:tl2br w:val="nil"/>
              <w:tr2bl w:val="nil"/>
            </w:tcBorders>
            <w:noWrap w:val="0"/>
            <w:vAlign w:val="center"/>
          </w:tcPr>
          <w:p w14:paraId="422AD752">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150</w:t>
            </w:r>
          </w:p>
        </w:tc>
        <w:tc>
          <w:tcPr>
            <w:tcW w:w="0" w:type="auto"/>
            <w:tcBorders>
              <w:tl2br w:val="nil"/>
              <w:tr2bl w:val="nil"/>
            </w:tcBorders>
            <w:noWrap w:val="0"/>
            <w:vAlign w:val="center"/>
          </w:tcPr>
          <w:p w14:paraId="4F5F33F7">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160</w:t>
            </w:r>
          </w:p>
        </w:tc>
        <w:tc>
          <w:tcPr>
            <w:tcW w:w="0" w:type="auto"/>
            <w:tcBorders>
              <w:tl2br w:val="nil"/>
              <w:tr2bl w:val="nil"/>
            </w:tcBorders>
            <w:noWrap w:val="0"/>
            <w:vAlign w:val="center"/>
          </w:tcPr>
          <w:p w14:paraId="09D103F6">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50</w:t>
            </w:r>
          </w:p>
        </w:tc>
        <w:tc>
          <w:tcPr>
            <w:tcW w:w="0" w:type="auto"/>
            <w:tcBorders>
              <w:tl2br w:val="nil"/>
              <w:tr2bl w:val="nil"/>
            </w:tcBorders>
            <w:noWrap w:val="0"/>
            <w:vAlign w:val="center"/>
          </w:tcPr>
          <w:p w14:paraId="51ED213F">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75</w:t>
            </w:r>
          </w:p>
        </w:tc>
        <w:tc>
          <w:tcPr>
            <w:tcW w:w="0" w:type="auto"/>
            <w:tcBorders>
              <w:tl2br w:val="nil"/>
              <w:tr2bl w:val="nil"/>
            </w:tcBorders>
            <w:noWrap w:val="0"/>
            <w:vAlign w:val="center"/>
          </w:tcPr>
          <w:p w14:paraId="30406E6B">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045927A2">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7204A826">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0" w:type="auto"/>
            <w:vMerge w:val="continue"/>
            <w:tcBorders>
              <w:tl2br w:val="nil"/>
              <w:tr2bl w:val="nil"/>
            </w:tcBorders>
            <w:noWrap w:val="0"/>
            <w:vAlign w:val="center"/>
          </w:tcPr>
          <w:p w14:paraId="35C628D4">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4FEC229">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18</w:t>
            </w:r>
          </w:p>
        </w:tc>
        <w:tc>
          <w:tcPr>
            <w:tcW w:w="0" w:type="auto"/>
            <w:tcBorders>
              <w:tl2br w:val="nil"/>
              <w:tr2bl w:val="nil"/>
            </w:tcBorders>
            <w:noWrap w:val="0"/>
            <w:vAlign w:val="center"/>
          </w:tcPr>
          <w:p w14:paraId="22489F45">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47</w:t>
            </w:r>
          </w:p>
        </w:tc>
        <w:tc>
          <w:tcPr>
            <w:tcW w:w="0" w:type="auto"/>
            <w:tcBorders>
              <w:tl2br w:val="nil"/>
              <w:tr2bl w:val="nil"/>
            </w:tcBorders>
            <w:noWrap w:val="0"/>
            <w:vAlign w:val="center"/>
          </w:tcPr>
          <w:p w14:paraId="090E1C5C">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546F6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41AE18B8">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6</w:t>
            </w:r>
          </w:p>
        </w:tc>
        <w:tc>
          <w:tcPr>
            <w:tcW w:w="0" w:type="auto"/>
            <w:vMerge w:val="continue"/>
            <w:tcBorders>
              <w:tl2br w:val="nil"/>
              <w:tr2bl w:val="nil"/>
            </w:tcBorders>
            <w:noWrap w:val="0"/>
            <w:vAlign w:val="center"/>
          </w:tcPr>
          <w:p w14:paraId="02964692">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3DC62F00">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锤式破碎机</w:t>
            </w:r>
          </w:p>
        </w:tc>
        <w:tc>
          <w:tcPr>
            <w:tcW w:w="0" w:type="auto"/>
            <w:tcBorders>
              <w:tl2br w:val="nil"/>
              <w:tr2bl w:val="nil"/>
            </w:tcBorders>
            <w:noWrap w:val="0"/>
            <w:vAlign w:val="center"/>
          </w:tcPr>
          <w:p w14:paraId="324D3FD4">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155</w:t>
            </w:r>
          </w:p>
        </w:tc>
        <w:tc>
          <w:tcPr>
            <w:tcW w:w="0" w:type="auto"/>
            <w:tcBorders>
              <w:tl2br w:val="nil"/>
              <w:tr2bl w:val="nil"/>
            </w:tcBorders>
            <w:noWrap w:val="0"/>
            <w:vAlign w:val="center"/>
          </w:tcPr>
          <w:p w14:paraId="17614099">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5FBA84A0">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4B6EF031">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714DF727">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tc>
        <w:tc>
          <w:tcPr>
            <w:tcW w:w="0" w:type="auto"/>
            <w:tcBorders>
              <w:tl2br w:val="nil"/>
              <w:tr2bl w:val="nil"/>
            </w:tcBorders>
            <w:noWrap w:val="0"/>
            <w:vAlign w:val="center"/>
          </w:tcPr>
          <w:p w14:paraId="29E0B22D">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562F0DBD">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0" w:type="auto"/>
            <w:tcBorders>
              <w:tl2br w:val="nil"/>
              <w:tr2bl w:val="nil"/>
            </w:tcBorders>
            <w:noWrap w:val="0"/>
            <w:vAlign w:val="center"/>
          </w:tcPr>
          <w:p w14:paraId="4A2283C5">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0" w:type="auto"/>
            <w:vMerge w:val="continue"/>
            <w:tcBorders>
              <w:tl2br w:val="nil"/>
              <w:tr2bl w:val="nil"/>
            </w:tcBorders>
            <w:noWrap w:val="0"/>
            <w:vAlign w:val="center"/>
          </w:tcPr>
          <w:p w14:paraId="1A34F8A1">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B953102">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4</w:t>
            </w:r>
          </w:p>
        </w:tc>
        <w:tc>
          <w:tcPr>
            <w:tcW w:w="0" w:type="auto"/>
            <w:tcBorders>
              <w:tl2br w:val="nil"/>
              <w:tr2bl w:val="nil"/>
            </w:tcBorders>
            <w:noWrap w:val="0"/>
            <w:vAlign w:val="center"/>
          </w:tcPr>
          <w:p w14:paraId="61B03BCE">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51</w:t>
            </w:r>
          </w:p>
        </w:tc>
        <w:tc>
          <w:tcPr>
            <w:tcW w:w="0" w:type="auto"/>
            <w:tcBorders>
              <w:tl2br w:val="nil"/>
              <w:tr2bl w:val="nil"/>
            </w:tcBorders>
            <w:noWrap w:val="0"/>
            <w:vAlign w:val="center"/>
          </w:tcPr>
          <w:p w14:paraId="0ED3C44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20C09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09C56DBE">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eastAsia" w:cs="Times New Roman"/>
                <w:color w:val="auto"/>
                <w:highlight w:val="none"/>
                <w:lang w:val="en-US" w:eastAsia="zh-CN"/>
              </w:rPr>
              <w:t>7</w:t>
            </w:r>
          </w:p>
        </w:tc>
        <w:tc>
          <w:tcPr>
            <w:tcW w:w="0" w:type="auto"/>
            <w:vMerge w:val="restart"/>
            <w:tcBorders>
              <w:tl2br w:val="nil"/>
              <w:tr2bl w:val="nil"/>
            </w:tcBorders>
            <w:noWrap w:val="0"/>
            <w:vAlign w:val="center"/>
          </w:tcPr>
          <w:p w14:paraId="31213198">
            <w:pPr>
              <w:pStyle w:val="330"/>
              <w:bidi w:val="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浮选</w:t>
            </w:r>
            <w:r>
              <w:rPr>
                <w:rFonts w:hint="default" w:ascii="Times New Roman" w:hAnsi="Times New Roman" w:cs="Times New Roman"/>
                <w:color w:val="auto"/>
                <w:highlight w:val="none"/>
                <w:lang w:val="en-US" w:eastAsia="zh-CN"/>
              </w:rPr>
              <w:t>厂房</w:t>
            </w:r>
          </w:p>
        </w:tc>
        <w:tc>
          <w:tcPr>
            <w:tcW w:w="0" w:type="auto"/>
            <w:tcBorders>
              <w:tl2br w:val="nil"/>
              <w:tr2bl w:val="nil"/>
            </w:tcBorders>
            <w:noWrap w:val="0"/>
            <w:vAlign w:val="center"/>
          </w:tcPr>
          <w:p w14:paraId="1BEAC241">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球磨机</w:t>
            </w:r>
          </w:p>
        </w:tc>
        <w:tc>
          <w:tcPr>
            <w:tcW w:w="0" w:type="auto"/>
            <w:tcBorders>
              <w:tl2br w:val="nil"/>
              <w:tr2bl w:val="nil"/>
            </w:tcBorders>
            <w:noWrap w:val="0"/>
            <w:vAlign w:val="center"/>
          </w:tcPr>
          <w:p w14:paraId="43669203">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24</w:t>
            </w:r>
            <w:r>
              <w:rPr>
                <w:rFonts w:hint="eastAsia"/>
                <w:b w:val="0"/>
                <w:color w:val="auto"/>
                <w:kern w:val="0"/>
                <w:highlight w:val="none"/>
              </w:rPr>
              <w:t>00</w:t>
            </w:r>
            <w:r>
              <w:rPr>
                <w:color w:val="auto"/>
                <w:highlight w:val="none"/>
              </w:rPr>
              <w:t>×</w:t>
            </w:r>
            <w:r>
              <w:rPr>
                <w:rFonts w:hint="eastAsia"/>
                <w:b w:val="0"/>
                <w:color w:val="auto"/>
                <w:kern w:val="0"/>
                <w:highlight w:val="none"/>
              </w:rPr>
              <w:t>600</w:t>
            </w:r>
            <w:r>
              <w:rPr>
                <w:rFonts w:hint="eastAsia"/>
                <w:b w:val="0"/>
                <w:color w:val="auto"/>
                <w:kern w:val="0"/>
                <w:highlight w:val="none"/>
                <w:lang w:eastAsia="zh-CN"/>
              </w:rPr>
              <w:t>0</w:t>
            </w:r>
          </w:p>
        </w:tc>
        <w:tc>
          <w:tcPr>
            <w:tcW w:w="0" w:type="auto"/>
            <w:tcBorders>
              <w:tl2br w:val="nil"/>
              <w:tr2bl w:val="nil"/>
            </w:tcBorders>
            <w:noWrap w:val="0"/>
            <w:vAlign w:val="center"/>
          </w:tcPr>
          <w:p w14:paraId="52945CD1">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13CC56CC">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7B249402">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6BE56870">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85</w:t>
            </w:r>
          </w:p>
        </w:tc>
        <w:tc>
          <w:tcPr>
            <w:tcW w:w="0" w:type="auto"/>
            <w:tcBorders>
              <w:tl2br w:val="nil"/>
              <w:tr2bl w:val="nil"/>
            </w:tcBorders>
            <w:noWrap w:val="0"/>
            <w:vAlign w:val="center"/>
          </w:tcPr>
          <w:p w14:paraId="077FA788">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0B5EAB13">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28B6724A">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0" w:type="auto"/>
            <w:vMerge w:val="restart"/>
            <w:tcBorders>
              <w:tl2br w:val="nil"/>
              <w:tr2bl w:val="nil"/>
            </w:tcBorders>
            <w:noWrap w:val="0"/>
            <w:vAlign w:val="center"/>
          </w:tcPr>
          <w:p w14:paraId="4AABABF6">
            <w:pPr>
              <w:pStyle w:val="33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24h</w:t>
            </w:r>
          </w:p>
        </w:tc>
        <w:tc>
          <w:tcPr>
            <w:tcW w:w="0" w:type="auto"/>
            <w:tcBorders>
              <w:tl2br w:val="nil"/>
              <w:tr2bl w:val="nil"/>
            </w:tcBorders>
            <w:noWrap w:val="0"/>
            <w:vAlign w:val="center"/>
          </w:tcPr>
          <w:p w14:paraId="5B7F63FB">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18</w:t>
            </w:r>
          </w:p>
        </w:tc>
        <w:tc>
          <w:tcPr>
            <w:tcW w:w="0" w:type="auto"/>
            <w:tcBorders>
              <w:tl2br w:val="nil"/>
              <w:tr2bl w:val="nil"/>
            </w:tcBorders>
            <w:noWrap w:val="0"/>
            <w:vAlign w:val="center"/>
          </w:tcPr>
          <w:p w14:paraId="2D41CECE">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57</w:t>
            </w:r>
          </w:p>
        </w:tc>
        <w:tc>
          <w:tcPr>
            <w:tcW w:w="0" w:type="auto"/>
            <w:tcBorders>
              <w:tl2br w:val="nil"/>
              <w:tr2bl w:val="nil"/>
            </w:tcBorders>
            <w:noWrap w:val="0"/>
            <w:vAlign w:val="center"/>
          </w:tcPr>
          <w:p w14:paraId="38C154F0">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63276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5DF05FFA">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eastAsia" w:cs="Times New Roman"/>
                <w:color w:val="auto"/>
                <w:highlight w:val="none"/>
                <w:lang w:val="en-US" w:eastAsia="zh-CN"/>
              </w:rPr>
              <w:t>8</w:t>
            </w:r>
          </w:p>
        </w:tc>
        <w:tc>
          <w:tcPr>
            <w:tcW w:w="0" w:type="auto"/>
            <w:vMerge w:val="continue"/>
            <w:tcBorders>
              <w:tl2br w:val="nil"/>
              <w:tr2bl w:val="nil"/>
            </w:tcBorders>
            <w:noWrap w:val="0"/>
            <w:vAlign w:val="center"/>
          </w:tcPr>
          <w:p w14:paraId="288E4A36">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288A896A">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球磨机</w:t>
            </w:r>
          </w:p>
        </w:tc>
        <w:tc>
          <w:tcPr>
            <w:tcW w:w="0" w:type="auto"/>
            <w:tcBorders>
              <w:tl2br w:val="nil"/>
              <w:tr2bl w:val="nil"/>
            </w:tcBorders>
            <w:noWrap w:val="0"/>
            <w:vAlign w:val="center"/>
          </w:tcPr>
          <w:p w14:paraId="534CBE50">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183</w:t>
            </w:r>
            <w:r>
              <w:rPr>
                <w:rFonts w:hint="eastAsia"/>
                <w:b w:val="0"/>
                <w:color w:val="auto"/>
                <w:kern w:val="0"/>
                <w:highlight w:val="none"/>
              </w:rPr>
              <w:t>0</w:t>
            </w:r>
            <w:r>
              <w:rPr>
                <w:color w:val="auto"/>
                <w:highlight w:val="none"/>
              </w:rPr>
              <w:t>×</w:t>
            </w:r>
            <w:r>
              <w:rPr>
                <w:rFonts w:hint="eastAsia"/>
                <w:b w:val="0"/>
                <w:color w:val="auto"/>
                <w:kern w:val="0"/>
                <w:highlight w:val="none"/>
                <w:lang w:eastAsia="zh-CN"/>
              </w:rPr>
              <w:t>7</w:t>
            </w:r>
            <w:r>
              <w:rPr>
                <w:rFonts w:hint="eastAsia"/>
                <w:b w:val="0"/>
                <w:color w:val="auto"/>
                <w:kern w:val="0"/>
                <w:highlight w:val="none"/>
              </w:rPr>
              <w:t>00</w:t>
            </w:r>
            <w:r>
              <w:rPr>
                <w:rFonts w:hint="eastAsia"/>
                <w:b w:val="0"/>
                <w:color w:val="auto"/>
                <w:kern w:val="0"/>
                <w:highlight w:val="none"/>
                <w:lang w:eastAsia="zh-CN"/>
              </w:rPr>
              <w:t>0</w:t>
            </w:r>
          </w:p>
        </w:tc>
        <w:tc>
          <w:tcPr>
            <w:tcW w:w="0" w:type="auto"/>
            <w:tcBorders>
              <w:tl2br w:val="nil"/>
              <w:tr2bl w:val="nil"/>
            </w:tcBorders>
            <w:noWrap w:val="0"/>
            <w:vAlign w:val="center"/>
          </w:tcPr>
          <w:p w14:paraId="7DC5248A">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w:t>
            </w:r>
          </w:p>
        </w:tc>
        <w:tc>
          <w:tcPr>
            <w:tcW w:w="0" w:type="auto"/>
            <w:tcBorders>
              <w:tl2br w:val="nil"/>
              <w:tr2bl w:val="nil"/>
            </w:tcBorders>
            <w:noWrap w:val="0"/>
            <w:vAlign w:val="center"/>
          </w:tcPr>
          <w:p w14:paraId="091588FA">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120</w:t>
            </w:r>
          </w:p>
        </w:tc>
        <w:tc>
          <w:tcPr>
            <w:tcW w:w="0" w:type="auto"/>
            <w:tcBorders>
              <w:tl2br w:val="nil"/>
              <w:tr2bl w:val="nil"/>
            </w:tcBorders>
            <w:noWrap w:val="0"/>
            <w:vAlign w:val="center"/>
          </w:tcPr>
          <w:p w14:paraId="6B2A0185">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2BBB39A3">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85</w:t>
            </w:r>
          </w:p>
        </w:tc>
        <w:tc>
          <w:tcPr>
            <w:tcW w:w="0" w:type="auto"/>
            <w:tcBorders>
              <w:tl2br w:val="nil"/>
              <w:tr2bl w:val="nil"/>
            </w:tcBorders>
            <w:noWrap w:val="0"/>
            <w:vAlign w:val="center"/>
          </w:tcPr>
          <w:p w14:paraId="2478756C">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0BC9EE14">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12</w:t>
            </w:r>
          </w:p>
        </w:tc>
        <w:tc>
          <w:tcPr>
            <w:tcW w:w="0" w:type="auto"/>
            <w:tcBorders>
              <w:tl2br w:val="nil"/>
              <w:tr2bl w:val="nil"/>
            </w:tcBorders>
            <w:noWrap w:val="0"/>
            <w:vAlign w:val="center"/>
          </w:tcPr>
          <w:p w14:paraId="323FA438">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0" w:type="auto"/>
            <w:vMerge w:val="continue"/>
            <w:tcBorders>
              <w:tl2br w:val="nil"/>
              <w:tr2bl w:val="nil"/>
            </w:tcBorders>
            <w:noWrap w:val="0"/>
            <w:vAlign w:val="center"/>
          </w:tcPr>
          <w:p w14:paraId="3ECC6DCB">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6530497B">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19</w:t>
            </w:r>
          </w:p>
        </w:tc>
        <w:tc>
          <w:tcPr>
            <w:tcW w:w="0" w:type="auto"/>
            <w:tcBorders>
              <w:tl2br w:val="nil"/>
              <w:tr2bl w:val="nil"/>
            </w:tcBorders>
            <w:noWrap w:val="0"/>
            <w:vAlign w:val="center"/>
          </w:tcPr>
          <w:p w14:paraId="60E861E3">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56</w:t>
            </w:r>
          </w:p>
        </w:tc>
        <w:tc>
          <w:tcPr>
            <w:tcW w:w="0" w:type="auto"/>
            <w:tcBorders>
              <w:tl2br w:val="nil"/>
              <w:tr2bl w:val="nil"/>
            </w:tcBorders>
            <w:noWrap w:val="0"/>
            <w:vAlign w:val="center"/>
          </w:tcPr>
          <w:p w14:paraId="0D7CC8CF">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2F76E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4D82B896">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eastAsia" w:cs="Times New Roman"/>
                <w:color w:val="auto"/>
                <w:highlight w:val="none"/>
                <w:lang w:val="en-US" w:eastAsia="zh-CN"/>
              </w:rPr>
              <w:t>9</w:t>
            </w:r>
          </w:p>
        </w:tc>
        <w:tc>
          <w:tcPr>
            <w:tcW w:w="0" w:type="auto"/>
            <w:vMerge w:val="continue"/>
            <w:tcBorders>
              <w:tl2br w:val="nil"/>
              <w:tr2bl w:val="nil"/>
            </w:tcBorders>
            <w:noWrap w:val="0"/>
            <w:vAlign w:val="center"/>
          </w:tcPr>
          <w:p w14:paraId="1822F8BB">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32BE1305">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高堰式分级机</w:t>
            </w:r>
          </w:p>
        </w:tc>
        <w:tc>
          <w:tcPr>
            <w:tcW w:w="0" w:type="auto"/>
            <w:tcBorders>
              <w:tl2br w:val="nil"/>
              <w:tr2bl w:val="nil"/>
            </w:tcBorders>
            <w:noWrap w:val="0"/>
            <w:vAlign w:val="center"/>
          </w:tcPr>
          <w:p w14:paraId="12BCC9AC">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FG-φ2</w:t>
            </w:r>
            <w:r>
              <w:rPr>
                <w:rFonts w:hint="eastAsia"/>
                <w:b w:val="0"/>
                <w:color w:val="auto"/>
                <w:kern w:val="0"/>
                <w:highlight w:val="none"/>
                <w:lang w:eastAsia="zh-CN"/>
              </w:rPr>
              <w:t>4</w:t>
            </w:r>
            <w:r>
              <w:rPr>
                <w:rFonts w:hint="eastAsia"/>
                <w:b w:val="0"/>
                <w:color w:val="auto"/>
                <w:kern w:val="0"/>
                <w:highlight w:val="none"/>
              </w:rPr>
              <w:t>00</w:t>
            </w:r>
          </w:p>
        </w:tc>
        <w:tc>
          <w:tcPr>
            <w:tcW w:w="0" w:type="auto"/>
            <w:tcBorders>
              <w:tl2br w:val="nil"/>
              <w:tr2bl w:val="nil"/>
            </w:tcBorders>
            <w:noWrap w:val="0"/>
            <w:vAlign w:val="center"/>
          </w:tcPr>
          <w:p w14:paraId="27F78C0B">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20CB9301">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30A39D4C">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6EA78A8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85</w:t>
            </w:r>
          </w:p>
        </w:tc>
        <w:tc>
          <w:tcPr>
            <w:tcW w:w="0" w:type="auto"/>
            <w:tcBorders>
              <w:tl2br w:val="nil"/>
              <w:tr2bl w:val="nil"/>
            </w:tcBorders>
            <w:noWrap w:val="0"/>
            <w:vAlign w:val="center"/>
          </w:tcPr>
          <w:p w14:paraId="7F401EE7">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6B43E41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w:t>
            </w:r>
          </w:p>
        </w:tc>
        <w:tc>
          <w:tcPr>
            <w:tcW w:w="0" w:type="auto"/>
            <w:tcBorders>
              <w:tl2br w:val="nil"/>
              <w:tr2bl w:val="nil"/>
            </w:tcBorders>
            <w:noWrap w:val="0"/>
            <w:vAlign w:val="center"/>
          </w:tcPr>
          <w:p w14:paraId="7C630421">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0" w:type="auto"/>
            <w:vMerge w:val="continue"/>
            <w:tcBorders>
              <w:tl2br w:val="nil"/>
              <w:tr2bl w:val="nil"/>
            </w:tcBorders>
            <w:noWrap w:val="0"/>
            <w:vAlign w:val="center"/>
          </w:tcPr>
          <w:p w14:paraId="50AC9323">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1BA4CEEA">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20</w:t>
            </w:r>
          </w:p>
        </w:tc>
        <w:tc>
          <w:tcPr>
            <w:tcW w:w="0" w:type="auto"/>
            <w:tcBorders>
              <w:tl2br w:val="nil"/>
              <w:tr2bl w:val="nil"/>
            </w:tcBorders>
            <w:noWrap w:val="0"/>
            <w:vAlign w:val="center"/>
          </w:tcPr>
          <w:p w14:paraId="204B3C06">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55</w:t>
            </w:r>
          </w:p>
        </w:tc>
        <w:tc>
          <w:tcPr>
            <w:tcW w:w="0" w:type="auto"/>
            <w:tcBorders>
              <w:tl2br w:val="nil"/>
              <w:tr2bl w:val="nil"/>
            </w:tcBorders>
            <w:noWrap w:val="0"/>
            <w:vAlign w:val="center"/>
          </w:tcPr>
          <w:p w14:paraId="3AA1531A">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26EBD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723477CD">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0</w:t>
            </w:r>
          </w:p>
        </w:tc>
        <w:tc>
          <w:tcPr>
            <w:tcW w:w="0" w:type="auto"/>
            <w:vMerge w:val="continue"/>
            <w:tcBorders>
              <w:tl2br w:val="nil"/>
              <w:tr2bl w:val="nil"/>
            </w:tcBorders>
            <w:noWrap w:val="0"/>
            <w:vAlign w:val="center"/>
          </w:tcPr>
          <w:p w14:paraId="25BBA5D0">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1E9253E4">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搅拌桶</w:t>
            </w:r>
          </w:p>
        </w:tc>
        <w:tc>
          <w:tcPr>
            <w:tcW w:w="0" w:type="auto"/>
            <w:tcBorders>
              <w:tl2br w:val="nil"/>
              <w:tr2bl w:val="nil"/>
            </w:tcBorders>
            <w:noWrap w:val="0"/>
            <w:vAlign w:val="center"/>
          </w:tcPr>
          <w:p w14:paraId="6948EF33">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XB-2</w:t>
            </w:r>
            <w:r>
              <w:rPr>
                <w:rFonts w:hint="eastAsia"/>
                <w:b w:val="0"/>
                <w:color w:val="auto"/>
                <w:kern w:val="0"/>
                <w:highlight w:val="none"/>
                <w:lang w:eastAsia="zh-CN"/>
              </w:rPr>
              <w:t>5</w:t>
            </w:r>
            <w:r>
              <w:rPr>
                <w:rFonts w:hint="eastAsia"/>
                <w:b w:val="0"/>
                <w:color w:val="auto"/>
                <w:kern w:val="0"/>
                <w:highlight w:val="none"/>
              </w:rPr>
              <w:t>00</w:t>
            </w:r>
          </w:p>
        </w:tc>
        <w:tc>
          <w:tcPr>
            <w:tcW w:w="0" w:type="auto"/>
            <w:tcBorders>
              <w:tl2br w:val="nil"/>
              <w:tr2bl w:val="nil"/>
            </w:tcBorders>
            <w:noWrap w:val="0"/>
            <w:vAlign w:val="center"/>
          </w:tcPr>
          <w:p w14:paraId="2B11E0B4">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150</w:t>
            </w:r>
          </w:p>
        </w:tc>
        <w:tc>
          <w:tcPr>
            <w:tcW w:w="0" w:type="auto"/>
            <w:tcBorders>
              <w:tl2br w:val="nil"/>
              <w:tr2bl w:val="nil"/>
            </w:tcBorders>
            <w:noWrap w:val="0"/>
            <w:vAlign w:val="center"/>
          </w:tcPr>
          <w:p w14:paraId="4851802F">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160</w:t>
            </w:r>
          </w:p>
        </w:tc>
        <w:tc>
          <w:tcPr>
            <w:tcW w:w="0" w:type="auto"/>
            <w:tcBorders>
              <w:tl2br w:val="nil"/>
              <w:tr2bl w:val="nil"/>
            </w:tcBorders>
            <w:noWrap w:val="0"/>
            <w:vAlign w:val="center"/>
          </w:tcPr>
          <w:p w14:paraId="6A102F7C">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50</w:t>
            </w:r>
          </w:p>
        </w:tc>
        <w:tc>
          <w:tcPr>
            <w:tcW w:w="0" w:type="auto"/>
            <w:tcBorders>
              <w:tl2br w:val="nil"/>
              <w:tr2bl w:val="nil"/>
            </w:tcBorders>
            <w:noWrap w:val="0"/>
            <w:vAlign w:val="center"/>
          </w:tcPr>
          <w:p w14:paraId="55ACA5C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85</w:t>
            </w:r>
          </w:p>
        </w:tc>
        <w:tc>
          <w:tcPr>
            <w:tcW w:w="0" w:type="auto"/>
            <w:tcBorders>
              <w:tl2br w:val="nil"/>
              <w:tr2bl w:val="nil"/>
            </w:tcBorders>
            <w:noWrap w:val="0"/>
            <w:vAlign w:val="center"/>
          </w:tcPr>
          <w:p w14:paraId="3ABF7C43">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0E5C583C">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0" w:type="auto"/>
            <w:tcBorders>
              <w:tl2br w:val="nil"/>
              <w:tr2bl w:val="nil"/>
            </w:tcBorders>
            <w:noWrap w:val="0"/>
            <w:vAlign w:val="center"/>
          </w:tcPr>
          <w:p w14:paraId="16FC1E54">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0" w:type="auto"/>
            <w:vMerge w:val="continue"/>
            <w:tcBorders>
              <w:tl2br w:val="nil"/>
              <w:tr2bl w:val="nil"/>
            </w:tcBorders>
            <w:noWrap w:val="0"/>
            <w:vAlign w:val="center"/>
          </w:tcPr>
          <w:p w14:paraId="7F718D92">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5AFEE105">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20</w:t>
            </w:r>
          </w:p>
        </w:tc>
        <w:tc>
          <w:tcPr>
            <w:tcW w:w="0" w:type="auto"/>
            <w:tcBorders>
              <w:tl2br w:val="nil"/>
              <w:tr2bl w:val="nil"/>
            </w:tcBorders>
            <w:noWrap w:val="0"/>
            <w:vAlign w:val="center"/>
          </w:tcPr>
          <w:p w14:paraId="7B9BC419">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55</w:t>
            </w:r>
          </w:p>
        </w:tc>
        <w:tc>
          <w:tcPr>
            <w:tcW w:w="0" w:type="auto"/>
            <w:tcBorders>
              <w:tl2br w:val="nil"/>
              <w:tr2bl w:val="nil"/>
            </w:tcBorders>
            <w:noWrap w:val="0"/>
            <w:vAlign w:val="center"/>
          </w:tcPr>
          <w:p w14:paraId="6EC5A1A2">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42055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6F517D0E">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1</w:t>
            </w:r>
          </w:p>
        </w:tc>
        <w:tc>
          <w:tcPr>
            <w:tcW w:w="0" w:type="auto"/>
            <w:vMerge w:val="continue"/>
            <w:tcBorders>
              <w:tl2br w:val="nil"/>
              <w:tr2bl w:val="nil"/>
            </w:tcBorders>
            <w:noWrap w:val="0"/>
            <w:vAlign w:val="center"/>
          </w:tcPr>
          <w:p w14:paraId="3D720B4C">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6ED7AB7C">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浮选机</w:t>
            </w:r>
          </w:p>
        </w:tc>
        <w:tc>
          <w:tcPr>
            <w:tcW w:w="0" w:type="auto"/>
            <w:tcBorders>
              <w:tl2br w:val="nil"/>
              <w:tr2bl w:val="nil"/>
            </w:tcBorders>
            <w:noWrap w:val="0"/>
            <w:vAlign w:val="center"/>
          </w:tcPr>
          <w:p w14:paraId="16620B75">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XTK-2.8(6A)</w:t>
            </w:r>
          </w:p>
        </w:tc>
        <w:tc>
          <w:tcPr>
            <w:tcW w:w="0" w:type="auto"/>
            <w:tcBorders>
              <w:tl2br w:val="nil"/>
              <w:tr2bl w:val="nil"/>
            </w:tcBorders>
            <w:noWrap w:val="0"/>
            <w:vAlign w:val="center"/>
          </w:tcPr>
          <w:p w14:paraId="1DF4449B">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7C82129B">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2283845B">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65D72545">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513532C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w:t>
            </w:r>
          </w:p>
        </w:tc>
        <w:tc>
          <w:tcPr>
            <w:tcW w:w="0" w:type="auto"/>
            <w:tcBorders>
              <w:tl2br w:val="nil"/>
              <w:tr2bl w:val="nil"/>
            </w:tcBorders>
            <w:noWrap w:val="0"/>
            <w:vAlign w:val="center"/>
          </w:tcPr>
          <w:p w14:paraId="00F53E9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0" w:type="auto"/>
            <w:tcBorders>
              <w:tl2br w:val="nil"/>
              <w:tr2bl w:val="nil"/>
            </w:tcBorders>
            <w:noWrap w:val="0"/>
            <w:vAlign w:val="center"/>
          </w:tcPr>
          <w:p w14:paraId="0C489AC4">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13997013">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283B56EF">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17</w:t>
            </w:r>
          </w:p>
        </w:tc>
        <w:tc>
          <w:tcPr>
            <w:tcW w:w="0" w:type="auto"/>
            <w:tcBorders>
              <w:tl2br w:val="nil"/>
              <w:tr2bl w:val="nil"/>
            </w:tcBorders>
            <w:noWrap w:val="0"/>
            <w:vAlign w:val="center"/>
          </w:tcPr>
          <w:p w14:paraId="3049FE76">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43</w:t>
            </w:r>
          </w:p>
        </w:tc>
        <w:tc>
          <w:tcPr>
            <w:tcW w:w="0" w:type="auto"/>
            <w:tcBorders>
              <w:tl2br w:val="nil"/>
              <w:tr2bl w:val="nil"/>
            </w:tcBorders>
            <w:noWrap w:val="0"/>
            <w:vAlign w:val="center"/>
          </w:tcPr>
          <w:p w14:paraId="2890C0F6">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0D778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6D10C58B">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2</w:t>
            </w:r>
          </w:p>
        </w:tc>
        <w:tc>
          <w:tcPr>
            <w:tcW w:w="0" w:type="auto"/>
            <w:vMerge w:val="continue"/>
            <w:tcBorders>
              <w:tl2br w:val="nil"/>
              <w:tr2bl w:val="nil"/>
            </w:tcBorders>
            <w:noWrap w:val="0"/>
            <w:vAlign w:val="center"/>
          </w:tcPr>
          <w:p w14:paraId="232DED3C">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6F3F8D89">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液下泵</w:t>
            </w:r>
          </w:p>
        </w:tc>
        <w:tc>
          <w:tcPr>
            <w:tcW w:w="0" w:type="auto"/>
            <w:tcBorders>
              <w:tl2br w:val="nil"/>
              <w:tr2bl w:val="nil"/>
            </w:tcBorders>
            <w:noWrap w:val="0"/>
            <w:vAlign w:val="center"/>
          </w:tcPr>
          <w:p w14:paraId="4B10FCEC">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1.5PW</w:t>
            </w:r>
          </w:p>
        </w:tc>
        <w:tc>
          <w:tcPr>
            <w:tcW w:w="0" w:type="auto"/>
            <w:tcBorders>
              <w:tl2br w:val="nil"/>
              <w:tr2bl w:val="nil"/>
            </w:tcBorders>
            <w:noWrap w:val="0"/>
            <w:vAlign w:val="center"/>
          </w:tcPr>
          <w:p w14:paraId="11EEF630">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w:t>
            </w:r>
          </w:p>
        </w:tc>
        <w:tc>
          <w:tcPr>
            <w:tcW w:w="0" w:type="auto"/>
            <w:tcBorders>
              <w:tl2br w:val="nil"/>
              <w:tr2bl w:val="nil"/>
            </w:tcBorders>
            <w:noWrap w:val="0"/>
            <w:vAlign w:val="center"/>
          </w:tcPr>
          <w:p w14:paraId="3EDA2335">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120</w:t>
            </w:r>
          </w:p>
        </w:tc>
        <w:tc>
          <w:tcPr>
            <w:tcW w:w="0" w:type="auto"/>
            <w:tcBorders>
              <w:tl2br w:val="nil"/>
              <w:tr2bl w:val="nil"/>
            </w:tcBorders>
            <w:noWrap w:val="0"/>
            <w:vAlign w:val="center"/>
          </w:tcPr>
          <w:p w14:paraId="3B78973F">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35C207C1">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6F1FCAF8">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531D9218">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0" w:type="auto"/>
            <w:tcBorders>
              <w:tl2br w:val="nil"/>
              <w:tr2bl w:val="nil"/>
            </w:tcBorders>
            <w:noWrap w:val="0"/>
            <w:vAlign w:val="center"/>
          </w:tcPr>
          <w:p w14:paraId="3448BBA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417DC4AB">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0978A23E">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17</w:t>
            </w:r>
          </w:p>
        </w:tc>
        <w:tc>
          <w:tcPr>
            <w:tcW w:w="0" w:type="auto"/>
            <w:tcBorders>
              <w:tl2br w:val="nil"/>
              <w:tr2bl w:val="nil"/>
            </w:tcBorders>
            <w:noWrap w:val="0"/>
            <w:vAlign w:val="center"/>
          </w:tcPr>
          <w:p w14:paraId="504F7D14">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43</w:t>
            </w:r>
          </w:p>
        </w:tc>
        <w:tc>
          <w:tcPr>
            <w:tcW w:w="0" w:type="auto"/>
            <w:tcBorders>
              <w:tl2br w:val="nil"/>
              <w:tr2bl w:val="nil"/>
            </w:tcBorders>
            <w:noWrap w:val="0"/>
            <w:vAlign w:val="center"/>
          </w:tcPr>
          <w:p w14:paraId="3BCE39E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14998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374F924D">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3</w:t>
            </w:r>
          </w:p>
        </w:tc>
        <w:tc>
          <w:tcPr>
            <w:tcW w:w="0" w:type="auto"/>
            <w:vMerge w:val="continue"/>
            <w:tcBorders>
              <w:tl2br w:val="nil"/>
              <w:tr2bl w:val="nil"/>
            </w:tcBorders>
            <w:noWrap w:val="0"/>
            <w:vAlign w:val="center"/>
          </w:tcPr>
          <w:p w14:paraId="3F283010">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A84E84B">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浓缩机</w:t>
            </w:r>
          </w:p>
        </w:tc>
        <w:tc>
          <w:tcPr>
            <w:tcW w:w="0" w:type="auto"/>
            <w:tcBorders>
              <w:tl2br w:val="nil"/>
              <w:tr2bl w:val="nil"/>
            </w:tcBorders>
            <w:noWrap w:val="0"/>
            <w:vAlign w:val="center"/>
          </w:tcPr>
          <w:p w14:paraId="47E20BA9">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NE-</w:t>
            </w:r>
            <w:r>
              <w:rPr>
                <w:rFonts w:hint="eastAsia"/>
                <w:b w:val="0"/>
                <w:color w:val="auto"/>
                <w:kern w:val="0"/>
                <w:highlight w:val="none"/>
                <w:lang w:eastAsia="zh-CN"/>
              </w:rPr>
              <w:t>12</w:t>
            </w:r>
            <w:r>
              <w:rPr>
                <w:rFonts w:hint="eastAsia"/>
                <w:b w:val="0"/>
                <w:color w:val="auto"/>
                <w:kern w:val="0"/>
                <w:highlight w:val="none"/>
              </w:rPr>
              <w:t>m</w:t>
            </w:r>
          </w:p>
        </w:tc>
        <w:tc>
          <w:tcPr>
            <w:tcW w:w="0" w:type="auto"/>
            <w:tcBorders>
              <w:tl2br w:val="nil"/>
              <w:tr2bl w:val="nil"/>
            </w:tcBorders>
            <w:noWrap w:val="0"/>
            <w:vAlign w:val="center"/>
          </w:tcPr>
          <w:p w14:paraId="0E9CFECA">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2D50ABBB">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251F2E13">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53078668">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3A783335">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w:t>
            </w:r>
          </w:p>
        </w:tc>
        <w:tc>
          <w:tcPr>
            <w:tcW w:w="0" w:type="auto"/>
            <w:tcBorders>
              <w:tl2br w:val="nil"/>
              <w:tr2bl w:val="nil"/>
            </w:tcBorders>
            <w:noWrap w:val="0"/>
            <w:vAlign w:val="center"/>
          </w:tcPr>
          <w:p w14:paraId="5F2721F2">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0" w:type="auto"/>
            <w:tcBorders>
              <w:tl2br w:val="nil"/>
              <w:tr2bl w:val="nil"/>
            </w:tcBorders>
            <w:noWrap w:val="0"/>
            <w:vAlign w:val="center"/>
          </w:tcPr>
          <w:p w14:paraId="75DFDD04">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57FA294A">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ED76DB7">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19</w:t>
            </w:r>
          </w:p>
        </w:tc>
        <w:tc>
          <w:tcPr>
            <w:tcW w:w="0" w:type="auto"/>
            <w:tcBorders>
              <w:tl2br w:val="nil"/>
              <w:tr2bl w:val="nil"/>
            </w:tcBorders>
            <w:noWrap w:val="0"/>
            <w:vAlign w:val="center"/>
          </w:tcPr>
          <w:p w14:paraId="52E7B56F">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41</w:t>
            </w:r>
          </w:p>
        </w:tc>
        <w:tc>
          <w:tcPr>
            <w:tcW w:w="0" w:type="auto"/>
            <w:tcBorders>
              <w:tl2br w:val="nil"/>
              <w:tr2bl w:val="nil"/>
            </w:tcBorders>
            <w:noWrap w:val="0"/>
            <w:vAlign w:val="center"/>
          </w:tcPr>
          <w:p w14:paraId="42D58840">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40B90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1F778BE2">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4</w:t>
            </w:r>
          </w:p>
        </w:tc>
        <w:tc>
          <w:tcPr>
            <w:tcW w:w="0" w:type="auto"/>
            <w:vMerge w:val="continue"/>
            <w:tcBorders>
              <w:tl2br w:val="nil"/>
              <w:tr2bl w:val="nil"/>
            </w:tcBorders>
            <w:noWrap w:val="0"/>
            <w:vAlign w:val="center"/>
          </w:tcPr>
          <w:p w14:paraId="4BFF4EB6">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0A1E541F">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圆盘真空过滤机</w:t>
            </w:r>
          </w:p>
        </w:tc>
        <w:tc>
          <w:tcPr>
            <w:tcW w:w="0" w:type="auto"/>
            <w:tcBorders>
              <w:tl2br w:val="nil"/>
              <w:tr2bl w:val="nil"/>
            </w:tcBorders>
            <w:noWrap w:val="0"/>
            <w:vAlign w:val="center"/>
          </w:tcPr>
          <w:p w14:paraId="369E47BE">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40平方</w:t>
            </w:r>
          </w:p>
        </w:tc>
        <w:tc>
          <w:tcPr>
            <w:tcW w:w="0" w:type="auto"/>
            <w:tcBorders>
              <w:tl2br w:val="nil"/>
              <w:tr2bl w:val="nil"/>
            </w:tcBorders>
            <w:noWrap w:val="0"/>
            <w:vAlign w:val="center"/>
          </w:tcPr>
          <w:p w14:paraId="524E9685">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150</w:t>
            </w:r>
          </w:p>
        </w:tc>
        <w:tc>
          <w:tcPr>
            <w:tcW w:w="0" w:type="auto"/>
            <w:tcBorders>
              <w:tl2br w:val="nil"/>
              <w:tr2bl w:val="nil"/>
            </w:tcBorders>
            <w:noWrap w:val="0"/>
            <w:vAlign w:val="center"/>
          </w:tcPr>
          <w:p w14:paraId="785E6825">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160</w:t>
            </w:r>
          </w:p>
        </w:tc>
        <w:tc>
          <w:tcPr>
            <w:tcW w:w="0" w:type="auto"/>
            <w:tcBorders>
              <w:tl2br w:val="nil"/>
              <w:tr2bl w:val="nil"/>
            </w:tcBorders>
            <w:noWrap w:val="0"/>
            <w:vAlign w:val="center"/>
          </w:tcPr>
          <w:p w14:paraId="6E18ADDE">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50</w:t>
            </w:r>
          </w:p>
        </w:tc>
        <w:tc>
          <w:tcPr>
            <w:tcW w:w="0" w:type="auto"/>
            <w:tcBorders>
              <w:tl2br w:val="nil"/>
              <w:tr2bl w:val="nil"/>
            </w:tcBorders>
            <w:noWrap w:val="0"/>
            <w:vAlign w:val="center"/>
          </w:tcPr>
          <w:p w14:paraId="18914897">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c>
          <w:tcPr>
            <w:tcW w:w="0" w:type="auto"/>
            <w:tcBorders>
              <w:tl2br w:val="nil"/>
              <w:tr2bl w:val="nil"/>
            </w:tcBorders>
            <w:noWrap w:val="0"/>
            <w:vAlign w:val="center"/>
          </w:tcPr>
          <w:p w14:paraId="578C433D">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578A7BC6">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0" w:type="auto"/>
            <w:tcBorders>
              <w:tl2br w:val="nil"/>
              <w:tr2bl w:val="nil"/>
            </w:tcBorders>
            <w:noWrap w:val="0"/>
            <w:vAlign w:val="center"/>
          </w:tcPr>
          <w:p w14:paraId="3DF33F21">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5C3F1CFD">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9975ECE">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17</w:t>
            </w:r>
          </w:p>
        </w:tc>
        <w:tc>
          <w:tcPr>
            <w:tcW w:w="0" w:type="auto"/>
            <w:tcBorders>
              <w:tl2br w:val="nil"/>
              <w:tr2bl w:val="nil"/>
            </w:tcBorders>
            <w:noWrap w:val="0"/>
            <w:vAlign w:val="center"/>
          </w:tcPr>
          <w:p w14:paraId="4100878D">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53</w:t>
            </w:r>
          </w:p>
        </w:tc>
        <w:tc>
          <w:tcPr>
            <w:tcW w:w="0" w:type="auto"/>
            <w:tcBorders>
              <w:tl2br w:val="nil"/>
              <w:tr2bl w:val="nil"/>
            </w:tcBorders>
            <w:noWrap w:val="0"/>
            <w:vAlign w:val="center"/>
          </w:tcPr>
          <w:p w14:paraId="70AE5FE9">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7BADA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5B792706">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5</w:t>
            </w:r>
          </w:p>
        </w:tc>
        <w:tc>
          <w:tcPr>
            <w:tcW w:w="0" w:type="auto"/>
            <w:vMerge w:val="continue"/>
            <w:tcBorders>
              <w:tl2br w:val="nil"/>
              <w:tr2bl w:val="nil"/>
            </w:tcBorders>
            <w:noWrap w:val="0"/>
            <w:vAlign w:val="center"/>
          </w:tcPr>
          <w:p w14:paraId="67B2147F">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1DAD6311">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行车</w:t>
            </w:r>
          </w:p>
        </w:tc>
        <w:tc>
          <w:tcPr>
            <w:tcW w:w="0" w:type="auto"/>
            <w:tcBorders>
              <w:tl2br w:val="nil"/>
              <w:tr2bl w:val="nil"/>
            </w:tcBorders>
            <w:noWrap w:val="0"/>
            <w:vAlign w:val="center"/>
          </w:tcPr>
          <w:p w14:paraId="5CFEFC90">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val="en-US" w:eastAsia="zh-CN"/>
              </w:rPr>
              <w:t>2T</w:t>
            </w:r>
          </w:p>
        </w:tc>
        <w:tc>
          <w:tcPr>
            <w:tcW w:w="0" w:type="auto"/>
            <w:tcBorders>
              <w:tl2br w:val="nil"/>
              <w:tr2bl w:val="nil"/>
            </w:tcBorders>
            <w:noWrap w:val="0"/>
            <w:vAlign w:val="center"/>
          </w:tcPr>
          <w:p w14:paraId="481C6E37">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7E024D62">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25D16857">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4BA12DF1">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c>
          <w:tcPr>
            <w:tcW w:w="0" w:type="auto"/>
            <w:tcBorders>
              <w:tl2br w:val="nil"/>
              <w:tr2bl w:val="nil"/>
            </w:tcBorders>
            <w:noWrap w:val="0"/>
            <w:vAlign w:val="center"/>
          </w:tcPr>
          <w:p w14:paraId="5AFB5E7E">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7971B1B4">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0" w:type="auto"/>
            <w:tcBorders>
              <w:tl2br w:val="nil"/>
              <w:tr2bl w:val="nil"/>
            </w:tcBorders>
            <w:noWrap w:val="0"/>
            <w:vAlign w:val="center"/>
          </w:tcPr>
          <w:p w14:paraId="25552AA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2BA4FF2C">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14C87AB">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19</w:t>
            </w:r>
          </w:p>
        </w:tc>
        <w:tc>
          <w:tcPr>
            <w:tcW w:w="0" w:type="auto"/>
            <w:tcBorders>
              <w:tl2br w:val="nil"/>
              <w:tr2bl w:val="nil"/>
            </w:tcBorders>
            <w:noWrap w:val="0"/>
            <w:vAlign w:val="center"/>
          </w:tcPr>
          <w:p w14:paraId="695936C1">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51</w:t>
            </w:r>
          </w:p>
        </w:tc>
        <w:tc>
          <w:tcPr>
            <w:tcW w:w="0" w:type="auto"/>
            <w:tcBorders>
              <w:tl2br w:val="nil"/>
              <w:tr2bl w:val="nil"/>
            </w:tcBorders>
            <w:noWrap w:val="0"/>
            <w:vAlign w:val="center"/>
          </w:tcPr>
          <w:p w14:paraId="20912465">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35560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195F273F">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6</w:t>
            </w:r>
          </w:p>
        </w:tc>
        <w:tc>
          <w:tcPr>
            <w:tcW w:w="0" w:type="auto"/>
            <w:vMerge w:val="continue"/>
            <w:tcBorders>
              <w:tl2br w:val="nil"/>
              <w:tr2bl w:val="nil"/>
            </w:tcBorders>
            <w:noWrap w:val="0"/>
            <w:vAlign w:val="center"/>
          </w:tcPr>
          <w:p w14:paraId="43E1ED09">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10C86F63">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潜水泵</w:t>
            </w:r>
          </w:p>
        </w:tc>
        <w:tc>
          <w:tcPr>
            <w:tcW w:w="0" w:type="auto"/>
            <w:tcBorders>
              <w:tl2br w:val="nil"/>
              <w:tr2bl w:val="nil"/>
            </w:tcBorders>
            <w:noWrap w:val="0"/>
            <w:vAlign w:val="center"/>
          </w:tcPr>
          <w:p w14:paraId="2E737657">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18</w:t>
            </w:r>
            <w:r>
              <w:rPr>
                <w:color w:val="auto"/>
                <w:highlight w:val="none"/>
              </w:rPr>
              <w:t>×</w:t>
            </w:r>
            <w:r>
              <w:rPr>
                <w:rFonts w:hint="eastAsia"/>
                <w:b w:val="0"/>
                <w:color w:val="auto"/>
                <w:kern w:val="0"/>
                <w:highlight w:val="none"/>
              </w:rPr>
              <w:t>80</w:t>
            </w:r>
          </w:p>
        </w:tc>
        <w:tc>
          <w:tcPr>
            <w:tcW w:w="0" w:type="auto"/>
            <w:tcBorders>
              <w:tl2br w:val="nil"/>
              <w:tr2bl w:val="nil"/>
            </w:tcBorders>
            <w:noWrap w:val="0"/>
            <w:vAlign w:val="center"/>
          </w:tcPr>
          <w:p w14:paraId="2A87AABE">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w:t>
            </w:r>
          </w:p>
        </w:tc>
        <w:tc>
          <w:tcPr>
            <w:tcW w:w="0" w:type="auto"/>
            <w:tcBorders>
              <w:tl2br w:val="nil"/>
              <w:tr2bl w:val="nil"/>
            </w:tcBorders>
            <w:noWrap w:val="0"/>
            <w:vAlign w:val="center"/>
          </w:tcPr>
          <w:p w14:paraId="3015EDB2">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120</w:t>
            </w:r>
          </w:p>
        </w:tc>
        <w:tc>
          <w:tcPr>
            <w:tcW w:w="0" w:type="auto"/>
            <w:tcBorders>
              <w:tl2br w:val="nil"/>
              <w:tr2bl w:val="nil"/>
            </w:tcBorders>
            <w:noWrap w:val="0"/>
            <w:vAlign w:val="center"/>
          </w:tcPr>
          <w:p w14:paraId="202DB9C0">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7F94C631">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2EAFBA5B">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21566355">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18</w:t>
            </w:r>
          </w:p>
        </w:tc>
        <w:tc>
          <w:tcPr>
            <w:tcW w:w="0" w:type="auto"/>
            <w:tcBorders>
              <w:tl2br w:val="nil"/>
              <w:tr2bl w:val="nil"/>
            </w:tcBorders>
            <w:noWrap w:val="0"/>
            <w:vAlign w:val="center"/>
          </w:tcPr>
          <w:p w14:paraId="3E71FA9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1A45D328">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0866E7D7">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18</w:t>
            </w:r>
          </w:p>
        </w:tc>
        <w:tc>
          <w:tcPr>
            <w:tcW w:w="0" w:type="auto"/>
            <w:tcBorders>
              <w:tl2br w:val="nil"/>
              <w:tr2bl w:val="nil"/>
            </w:tcBorders>
            <w:noWrap w:val="0"/>
            <w:vAlign w:val="center"/>
          </w:tcPr>
          <w:p w14:paraId="771CED46">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52</w:t>
            </w:r>
          </w:p>
        </w:tc>
        <w:tc>
          <w:tcPr>
            <w:tcW w:w="0" w:type="auto"/>
            <w:tcBorders>
              <w:tl2br w:val="nil"/>
              <w:tr2bl w:val="nil"/>
            </w:tcBorders>
            <w:noWrap w:val="0"/>
            <w:vAlign w:val="center"/>
          </w:tcPr>
          <w:p w14:paraId="78E9B0BE">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14F53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0B233C0F">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7</w:t>
            </w:r>
          </w:p>
        </w:tc>
        <w:tc>
          <w:tcPr>
            <w:tcW w:w="0" w:type="auto"/>
            <w:vMerge w:val="continue"/>
            <w:tcBorders>
              <w:tl2br w:val="nil"/>
              <w:tr2bl w:val="nil"/>
            </w:tcBorders>
            <w:noWrap w:val="0"/>
            <w:vAlign w:val="center"/>
          </w:tcPr>
          <w:p w14:paraId="58507D8D">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10603027">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潜污泵</w:t>
            </w:r>
          </w:p>
        </w:tc>
        <w:tc>
          <w:tcPr>
            <w:tcW w:w="0" w:type="auto"/>
            <w:tcBorders>
              <w:tl2br w:val="nil"/>
              <w:tr2bl w:val="nil"/>
            </w:tcBorders>
            <w:noWrap w:val="0"/>
            <w:vAlign w:val="center"/>
          </w:tcPr>
          <w:p w14:paraId="0F61FB06">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65WQ</w:t>
            </w:r>
          </w:p>
        </w:tc>
        <w:tc>
          <w:tcPr>
            <w:tcW w:w="0" w:type="auto"/>
            <w:tcBorders>
              <w:tl2br w:val="nil"/>
              <w:tr2bl w:val="nil"/>
            </w:tcBorders>
            <w:noWrap w:val="0"/>
            <w:vAlign w:val="center"/>
          </w:tcPr>
          <w:p w14:paraId="5DBB9DCA">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130EF754">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1D46D597">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63D1F5A2">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1C6CBAF8">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5EF1D7FF">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0" w:type="auto"/>
            <w:tcBorders>
              <w:tl2br w:val="nil"/>
              <w:tr2bl w:val="nil"/>
            </w:tcBorders>
            <w:noWrap w:val="0"/>
            <w:vAlign w:val="center"/>
          </w:tcPr>
          <w:p w14:paraId="6DF31D7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37035965">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CBE863D">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19</w:t>
            </w:r>
          </w:p>
        </w:tc>
        <w:tc>
          <w:tcPr>
            <w:tcW w:w="0" w:type="auto"/>
            <w:tcBorders>
              <w:tl2br w:val="nil"/>
              <w:tr2bl w:val="nil"/>
            </w:tcBorders>
            <w:noWrap w:val="0"/>
            <w:vAlign w:val="center"/>
          </w:tcPr>
          <w:p w14:paraId="3E4E7449">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51</w:t>
            </w:r>
          </w:p>
        </w:tc>
        <w:tc>
          <w:tcPr>
            <w:tcW w:w="0" w:type="auto"/>
            <w:tcBorders>
              <w:tl2br w:val="nil"/>
              <w:tr2bl w:val="nil"/>
            </w:tcBorders>
            <w:noWrap w:val="0"/>
            <w:vAlign w:val="center"/>
          </w:tcPr>
          <w:p w14:paraId="41388D10">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579CE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44DA54CE">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8</w:t>
            </w:r>
          </w:p>
        </w:tc>
        <w:tc>
          <w:tcPr>
            <w:tcW w:w="0" w:type="auto"/>
            <w:vMerge w:val="continue"/>
            <w:tcBorders>
              <w:tl2br w:val="nil"/>
              <w:tr2bl w:val="nil"/>
            </w:tcBorders>
            <w:noWrap w:val="0"/>
            <w:vAlign w:val="center"/>
          </w:tcPr>
          <w:p w14:paraId="3D938C21">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04746EA7">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板框压滤机</w:t>
            </w:r>
          </w:p>
        </w:tc>
        <w:tc>
          <w:tcPr>
            <w:tcW w:w="0" w:type="auto"/>
            <w:tcBorders>
              <w:tl2br w:val="nil"/>
              <w:tr2bl w:val="nil"/>
            </w:tcBorders>
            <w:noWrap w:val="0"/>
            <w:vAlign w:val="center"/>
          </w:tcPr>
          <w:p w14:paraId="24389ABF">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600平方</w:t>
            </w:r>
          </w:p>
        </w:tc>
        <w:tc>
          <w:tcPr>
            <w:tcW w:w="0" w:type="auto"/>
            <w:tcBorders>
              <w:tl2br w:val="nil"/>
              <w:tr2bl w:val="nil"/>
            </w:tcBorders>
            <w:noWrap w:val="0"/>
            <w:vAlign w:val="center"/>
          </w:tcPr>
          <w:p w14:paraId="72FA6F71">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150</w:t>
            </w:r>
          </w:p>
        </w:tc>
        <w:tc>
          <w:tcPr>
            <w:tcW w:w="0" w:type="auto"/>
            <w:tcBorders>
              <w:tl2br w:val="nil"/>
              <w:tr2bl w:val="nil"/>
            </w:tcBorders>
            <w:noWrap w:val="0"/>
            <w:vAlign w:val="center"/>
          </w:tcPr>
          <w:p w14:paraId="49C76C87">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160</w:t>
            </w:r>
          </w:p>
        </w:tc>
        <w:tc>
          <w:tcPr>
            <w:tcW w:w="0" w:type="auto"/>
            <w:tcBorders>
              <w:tl2br w:val="nil"/>
              <w:tr2bl w:val="nil"/>
            </w:tcBorders>
            <w:noWrap w:val="0"/>
            <w:vAlign w:val="center"/>
          </w:tcPr>
          <w:p w14:paraId="18D48F85">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50</w:t>
            </w:r>
          </w:p>
        </w:tc>
        <w:tc>
          <w:tcPr>
            <w:tcW w:w="0" w:type="auto"/>
            <w:tcBorders>
              <w:tl2br w:val="nil"/>
              <w:tr2bl w:val="nil"/>
            </w:tcBorders>
            <w:noWrap w:val="0"/>
            <w:vAlign w:val="center"/>
          </w:tcPr>
          <w:p w14:paraId="6C25D2B2">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85</w:t>
            </w:r>
          </w:p>
        </w:tc>
        <w:tc>
          <w:tcPr>
            <w:tcW w:w="0" w:type="auto"/>
            <w:tcBorders>
              <w:tl2br w:val="nil"/>
              <w:tr2bl w:val="nil"/>
            </w:tcBorders>
            <w:noWrap w:val="0"/>
            <w:vAlign w:val="center"/>
          </w:tcPr>
          <w:p w14:paraId="22BA461E">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63DA65C6">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0" w:type="auto"/>
            <w:tcBorders>
              <w:tl2br w:val="nil"/>
              <w:tr2bl w:val="nil"/>
            </w:tcBorders>
            <w:noWrap w:val="0"/>
            <w:vAlign w:val="center"/>
          </w:tcPr>
          <w:p w14:paraId="05F25FC3">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75</w:t>
            </w:r>
          </w:p>
        </w:tc>
        <w:tc>
          <w:tcPr>
            <w:tcW w:w="0" w:type="auto"/>
            <w:vMerge w:val="continue"/>
            <w:tcBorders>
              <w:tl2br w:val="nil"/>
              <w:tr2bl w:val="nil"/>
            </w:tcBorders>
            <w:noWrap w:val="0"/>
            <w:vAlign w:val="center"/>
          </w:tcPr>
          <w:p w14:paraId="724ED240">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2E90DF64">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17</w:t>
            </w:r>
          </w:p>
        </w:tc>
        <w:tc>
          <w:tcPr>
            <w:tcW w:w="0" w:type="auto"/>
            <w:tcBorders>
              <w:tl2br w:val="nil"/>
              <w:tr2bl w:val="nil"/>
            </w:tcBorders>
            <w:noWrap w:val="0"/>
            <w:vAlign w:val="center"/>
          </w:tcPr>
          <w:p w14:paraId="6DCCCE59">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58</w:t>
            </w:r>
          </w:p>
        </w:tc>
        <w:tc>
          <w:tcPr>
            <w:tcW w:w="0" w:type="auto"/>
            <w:tcBorders>
              <w:tl2br w:val="nil"/>
              <w:tr2bl w:val="nil"/>
            </w:tcBorders>
            <w:noWrap w:val="0"/>
            <w:vAlign w:val="center"/>
          </w:tcPr>
          <w:p w14:paraId="19A9F207">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38875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12EC2B87">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eastAsia" w:ascii="Times New Roman" w:hAnsi="Times New Roman" w:cs="Times New Roman"/>
                <w:color w:val="auto"/>
                <w:highlight w:val="none"/>
                <w:lang w:val="en-US" w:eastAsia="zh-CN"/>
              </w:rPr>
              <w:t>19</w:t>
            </w:r>
          </w:p>
        </w:tc>
        <w:tc>
          <w:tcPr>
            <w:tcW w:w="0" w:type="auto"/>
            <w:vMerge w:val="continue"/>
            <w:tcBorders>
              <w:tl2br w:val="nil"/>
              <w:tr2bl w:val="nil"/>
            </w:tcBorders>
            <w:noWrap w:val="0"/>
            <w:vAlign w:val="center"/>
          </w:tcPr>
          <w:p w14:paraId="6996C6C9">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10BA160">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泡沫泵</w:t>
            </w:r>
          </w:p>
        </w:tc>
        <w:tc>
          <w:tcPr>
            <w:tcW w:w="0" w:type="auto"/>
            <w:tcBorders>
              <w:tl2br w:val="nil"/>
              <w:tr2bl w:val="nil"/>
            </w:tcBorders>
            <w:noWrap w:val="0"/>
            <w:vAlign w:val="center"/>
          </w:tcPr>
          <w:p w14:paraId="5DABCB2C">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cs="Times New Roman"/>
                <w:b w:val="0"/>
                <w:color w:val="auto"/>
                <w:kern w:val="0"/>
                <w:sz w:val="21"/>
                <w:szCs w:val="24"/>
                <w:highlight w:val="none"/>
                <w:lang w:val="en-US" w:eastAsia="zh-CN" w:bidi="ar-SA"/>
              </w:rPr>
              <w:t>/</w:t>
            </w:r>
          </w:p>
        </w:tc>
        <w:tc>
          <w:tcPr>
            <w:tcW w:w="0" w:type="auto"/>
            <w:tcBorders>
              <w:tl2br w:val="nil"/>
              <w:tr2bl w:val="nil"/>
            </w:tcBorders>
            <w:noWrap w:val="0"/>
            <w:vAlign w:val="center"/>
          </w:tcPr>
          <w:p w14:paraId="117DCB2D">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0E1F0B8F">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25ECF5DA">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1510813A">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1DC34C1A">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27EA8311">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0" w:type="auto"/>
            <w:tcBorders>
              <w:tl2br w:val="nil"/>
              <w:tr2bl w:val="nil"/>
            </w:tcBorders>
            <w:noWrap w:val="0"/>
            <w:vAlign w:val="center"/>
          </w:tcPr>
          <w:p w14:paraId="4546D7B2">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55FB0CD8">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93EC1AA">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7</w:t>
            </w:r>
          </w:p>
        </w:tc>
        <w:tc>
          <w:tcPr>
            <w:tcW w:w="0" w:type="auto"/>
            <w:tcBorders>
              <w:tl2br w:val="nil"/>
              <w:tr2bl w:val="nil"/>
            </w:tcBorders>
            <w:noWrap w:val="0"/>
            <w:vAlign w:val="center"/>
          </w:tcPr>
          <w:p w14:paraId="1518B145">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43</w:t>
            </w:r>
          </w:p>
        </w:tc>
        <w:tc>
          <w:tcPr>
            <w:tcW w:w="0" w:type="auto"/>
            <w:tcBorders>
              <w:tl2br w:val="nil"/>
              <w:tr2bl w:val="nil"/>
            </w:tcBorders>
            <w:noWrap w:val="0"/>
            <w:vAlign w:val="center"/>
          </w:tcPr>
          <w:p w14:paraId="161E5B82">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50AB6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0FF30CB1">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0</w:t>
            </w:r>
          </w:p>
        </w:tc>
        <w:tc>
          <w:tcPr>
            <w:tcW w:w="0" w:type="auto"/>
            <w:vMerge w:val="continue"/>
            <w:tcBorders>
              <w:tl2br w:val="nil"/>
              <w:tr2bl w:val="nil"/>
            </w:tcBorders>
            <w:noWrap w:val="0"/>
            <w:vAlign w:val="center"/>
          </w:tcPr>
          <w:p w14:paraId="762049FD">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101AE271">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渣浆泵</w:t>
            </w:r>
          </w:p>
        </w:tc>
        <w:tc>
          <w:tcPr>
            <w:tcW w:w="0" w:type="auto"/>
            <w:tcBorders>
              <w:tl2br w:val="nil"/>
              <w:tr2bl w:val="nil"/>
            </w:tcBorders>
            <w:noWrap w:val="0"/>
            <w:vAlign w:val="center"/>
          </w:tcPr>
          <w:p w14:paraId="5B220355">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cs="Times New Roman"/>
                <w:b w:val="0"/>
                <w:color w:val="auto"/>
                <w:kern w:val="0"/>
                <w:sz w:val="21"/>
                <w:szCs w:val="24"/>
                <w:highlight w:val="none"/>
                <w:lang w:val="en-US" w:eastAsia="zh-CN" w:bidi="ar-SA"/>
              </w:rPr>
              <w:t>/</w:t>
            </w:r>
          </w:p>
        </w:tc>
        <w:tc>
          <w:tcPr>
            <w:tcW w:w="0" w:type="auto"/>
            <w:tcBorders>
              <w:tl2br w:val="nil"/>
              <w:tr2bl w:val="nil"/>
            </w:tcBorders>
            <w:noWrap w:val="0"/>
            <w:vAlign w:val="center"/>
          </w:tcPr>
          <w:p w14:paraId="232DB80F">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w:t>
            </w:r>
          </w:p>
        </w:tc>
        <w:tc>
          <w:tcPr>
            <w:tcW w:w="0" w:type="auto"/>
            <w:tcBorders>
              <w:tl2br w:val="nil"/>
              <w:tr2bl w:val="nil"/>
            </w:tcBorders>
            <w:noWrap w:val="0"/>
            <w:vAlign w:val="center"/>
          </w:tcPr>
          <w:p w14:paraId="699102DD">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120</w:t>
            </w:r>
          </w:p>
        </w:tc>
        <w:tc>
          <w:tcPr>
            <w:tcW w:w="0" w:type="auto"/>
            <w:tcBorders>
              <w:tl2br w:val="nil"/>
              <w:tr2bl w:val="nil"/>
            </w:tcBorders>
            <w:noWrap w:val="0"/>
            <w:vAlign w:val="center"/>
          </w:tcPr>
          <w:p w14:paraId="0336D114">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7F2CECDF">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75</w:t>
            </w:r>
          </w:p>
        </w:tc>
        <w:tc>
          <w:tcPr>
            <w:tcW w:w="0" w:type="auto"/>
            <w:tcBorders>
              <w:tl2br w:val="nil"/>
              <w:tr2bl w:val="nil"/>
            </w:tcBorders>
            <w:noWrap w:val="0"/>
            <w:vAlign w:val="center"/>
          </w:tcPr>
          <w:p w14:paraId="62C4E89D">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1FB96C63">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0" w:type="auto"/>
            <w:tcBorders>
              <w:tl2br w:val="nil"/>
              <w:tr2bl w:val="nil"/>
            </w:tcBorders>
            <w:noWrap w:val="0"/>
            <w:vAlign w:val="center"/>
          </w:tcPr>
          <w:p w14:paraId="15F4F31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65</w:t>
            </w:r>
          </w:p>
        </w:tc>
        <w:tc>
          <w:tcPr>
            <w:tcW w:w="0" w:type="auto"/>
            <w:vMerge w:val="continue"/>
            <w:tcBorders>
              <w:tl2br w:val="nil"/>
              <w:tr2bl w:val="nil"/>
            </w:tcBorders>
            <w:noWrap w:val="0"/>
            <w:vAlign w:val="center"/>
          </w:tcPr>
          <w:p w14:paraId="5E87C7E3">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19A2639">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19</w:t>
            </w:r>
          </w:p>
        </w:tc>
        <w:tc>
          <w:tcPr>
            <w:tcW w:w="0" w:type="auto"/>
            <w:tcBorders>
              <w:tl2br w:val="nil"/>
              <w:tr2bl w:val="nil"/>
            </w:tcBorders>
            <w:noWrap w:val="0"/>
            <w:vAlign w:val="center"/>
          </w:tcPr>
          <w:p w14:paraId="66C0CBB3">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46</w:t>
            </w:r>
          </w:p>
        </w:tc>
        <w:tc>
          <w:tcPr>
            <w:tcW w:w="0" w:type="auto"/>
            <w:tcBorders>
              <w:tl2br w:val="nil"/>
              <w:tr2bl w:val="nil"/>
            </w:tcBorders>
            <w:noWrap w:val="0"/>
            <w:vAlign w:val="center"/>
          </w:tcPr>
          <w:p w14:paraId="1E770F8C">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61CDD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4DD39F39">
            <w:pPr>
              <w:pStyle w:val="330"/>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1</w:t>
            </w:r>
          </w:p>
        </w:tc>
        <w:tc>
          <w:tcPr>
            <w:tcW w:w="0" w:type="auto"/>
            <w:vMerge w:val="continue"/>
            <w:tcBorders>
              <w:tl2br w:val="nil"/>
              <w:tr2bl w:val="nil"/>
            </w:tcBorders>
            <w:noWrap w:val="0"/>
            <w:vAlign w:val="center"/>
          </w:tcPr>
          <w:p w14:paraId="2BDD9CE3">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3DA52E00">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潜水渣浆泵</w:t>
            </w:r>
          </w:p>
        </w:tc>
        <w:tc>
          <w:tcPr>
            <w:tcW w:w="0" w:type="auto"/>
            <w:tcBorders>
              <w:tl2br w:val="nil"/>
              <w:tr2bl w:val="nil"/>
            </w:tcBorders>
            <w:noWrap w:val="0"/>
            <w:vAlign w:val="center"/>
          </w:tcPr>
          <w:p w14:paraId="42A7E86D">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100ZJQ120-16</w:t>
            </w:r>
          </w:p>
        </w:tc>
        <w:tc>
          <w:tcPr>
            <w:tcW w:w="0" w:type="auto"/>
            <w:tcBorders>
              <w:tl2br w:val="nil"/>
              <w:tr2bl w:val="nil"/>
            </w:tcBorders>
            <w:noWrap w:val="0"/>
            <w:vAlign w:val="center"/>
          </w:tcPr>
          <w:p w14:paraId="36152505">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1C721CF6">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0D2C5DF4">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18C9BF53">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00664A4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厂房隔声+减振基础声</w:t>
            </w:r>
          </w:p>
        </w:tc>
        <w:tc>
          <w:tcPr>
            <w:tcW w:w="0" w:type="auto"/>
            <w:tcBorders>
              <w:tl2br w:val="nil"/>
              <w:tr2bl w:val="nil"/>
            </w:tcBorders>
            <w:noWrap w:val="0"/>
            <w:vAlign w:val="center"/>
          </w:tcPr>
          <w:p w14:paraId="58AF94D0">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0" w:type="auto"/>
            <w:tcBorders>
              <w:tl2br w:val="nil"/>
              <w:tr2bl w:val="nil"/>
            </w:tcBorders>
            <w:noWrap w:val="0"/>
            <w:vAlign w:val="center"/>
          </w:tcPr>
          <w:p w14:paraId="605166A4">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4ED84C73">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A06EC9F">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17</w:t>
            </w:r>
          </w:p>
        </w:tc>
        <w:tc>
          <w:tcPr>
            <w:tcW w:w="0" w:type="auto"/>
            <w:tcBorders>
              <w:tl2br w:val="nil"/>
              <w:tr2bl w:val="nil"/>
            </w:tcBorders>
            <w:noWrap w:val="0"/>
            <w:vAlign w:val="center"/>
          </w:tcPr>
          <w:p w14:paraId="1D24B24E">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43</w:t>
            </w:r>
          </w:p>
        </w:tc>
        <w:tc>
          <w:tcPr>
            <w:tcW w:w="0" w:type="auto"/>
            <w:tcBorders>
              <w:tl2br w:val="nil"/>
              <w:tr2bl w:val="nil"/>
            </w:tcBorders>
            <w:noWrap w:val="0"/>
            <w:vAlign w:val="center"/>
          </w:tcPr>
          <w:p w14:paraId="52430B1B">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440EA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16935D5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2</w:t>
            </w:r>
          </w:p>
        </w:tc>
        <w:tc>
          <w:tcPr>
            <w:tcW w:w="0" w:type="auto"/>
            <w:vMerge w:val="continue"/>
            <w:tcBorders>
              <w:tl2br w:val="nil"/>
              <w:tr2bl w:val="nil"/>
            </w:tcBorders>
            <w:noWrap w:val="0"/>
            <w:vAlign w:val="center"/>
          </w:tcPr>
          <w:p w14:paraId="4BF58DF6">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52CD80C5">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潜水渣浆泵</w:t>
            </w:r>
          </w:p>
        </w:tc>
        <w:tc>
          <w:tcPr>
            <w:tcW w:w="0" w:type="auto"/>
            <w:tcBorders>
              <w:tl2br w:val="nil"/>
              <w:tr2bl w:val="nil"/>
            </w:tcBorders>
            <w:noWrap w:val="0"/>
            <w:vAlign w:val="center"/>
          </w:tcPr>
          <w:p w14:paraId="5A19714D">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100Z¹Q120-60</w:t>
            </w:r>
          </w:p>
        </w:tc>
        <w:tc>
          <w:tcPr>
            <w:tcW w:w="0" w:type="auto"/>
            <w:tcBorders>
              <w:tl2br w:val="nil"/>
              <w:tr2bl w:val="nil"/>
            </w:tcBorders>
            <w:noWrap w:val="0"/>
            <w:vAlign w:val="center"/>
          </w:tcPr>
          <w:p w14:paraId="69DFD38E">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150</w:t>
            </w:r>
          </w:p>
        </w:tc>
        <w:tc>
          <w:tcPr>
            <w:tcW w:w="0" w:type="auto"/>
            <w:tcBorders>
              <w:tl2br w:val="nil"/>
              <w:tr2bl w:val="nil"/>
            </w:tcBorders>
            <w:noWrap w:val="0"/>
            <w:vAlign w:val="center"/>
          </w:tcPr>
          <w:p w14:paraId="22A63B5D">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160</w:t>
            </w:r>
          </w:p>
        </w:tc>
        <w:tc>
          <w:tcPr>
            <w:tcW w:w="0" w:type="auto"/>
            <w:tcBorders>
              <w:tl2br w:val="nil"/>
              <w:tr2bl w:val="nil"/>
            </w:tcBorders>
            <w:noWrap w:val="0"/>
            <w:vAlign w:val="center"/>
          </w:tcPr>
          <w:p w14:paraId="6F944EE6">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50</w:t>
            </w:r>
          </w:p>
        </w:tc>
        <w:tc>
          <w:tcPr>
            <w:tcW w:w="0" w:type="auto"/>
            <w:tcBorders>
              <w:tl2br w:val="nil"/>
              <w:tr2bl w:val="nil"/>
            </w:tcBorders>
            <w:noWrap w:val="0"/>
            <w:vAlign w:val="center"/>
          </w:tcPr>
          <w:p w14:paraId="3AD91635">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709C4AA3">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144D9713">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15</w:t>
            </w:r>
          </w:p>
        </w:tc>
        <w:tc>
          <w:tcPr>
            <w:tcW w:w="0" w:type="auto"/>
            <w:tcBorders>
              <w:tl2br w:val="nil"/>
              <w:tr2bl w:val="nil"/>
            </w:tcBorders>
            <w:noWrap w:val="0"/>
            <w:vAlign w:val="center"/>
          </w:tcPr>
          <w:p w14:paraId="2F554983">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53C9365E">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E46F5FF">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17</w:t>
            </w:r>
          </w:p>
        </w:tc>
        <w:tc>
          <w:tcPr>
            <w:tcW w:w="0" w:type="auto"/>
            <w:tcBorders>
              <w:tl2br w:val="nil"/>
              <w:tr2bl w:val="nil"/>
            </w:tcBorders>
            <w:noWrap w:val="0"/>
            <w:vAlign w:val="center"/>
          </w:tcPr>
          <w:p w14:paraId="1556B74D">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43</w:t>
            </w:r>
          </w:p>
        </w:tc>
        <w:tc>
          <w:tcPr>
            <w:tcW w:w="0" w:type="auto"/>
            <w:tcBorders>
              <w:tl2br w:val="nil"/>
              <w:tr2bl w:val="nil"/>
            </w:tcBorders>
            <w:noWrap w:val="0"/>
            <w:vAlign w:val="center"/>
          </w:tcPr>
          <w:p w14:paraId="6FDD2AA0">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p>
        </w:tc>
      </w:tr>
      <w:tr w14:paraId="7B5E8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1FA95CA3">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3</w:t>
            </w:r>
          </w:p>
        </w:tc>
        <w:tc>
          <w:tcPr>
            <w:tcW w:w="0" w:type="auto"/>
            <w:vMerge w:val="continue"/>
            <w:tcBorders>
              <w:tl2br w:val="nil"/>
              <w:tr2bl w:val="nil"/>
            </w:tcBorders>
            <w:noWrap w:val="0"/>
            <w:vAlign w:val="center"/>
          </w:tcPr>
          <w:p w14:paraId="2DD514D5">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09B1361">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液下渣浆泵</w:t>
            </w:r>
          </w:p>
        </w:tc>
        <w:tc>
          <w:tcPr>
            <w:tcW w:w="0" w:type="auto"/>
            <w:tcBorders>
              <w:tl2br w:val="nil"/>
              <w:tr2bl w:val="nil"/>
            </w:tcBorders>
            <w:noWrap w:val="0"/>
            <w:vAlign w:val="center"/>
          </w:tcPr>
          <w:p w14:paraId="60AE95F8">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80YZ50-30</w:t>
            </w:r>
          </w:p>
        </w:tc>
        <w:tc>
          <w:tcPr>
            <w:tcW w:w="0" w:type="auto"/>
            <w:tcBorders>
              <w:tl2br w:val="nil"/>
              <w:tr2bl w:val="nil"/>
            </w:tcBorders>
            <w:noWrap w:val="0"/>
            <w:vAlign w:val="center"/>
          </w:tcPr>
          <w:p w14:paraId="01D2AB89">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17EAF24F">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27BC4963">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0C103FB2">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0B0AD742">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765F1D30">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0" w:type="auto"/>
            <w:tcBorders>
              <w:tl2br w:val="nil"/>
              <w:tr2bl w:val="nil"/>
            </w:tcBorders>
            <w:noWrap w:val="0"/>
            <w:vAlign w:val="center"/>
          </w:tcPr>
          <w:p w14:paraId="02421244">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26E89E2A">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591844C">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19</w:t>
            </w:r>
          </w:p>
        </w:tc>
        <w:tc>
          <w:tcPr>
            <w:tcW w:w="0" w:type="auto"/>
            <w:tcBorders>
              <w:tl2br w:val="nil"/>
              <w:tr2bl w:val="nil"/>
            </w:tcBorders>
            <w:noWrap w:val="0"/>
            <w:vAlign w:val="center"/>
          </w:tcPr>
          <w:p w14:paraId="447C56AB">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41</w:t>
            </w:r>
          </w:p>
        </w:tc>
        <w:tc>
          <w:tcPr>
            <w:tcW w:w="0" w:type="auto"/>
            <w:tcBorders>
              <w:tl2br w:val="nil"/>
              <w:tr2bl w:val="nil"/>
            </w:tcBorders>
            <w:noWrap w:val="0"/>
            <w:vAlign w:val="center"/>
          </w:tcPr>
          <w:p w14:paraId="77CF6197">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7FC4A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4953B8D1">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4</w:t>
            </w:r>
          </w:p>
        </w:tc>
        <w:tc>
          <w:tcPr>
            <w:tcW w:w="0" w:type="auto"/>
            <w:vMerge w:val="continue"/>
            <w:tcBorders>
              <w:tl2br w:val="nil"/>
              <w:tr2bl w:val="nil"/>
            </w:tcBorders>
            <w:noWrap w:val="0"/>
            <w:vAlign w:val="center"/>
          </w:tcPr>
          <w:p w14:paraId="3FCC4A86">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58B68A3C">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压滤机</w:t>
            </w:r>
          </w:p>
        </w:tc>
        <w:tc>
          <w:tcPr>
            <w:tcW w:w="0" w:type="auto"/>
            <w:tcBorders>
              <w:tl2br w:val="nil"/>
              <w:tr2bl w:val="nil"/>
            </w:tcBorders>
            <w:noWrap w:val="0"/>
            <w:vAlign w:val="center"/>
          </w:tcPr>
          <w:p w14:paraId="15C358DC">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lang w:eastAsia="zh-CN"/>
              </w:rPr>
              <w:t>400平方</w:t>
            </w:r>
          </w:p>
        </w:tc>
        <w:tc>
          <w:tcPr>
            <w:tcW w:w="0" w:type="auto"/>
            <w:tcBorders>
              <w:tl2br w:val="nil"/>
              <w:tr2bl w:val="nil"/>
            </w:tcBorders>
            <w:noWrap w:val="0"/>
            <w:vAlign w:val="center"/>
          </w:tcPr>
          <w:p w14:paraId="00D89850">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w:t>
            </w:r>
          </w:p>
        </w:tc>
        <w:tc>
          <w:tcPr>
            <w:tcW w:w="0" w:type="auto"/>
            <w:tcBorders>
              <w:tl2br w:val="nil"/>
              <w:tr2bl w:val="nil"/>
            </w:tcBorders>
            <w:noWrap w:val="0"/>
            <w:vAlign w:val="center"/>
          </w:tcPr>
          <w:p w14:paraId="6CC1DBDA">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120</w:t>
            </w:r>
          </w:p>
        </w:tc>
        <w:tc>
          <w:tcPr>
            <w:tcW w:w="0" w:type="auto"/>
            <w:tcBorders>
              <w:tl2br w:val="nil"/>
              <w:tr2bl w:val="nil"/>
            </w:tcBorders>
            <w:noWrap w:val="0"/>
            <w:vAlign w:val="center"/>
          </w:tcPr>
          <w:p w14:paraId="261FA763">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43846CE1">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1CD10A34">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5C1E74F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20B62F3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12104AC6">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5C57E95B">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20</w:t>
            </w:r>
          </w:p>
        </w:tc>
        <w:tc>
          <w:tcPr>
            <w:tcW w:w="0" w:type="auto"/>
            <w:tcBorders>
              <w:tl2br w:val="nil"/>
              <w:tr2bl w:val="nil"/>
            </w:tcBorders>
            <w:noWrap w:val="0"/>
            <w:vAlign w:val="center"/>
          </w:tcPr>
          <w:p w14:paraId="5574DF1A">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w:t>
            </w:r>
          </w:p>
        </w:tc>
        <w:tc>
          <w:tcPr>
            <w:tcW w:w="0" w:type="auto"/>
            <w:tcBorders>
              <w:tl2br w:val="nil"/>
              <w:tr2bl w:val="nil"/>
            </w:tcBorders>
            <w:noWrap w:val="0"/>
            <w:vAlign w:val="center"/>
          </w:tcPr>
          <w:p w14:paraId="04F97317">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7E3F7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121D0D22">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p>
        </w:tc>
        <w:tc>
          <w:tcPr>
            <w:tcW w:w="0" w:type="auto"/>
            <w:vMerge w:val="continue"/>
            <w:tcBorders>
              <w:tl2br w:val="nil"/>
              <w:tr2bl w:val="nil"/>
            </w:tcBorders>
            <w:noWrap w:val="0"/>
            <w:vAlign w:val="center"/>
          </w:tcPr>
          <w:p w14:paraId="04DBE1F3">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39E622A8">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柱塞泵</w:t>
            </w:r>
          </w:p>
        </w:tc>
        <w:tc>
          <w:tcPr>
            <w:tcW w:w="0" w:type="auto"/>
            <w:tcBorders>
              <w:tl2br w:val="nil"/>
              <w:tr2bl w:val="nil"/>
            </w:tcBorders>
            <w:noWrap w:val="0"/>
            <w:vAlign w:val="center"/>
          </w:tcPr>
          <w:p w14:paraId="7413B305">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YB350-100</w:t>
            </w:r>
          </w:p>
        </w:tc>
        <w:tc>
          <w:tcPr>
            <w:tcW w:w="0" w:type="auto"/>
            <w:tcBorders>
              <w:tl2br w:val="nil"/>
              <w:tr2bl w:val="nil"/>
            </w:tcBorders>
            <w:noWrap w:val="0"/>
            <w:vAlign w:val="center"/>
          </w:tcPr>
          <w:p w14:paraId="48A4609F">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38C5FDF0">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79D7A62B">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66B2173D">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764AA7AF">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75CA7206">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30</w:t>
            </w:r>
          </w:p>
        </w:tc>
        <w:tc>
          <w:tcPr>
            <w:tcW w:w="0" w:type="auto"/>
            <w:tcBorders>
              <w:tl2br w:val="nil"/>
              <w:tr2bl w:val="nil"/>
            </w:tcBorders>
            <w:noWrap w:val="0"/>
            <w:vAlign w:val="center"/>
          </w:tcPr>
          <w:p w14:paraId="1C3A7886">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vMerge w:val="continue"/>
            <w:tcBorders>
              <w:tl2br w:val="nil"/>
              <w:tr2bl w:val="nil"/>
            </w:tcBorders>
            <w:noWrap w:val="0"/>
            <w:vAlign w:val="center"/>
          </w:tcPr>
          <w:p w14:paraId="49183487">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A2645C4">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22</w:t>
            </w:r>
          </w:p>
        </w:tc>
        <w:tc>
          <w:tcPr>
            <w:tcW w:w="0" w:type="auto"/>
            <w:tcBorders>
              <w:tl2br w:val="nil"/>
              <w:tr2bl w:val="nil"/>
            </w:tcBorders>
            <w:noWrap w:val="0"/>
            <w:vAlign w:val="center"/>
          </w:tcPr>
          <w:p w14:paraId="532E8730">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48</w:t>
            </w:r>
          </w:p>
        </w:tc>
        <w:tc>
          <w:tcPr>
            <w:tcW w:w="0" w:type="auto"/>
            <w:tcBorders>
              <w:tl2br w:val="nil"/>
              <w:tr2bl w:val="nil"/>
            </w:tcBorders>
            <w:noWrap w:val="0"/>
            <w:vAlign w:val="center"/>
          </w:tcPr>
          <w:p w14:paraId="58875E7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4EB68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46D11010">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N</w:t>
            </w:r>
            <w:r>
              <w:rPr>
                <w:rFonts w:hint="eastAsia" w:ascii="Times New Roman" w:hAnsi="Times New Roman" w:cs="Times New Roman"/>
                <w:color w:val="auto"/>
                <w:highlight w:val="none"/>
                <w:lang w:val="en-US" w:eastAsia="zh-CN"/>
              </w:rPr>
              <w:t>2</w:t>
            </w:r>
            <w:r>
              <w:rPr>
                <w:rFonts w:hint="eastAsia" w:cs="Times New Roman"/>
                <w:color w:val="auto"/>
                <w:highlight w:val="none"/>
                <w:lang w:val="en-US" w:eastAsia="zh-CN"/>
              </w:rPr>
              <w:t>6</w:t>
            </w:r>
          </w:p>
        </w:tc>
        <w:tc>
          <w:tcPr>
            <w:tcW w:w="0" w:type="auto"/>
            <w:vMerge w:val="continue"/>
            <w:tcBorders>
              <w:tl2br w:val="nil"/>
              <w:tr2bl w:val="nil"/>
            </w:tcBorders>
            <w:noWrap w:val="0"/>
            <w:vAlign w:val="center"/>
          </w:tcPr>
          <w:p w14:paraId="416C4774">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2205C1B1">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浓密机</w:t>
            </w:r>
          </w:p>
        </w:tc>
        <w:tc>
          <w:tcPr>
            <w:tcW w:w="0" w:type="auto"/>
            <w:tcBorders>
              <w:tl2br w:val="nil"/>
              <w:tr2bl w:val="nil"/>
            </w:tcBorders>
            <w:noWrap w:val="0"/>
            <w:vAlign w:val="center"/>
          </w:tcPr>
          <w:p w14:paraId="4E6C7F47">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NZX</w:t>
            </w:r>
            <w:r>
              <w:rPr>
                <w:rFonts w:hint="eastAsia"/>
                <w:b w:val="0"/>
                <w:color w:val="auto"/>
                <w:kern w:val="0"/>
                <w:highlight w:val="none"/>
                <w:lang w:eastAsia="zh-CN"/>
              </w:rPr>
              <w:t>18</w:t>
            </w:r>
          </w:p>
        </w:tc>
        <w:tc>
          <w:tcPr>
            <w:tcW w:w="0" w:type="auto"/>
            <w:tcBorders>
              <w:tl2br w:val="nil"/>
              <w:tr2bl w:val="nil"/>
            </w:tcBorders>
            <w:noWrap w:val="0"/>
            <w:vAlign w:val="center"/>
          </w:tcPr>
          <w:p w14:paraId="7C375B84">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150</w:t>
            </w:r>
          </w:p>
        </w:tc>
        <w:tc>
          <w:tcPr>
            <w:tcW w:w="0" w:type="auto"/>
            <w:tcBorders>
              <w:tl2br w:val="nil"/>
              <w:tr2bl w:val="nil"/>
            </w:tcBorders>
            <w:noWrap w:val="0"/>
            <w:vAlign w:val="center"/>
          </w:tcPr>
          <w:p w14:paraId="18E36891">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160</w:t>
            </w:r>
          </w:p>
        </w:tc>
        <w:tc>
          <w:tcPr>
            <w:tcW w:w="0" w:type="auto"/>
            <w:tcBorders>
              <w:tl2br w:val="nil"/>
              <w:tr2bl w:val="nil"/>
            </w:tcBorders>
            <w:noWrap w:val="0"/>
            <w:vAlign w:val="center"/>
          </w:tcPr>
          <w:p w14:paraId="32252750">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50</w:t>
            </w:r>
          </w:p>
        </w:tc>
        <w:tc>
          <w:tcPr>
            <w:tcW w:w="0" w:type="auto"/>
            <w:tcBorders>
              <w:tl2br w:val="nil"/>
              <w:tr2bl w:val="nil"/>
            </w:tcBorders>
            <w:noWrap w:val="0"/>
            <w:vAlign w:val="center"/>
          </w:tcPr>
          <w:p w14:paraId="326E3611">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67141B3C">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w:t>
            </w:r>
          </w:p>
        </w:tc>
        <w:tc>
          <w:tcPr>
            <w:tcW w:w="0" w:type="auto"/>
            <w:tcBorders>
              <w:tl2br w:val="nil"/>
              <w:tr2bl w:val="nil"/>
            </w:tcBorders>
            <w:noWrap w:val="0"/>
            <w:vAlign w:val="center"/>
          </w:tcPr>
          <w:p w14:paraId="5EE952AF">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0" w:type="auto"/>
            <w:tcBorders>
              <w:tl2br w:val="nil"/>
              <w:tr2bl w:val="nil"/>
            </w:tcBorders>
            <w:noWrap w:val="0"/>
            <w:vAlign w:val="center"/>
          </w:tcPr>
          <w:p w14:paraId="7343096C">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3A910A6A">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60E89C21">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19</w:t>
            </w:r>
          </w:p>
        </w:tc>
        <w:tc>
          <w:tcPr>
            <w:tcW w:w="0" w:type="auto"/>
            <w:tcBorders>
              <w:tl2br w:val="nil"/>
              <w:tr2bl w:val="nil"/>
            </w:tcBorders>
            <w:noWrap w:val="0"/>
            <w:vAlign w:val="center"/>
          </w:tcPr>
          <w:p w14:paraId="750DEBC5">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41</w:t>
            </w:r>
          </w:p>
        </w:tc>
        <w:tc>
          <w:tcPr>
            <w:tcW w:w="0" w:type="auto"/>
            <w:tcBorders>
              <w:tl2br w:val="nil"/>
              <w:tr2bl w:val="nil"/>
            </w:tcBorders>
            <w:noWrap w:val="0"/>
            <w:vAlign w:val="center"/>
          </w:tcPr>
          <w:p w14:paraId="255A1AE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733D4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6120EAA8">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N</w:t>
            </w:r>
            <w:r>
              <w:rPr>
                <w:rFonts w:hint="eastAsia" w:cs="Times New Roman"/>
                <w:color w:val="auto"/>
                <w:highlight w:val="none"/>
                <w:lang w:val="en-US" w:eastAsia="zh-CN"/>
              </w:rPr>
              <w:t>27</w:t>
            </w:r>
          </w:p>
        </w:tc>
        <w:tc>
          <w:tcPr>
            <w:tcW w:w="0" w:type="auto"/>
            <w:vMerge w:val="continue"/>
            <w:tcBorders>
              <w:tl2br w:val="nil"/>
              <w:tr2bl w:val="nil"/>
            </w:tcBorders>
            <w:noWrap w:val="0"/>
            <w:vAlign w:val="center"/>
          </w:tcPr>
          <w:p w14:paraId="0C2C39A1">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367357FC">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柱塞泵</w:t>
            </w:r>
          </w:p>
        </w:tc>
        <w:tc>
          <w:tcPr>
            <w:tcW w:w="0" w:type="auto"/>
            <w:tcBorders>
              <w:tl2br w:val="nil"/>
              <w:tr2bl w:val="nil"/>
            </w:tcBorders>
            <w:noWrap w:val="0"/>
            <w:vAlign w:val="center"/>
          </w:tcPr>
          <w:p w14:paraId="010CA619">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YB350-100</w:t>
            </w:r>
          </w:p>
        </w:tc>
        <w:tc>
          <w:tcPr>
            <w:tcW w:w="0" w:type="auto"/>
            <w:tcBorders>
              <w:tl2br w:val="nil"/>
              <w:tr2bl w:val="nil"/>
            </w:tcBorders>
            <w:noWrap w:val="0"/>
            <w:vAlign w:val="center"/>
          </w:tcPr>
          <w:p w14:paraId="1C9918B7">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392F5C5A">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80</w:t>
            </w:r>
          </w:p>
        </w:tc>
        <w:tc>
          <w:tcPr>
            <w:tcW w:w="0" w:type="auto"/>
            <w:tcBorders>
              <w:tl2br w:val="nil"/>
              <w:tr2bl w:val="nil"/>
            </w:tcBorders>
            <w:noWrap w:val="0"/>
            <w:vAlign w:val="center"/>
          </w:tcPr>
          <w:p w14:paraId="7A953072">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60</w:t>
            </w:r>
          </w:p>
        </w:tc>
        <w:tc>
          <w:tcPr>
            <w:tcW w:w="0" w:type="auto"/>
            <w:tcBorders>
              <w:tl2br w:val="nil"/>
              <w:tr2bl w:val="nil"/>
            </w:tcBorders>
            <w:noWrap w:val="0"/>
            <w:vAlign w:val="center"/>
          </w:tcPr>
          <w:p w14:paraId="44DB9E5D">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76F5FCB6">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w:t>
            </w:r>
          </w:p>
        </w:tc>
        <w:tc>
          <w:tcPr>
            <w:tcW w:w="0" w:type="auto"/>
            <w:tcBorders>
              <w:tl2br w:val="nil"/>
              <w:tr2bl w:val="nil"/>
            </w:tcBorders>
            <w:noWrap w:val="0"/>
            <w:vAlign w:val="center"/>
          </w:tcPr>
          <w:p w14:paraId="16A19067">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0" w:type="auto"/>
            <w:tcBorders>
              <w:tl2br w:val="nil"/>
              <w:tr2bl w:val="nil"/>
            </w:tcBorders>
            <w:noWrap w:val="0"/>
            <w:vAlign w:val="center"/>
          </w:tcPr>
          <w:p w14:paraId="46889ECA">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5A2E5B68">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77B54EDD">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19</w:t>
            </w:r>
          </w:p>
        </w:tc>
        <w:tc>
          <w:tcPr>
            <w:tcW w:w="0" w:type="auto"/>
            <w:tcBorders>
              <w:tl2br w:val="nil"/>
              <w:tr2bl w:val="nil"/>
            </w:tcBorders>
            <w:noWrap w:val="0"/>
            <w:vAlign w:val="center"/>
          </w:tcPr>
          <w:p w14:paraId="233EC944">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41</w:t>
            </w:r>
          </w:p>
        </w:tc>
        <w:tc>
          <w:tcPr>
            <w:tcW w:w="0" w:type="auto"/>
            <w:tcBorders>
              <w:tl2br w:val="nil"/>
              <w:tr2bl w:val="nil"/>
            </w:tcBorders>
            <w:noWrap w:val="0"/>
            <w:vAlign w:val="center"/>
          </w:tcPr>
          <w:p w14:paraId="540918EF">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14:paraId="238FD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14:paraId="2009AA7D">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N</w:t>
            </w:r>
            <w:r>
              <w:rPr>
                <w:rFonts w:hint="eastAsia" w:cs="Times New Roman"/>
                <w:color w:val="auto"/>
                <w:highlight w:val="none"/>
                <w:lang w:val="en-US" w:eastAsia="zh-CN"/>
              </w:rPr>
              <w:t>28</w:t>
            </w:r>
          </w:p>
        </w:tc>
        <w:tc>
          <w:tcPr>
            <w:tcW w:w="0" w:type="auto"/>
            <w:vMerge w:val="continue"/>
            <w:tcBorders>
              <w:tl2br w:val="nil"/>
              <w:tr2bl w:val="nil"/>
            </w:tcBorders>
            <w:noWrap w:val="0"/>
            <w:vAlign w:val="center"/>
          </w:tcPr>
          <w:p w14:paraId="0AC4B21E">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42B30EE2">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潜污泵</w:t>
            </w:r>
          </w:p>
        </w:tc>
        <w:tc>
          <w:tcPr>
            <w:tcW w:w="0" w:type="auto"/>
            <w:tcBorders>
              <w:tl2br w:val="nil"/>
              <w:tr2bl w:val="nil"/>
            </w:tcBorders>
            <w:noWrap w:val="0"/>
            <w:vAlign w:val="center"/>
          </w:tcPr>
          <w:p w14:paraId="1D22D51C">
            <w:pPr>
              <w:pStyle w:val="199"/>
              <w:autoSpaceDE w:val="0"/>
              <w:autoSpaceDN w:val="0"/>
              <w:spacing w:beforeLines="0" w:line="240" w:lineRule="auto"/>
              <w:ind w:firstLine="0" w:firstLineChars="0"/>
              <w:jc w:val="center"/>
              <w:rPr>
                <w:rFonts w:hint="default" w:ascii="Times New Roman" w:hAnsi="Times New Roman" w:eastAsia="宋体" w:cs="Times New Roman"/>
                <w:b w:val="0"/>
                <w:color w:val="auto"/>
                <w:kern w:val="0"/>
                <w:sz w:val="21"/>
                <w:szCs w:val="24"/>
                <w:highlight w:val="none"/>
                <w:lang w:val="en-US" w:eastAsia="zh-CN" w:bidi="ar-SA"/>
              </w:rPr>
            </w:pPr>
            <w:r>
              <w:rPr>
                <w:rFonts w:hint="eastAsia"/>
                <w:b w:val="0"/>
                <w:color w:val="auto"/>
                <w:kern w:val="0"/>
                <w:highlight w:val="none"/>
              </w:rPr>
              <w:t>65WQ</w:t>
            </w:r>
          </w:p>
        </w:tc>
        <w:tc>
          <w:tcPr>
            <w:tcW w:w="0" w:type="auto"/>
            <w:tcBorders>
              <w:tl2br w:val="nil"/>
              <w:tr2bl w:val="nil"/>
            </w:tcBorders>
            <w:noWrap w:val="0"/>
            <w:vAlign w:val="center"/>
          </w:tcPr>
          <w:p w14:paraId="56711AA9">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90</w:t>
            </w:r>
          </w:p>
        </w:tc>
        <w:tc>
          <w:tcPr>
            <w:tcW w:w="0" w:type="auto"/>
            <w:tcBorders>
              <w:tl2br w:val="nil"/>
              <w:tr2bl w:val="nil"/>
            </w:tcBorders>
            <w:noWrap w:val="0"/>
            <w:vAlign w:val="center"/>
          </w:tcPr>
          <w:p w14:paraId="70CCE318">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120</w:t>
            </w:r>
          </w:p>
        </w:tc>
        <w:tc>
          <w:tcPr>
            <w:tcW w:w="0" w:type="auto"/>
            <w:tcBorders>
              <w:tl2br w:val="nil"/>
              <w:tr2bl w:val="nil"/>
            </w:tcBorders>
            <w:noWrap w:val="0"/>
            <w:vAlign w:val="center"/>
          </w:tcPr>
          <w:p w14:paraId="5925B973">
            <w:pPr>
              <w:pStyle w:val="330"/>
              <w:bidi w:val="0"/>
              <w:ind w:firstLine="0" w:firstLineChars="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10</w:t>
            </w:r>
          </w:p>
        </w:tc>
        <w:tc>
          <w:tcPr>
            <w:tcW w:w="0" w:type="auto"/>
            <w:tcBorders>
              <w:tl2br w:val="nil"/>
              <w:tr2bl w:val="nil"/>
            </w:tcBorders>
            <w:noWrap w:val="0"/>
            <w:vAlign w:val="center"/>
          </w:tcPr>
          <w:p w14:paraId="5CA2395D">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70</w:t>
            </w:r>
          </w:p>
        </w:tc>
        <w:tc>
          <w:tcPr>
            <w:tcW w:w="0" w:type="auto"/>
            <w:tcBorders>
              <w:tl2br w:val="nil"/>
              <w:tr2bl w:val="nil"/>
            </w:tcBorders>
            <w:noWrap w:val="0"/>
            <w:vAlign w:val="center"/>
          </w:tcPr>
          <w:p w14:paraId="07C29BCE">
            <w:pPr>
              <w:pStyle w:val="33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厂房隔声+减振基础</w:t>
            </w:r>
          </w:p>
        </w:tc>
        <w:tc>
          <w:tcPr>
            <w:tcW w:w="0" w:type="auto"/>
            <w:tcBorders>
              <w:tl2br w:val="nil"/>
              <w:tr2bl w:val="nil"/>
            </w:tcBorders>
            <w:noWrap w:val="0"/>
            <w:vAlign w:val="center"/>
          </w:tcPr>
          <w:p w14:paraId="3A0736F7">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w:t>
            </w:r>
          </w:p>
        </w:tc>
        <w:tc>
          <w:tcPr>
            <w:tcW w:w="0" w:type="auto"/>
            <w:tcBorders>
              <w:tl2br w:val="nil"/>
              <w:tr2bl w:val="nil"/>
            </w:tcBorders>
            <w:noWrap w:val="0"/>
            <w:vAlign w:val="center"/>
          </w:tcPr>
          <w:p w14:paraId="78A7DB7F">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0" w:type="auto"/>
            <w:vMerge w:val="continue"/>
            <w:tcBorders>
              <w:tl2br w:val="nil"/>
              <w:tr2bl w:val="nil"/>
            </w:tcBorders>
            <w:noWrap w:val="0"/>
            <w:vAlign w:val="center"/>
          </w:tcPr>
          <w:p w14:paraId="173E0752">
            <w:pPr>
              <w:pStyle w:val="330"/>
              <w:bidi w:val="0"/>
              <w:jc w:val="center"/>
              <w:rPr>
                <w:rFonts w:hint="default" w:ascii="Times New Roman" w:hAnsi="Times New Roman" w:cs="Times New Roman"/>
                <w:color w:val="auto"/>
                <w:highlight w:val="none"/>
              </w:rPr>
            </w:pPr>
          </w:p>
        </w:tc>
        <w:tc>
          <w:tcPr>
            <w:tcW w:w="0" w:type="auto"/>
            <w:tcBorders>
              <w:tl2br w:val="nil"/>
              <w:tr2bl w:val="nil"/>
            </w:tcBorders>
            <w:noWrap w:val="0"/>
            <w:vAlign w:val="center"/>
          </w:tcPr>
          <w:p w14:paraId="2CDF94CD">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w:t>
            </w:r>
            <w:r>
              <w:rPr>
                <w:rFonts w:hint="eastAsia" w:cs="Times New Roman"/>
                <w:color w:val="auto"/>
                <w:highlight w:val="none"/>
                <w:lang w:val="en-US" w:eastAsia="zh-CN"/>
              </w:rPr>
              <w:t>20</w:t>
            </w:r>
          </w:p>
        </w:tc>
        <w:tc>
          <w:tcPr>
            <w:tcW w:w="0" w:type="auto"/>
            <w:tcBorders>
              <w:tl2br w:val="nil"/>
              <w:tr2bl w:val="nil"/>
            </w:tcBorders>
            <w:noWrap w:val="0"/>
            <w:vAlign w:val="center"/>
          </w:tcPr>
          <w:p w14:paraId="4A6E202A">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35</w:t>
            </w:r>
          </w:p>
        </w:tc>
        <w:tc>
          <w:tcPr>
            <w:tcW w:w="0" w:type="auto"/>
            <w:tcBorders>
              <w:tl2br w:val="nil"/>
              <w:tr2bl w:val="nil"/>
            </w:tcBorders>
            <w:noWrap w:val="0"/>
            <w:vAlign w:val="center"/>
          </w:tcPr>
          <w:p w14:paraId="02998ECF">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bl>
    <w:p w14:paraId="5BD76634">
      <w:pPr>
        <w:pStyle w:val="331"/>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表</w:t>
      </w:r>
      <w:r>
        <w:rPr>
          <w:rFonts w:hint="eastAsia" w:cs="Times New Roman"/>
          <w:color w:val="auto"/>
          <w:highlight w:val="none"/>
          <w:lang w:val="en-US" w:eastAsia="zh-CN"/>
        </w:rPr>
        <w:t>3.11-10</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本项目</w:t>
      </w:r>
      <w:r>
        <w:rPr>
          <w:rFonts w:hint="default" w:ascii="Times New Roman" w:hAnsi="Times New Roman" w:cs="Times New Roman"/>
          <w:color w:val="auto"/>
          <w:highlight w:val="none"/>
        </w:rPr>
        <w:t>噪声源</w:t>
      </w:r>
      <w:r>
        <w:rPr>
          <w:rFonts w:hint="eastAsia" w:cs="Times New Roman"/>
          <w:color w:val="auto"/>
          <w:highlight w:val="none"/>
          <w:lang w:val="en-US" w:eastAsia="zh-CN"/>
        </w:rPr>
        <w:t>强调查清单(室外声源）</w:t>
      </w:r>
    </w:p>
    <w:tbl>
      <w:tblPr>
        <w:tblStyle w:val="4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2454"/>
        <w:gridCol w:w="1682"/>
        <w:gridCol w:w="792"/>
        <w:gridCol w:w="905"/>
        <w:gridCol w:w="797"/>
        <w:gridCol w:w="1308"/>
        <w:gridCol w:w="2111"/>
        <w:gridCol w:w="3481"/>
      </w:tblGrid>
      <w:tr w14:paraId="76452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28" w:type="pct"/>
            <w:vMerge w:val="restart"/>
            <w:tcBorders>
              <w:tl2br w:val="nil"/>
              <w:tr2bl w:val="nil"/>
            </w:tcBorders>
            <w:noWrap w:val="0"/>
            <w:vAlign w:val="center"/>
          </w:tcPr>
          <w:p w14:paraId="6C7120AD">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865" w:type="pct"/>
            <w:vMerge w:val="restart"/>
            <w:tcBorders>
              <w:tl2br w:val="nil"/>
              <w:tr2bl w:val="nil"/>
            </w:tcBorders>
            <w:noWrap w:val="0"/>
            <w:vAlign w:val="center"/>
          </w:tcPr>
          <w:p w14:paraId="2083BD5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声源名称</w:t>
            </w:r>
          </w:p>
        </w:tc>
        <w:tc>
          <w:tcPr>
            <w:tcW w:w="593" w:type="pct"/>
            <w:vMerge w:val="restart"/>
            <w:tcBorders>
              <w:tl2br w:val="nil"/>
              <w:tr2bl w:val="nil"/>
            </w:tcBorders>
            <w:noWrap w:val="0"/>
            <w:vAlign w:val="center"/>
          </w:tcPr>
          <w:p w14:paraId="6F727DAB">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型号</w:t>
            </w:r>
          </w:p>
        </w:tc>
        <w:tc>
          <w:tcPr>
            <w:tcW w:w="879" w:type="pct"/>
            <w:gridSpan w:val="3"/>
            <w:tcBorders>
              <w:tl2br w:val="nil"/>
              <w:tr2bl w:val="nil"/>
            </w:tcBorders>
            <w:noWrap w:val="0"/>
            <w:vAlign w:val="center"/>
          </w:tcPr>
          <w:p w14:paraId="2B0F012F">
            <w:pPr>
              <w:pStyle w:val="330"/>
              <w:bidi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空间相对位置</w:t>
            </w:r>
          </w:p>
        </w:tc>
        <w:tc>
          <w:tcPr>
            <w:tcW w:w="461" w:type="pct"/>
            <w:vMerge w:val="restart"/>
            <w:tcBorders>
              <w:tl2br w:val="nil"/>
              <w:tr2bl w:val="nil"/>
            </w:tcBorders>
            <w:noWrap w:val="0"/>
            <w:vAlign w:val="center"/>
          </w:tcPr>
          <w:p w14:paraId="62A59A1A">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w:t>
            </w:r>
            <w:r>
              <w:rPr>
                <w:rFonts w:hint="eastAsia" w:cs="Times New Roman"/>
                <w:color w:val="auto"/>
                <w:highlight w:val="none"/>
                <w:lang w:val="en-US" w:eastAsia="zh-CN"/>
              </w:rPr>
              <w:t>源</w:t>
            </w:r>
            <w:r>
              <w:rPr>
                <w:rFonts w:hint="default" w:ascii="Times New Roman" w:hAnsi="Times New Roman" w:cs="Times New Roman"/>
                <w:color w:val="auto"/>
                <w:highlight w:val="none"/>
                <w:lang w:val="en-US" w:eastAsia="zh-CN"/>
              </w:rPr>
              <w:t>强</w:t>
            </w:r>
          </w:p>
        </w:tc>
        <w:tc>
          <w:tcPr>
            <w:tcW w:w="744" w:type="pct"/>
            <w:vMerge w:val="restart"/>
            <w:tcBorders>
              <w:tl2br w:val="nil"/>
              <w:tr2bl w:val="nil"/>
            </w:tcBorders>
            <w:noWrap w:val="0"/>
            <w:vAlign w:val="center"/>
          </w:tcPr>
          <w:p w14:paraId="35142458">
            <w:pPr>
              <w:pStyle w:val="330"/>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声源控制措施</w:t>
            </w:r>
          </w:p>
        </w:tc>
        <w:tc>
          <w:tcPr>
            <w:tcW w:w="1227" w:type="pct"/>
            <w:vMerge w:val="restart"/>
            <w:tcBorders>
              <w:tl2br w:val="nil"/>
              <w:tr2bl w:val="nil"/>
            </w:tcBorders>
            <w:noWrap w:val="0"/>
            <w:vAlign w:val="center"/>
          </w:tcPr>
          <w:p w14:paraId="44A4EE49">
            <w:pPr>
              <w:pStyle w:val="330"/>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运行时段</w:t>
            </w:r>
          </w:p>
        </w:tc>
      </w:tr>
      <w:tr w14:paraId="3EFA8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28" w:type="pct"/>
            <w:vMerge w:val="continue"/>
            <w:tcBorders>
              <w:tl2br w:val="nil"/>
              <w:tr2bl w:val="nil"/>
            </w:tcBorders>
            <w:noWrap w:val="0"/>
            <w:vAlign w:val="center"/>
          </w:tcPr>
          <w:p w14:paraId="64D28944">
            <w:pPr>
              <w:pStyle w:val="330"/>
              <w:bidi w:val="0"/>
              <w:jc w:val="center"/>
              <w:rPr>
                <w:rFonts w:hint="default" w:ascii="Times New Roman" w:hAnsi="Times New Roman" w:cs="Times New Roman"/>
                <w:color w:val="auto"/>
                <w:highlight w:val="none"/>
              </w:rPr>
            </w:pPr>
          </w:p>
        </w:tc>
        <w:tc>
          <w:tcPr>
            <w:tcW w:w="865" w:type="pct"/>
            <w:vMerge w:val="continue"/>
            <w:tcBorders>
              <w:tl2br w:val="nil"/>
              <w:tr2bl w:val="nil"/>
            </w:tcBorders>
            <w:noWrap w:val="0"/>
            <w:vAlign w:val="center"/>
          </w:tcPr>
          <w:p w14:paraId="7CBF9840">
            <w:pPr>
              <w:pStyle w:val="330"/>
              <w:bidi w:val="0"/>
              <w:jc w:val="center"/>
              <w:rPr>
                <w:rFonts w:hint="default" w:ascii="Times New Roman" w:hAnsi="Times New Roman" w:cs="Times New Roman"/>
                <w:color w:val="auto"/>
                <w:highlight w:val="none"/>
              </w:rPr>
            </w:pPr>
          </w:p>
        </w:tc>
        <w:tc>
          <w:tcPr>
            <w:tcW w:w="593" w:type="pct"/>
            <w:vMerge w:val="continue"/>
            <w:tcBorders>
              <w:tl2br w:val="nil"/>
              <w:tr2bl w:val="nil"/>
            </w:tcBorders>
            <w:noWrap w:val="0"/>
            <w:vAlign w:val="center"/>
          </w:tcPr>
          <w:p w14:paraId="46E3916D">
            <w:pPr>
              <w:pStyle w:val="330"/>
              <w:bidi w:val="0"/>
              <w:jc w:val="center"/>
              <w:rPr>
                <w:rFonts w:hint="default" w:ascii="Times New Roman" w:hAnsi="Times New Roman" w:cs="Times New Roman"/>
                <w:color w:val="auto"/>
                <w:highlight w:val="none"/>
              </w:rPr>
            </w:pPr>
          </w:p>
        </w:tc>
        <w:tc>
          <w:tcPr>
            <w:tcW w:w="279" w:type="pct"/>
            <w:tcBorders>
              <w:tl2br w:val="nil"/>
              <w:tr2bl w:val="nil"/>
            </w:tcBorders>
            <w:noWrap w:val="0"/>
            <w:vAlign w:val="center"/>
          </w:tcPr>
          <w:p w14:paraId="34F94C69">
            <w:pPr>
              <w:pStyle w:val="330"/>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X</w:t>
            </w:r>
          </w:p>
        </w:tc>
        <w:tc>
          <w:tcPr>
            <w:tcW w:w="319" w:type="pct"/>
            <w:tcBorders>
              <w:tl2br w:val="nil"/>
              <w:tr2bl w:val="nil"/>
            </w:tcBorders>
            <w:noWrap w:val="0"/>
            <w:vAlign w:val="center"/>
          </w:tcPr>
          <w:p w14:paraId="00A734E3">
            <w:pPr>
              <w:pStyle w:val="330"/>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Y</w:t>
            </w:r>
          </w:p>
        </w:tc>
        <w:tc>
          <w:tcPr>
            <w:tcW w:w="281" w:type="pct"/>
            <w:tcBorders>
              <w:tl2br w:val="nil"/>
              <w:tr2bl w:val="nil"/>
            </w:tcBorders>
            <w:noWrap w:val="0"/>
            <w:vAlign w:val="center"/>
          </w:tcPr>
          <w:p w14:paraId="50A5E069">
            <w:pPr>
              <w:pStyle w:val="330"/>
              <w:bidi w:val="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Z</w:t>
            </w:r>
          </w:p>
        </w:tc>
        <w:tc>
          <w:tcPr>
            <w:tcW w:w="461" w:type="pct"/>
            <w:vMerge w:val="continue"/>
            <w:tcBorders>
              <w:tl2br w:val="nil"/>
              <w:tr2bl w:val="nil"/>
            </w:tcBorders>
            <w:noWrap w:val="0"/>
            <w:vAlign w:val="center"/>
          </w:tcPr>
          <w:p w14:paraId="62B250B0">
            <w:pPr>
              <w:pStyle w:val="330"/>
              <w:bidi w:val="0"/>
              <w:jc w:val="center"/>
              <w:rPr>
                <w:rFonts w:hint="default" w:ascii="Times New Roman" w:hAnsi="Times New Roman" w:cs="Times New Roman"/>
                <w:color w:val="auto"/>
                <w:highlight w:val="none"/>
              </w:rPr>
            </w:pPr>
          </w:p>
        </w:tc>
        <w:tc>
          <w:tcPr>
            <w:tcW w:w="744" w:type="pct"/>
            <w:vMerge w:val="continue"/>
            <w:tcBorders>
              <w:tl2br w:val="nil"/>
              <w:tr2bl w:val="nil"/>
            </w:tcBorders>
            <w:noWrap w:val="0"/>
            <w:vAlign w:val="center"/>
          </w:tcPr>
          <w:p w14:paraId="12322D37">
            <w:pPr>
              <w:pStyle w:val="330"/>
              <w:bidi w:val="0"/>
              <w:jc w:val="center"/>
              <w:rPr>
                <w:rFonts w:hint="default" w:ascii="Times New Roman" w:hAnsi="Times New Roman" w:cs="Times New Roman"/>
                <w:color w:val="auto"/>
                <w:highlight w:val="none"/>
              </w:rPr>
            </w:pPr>
          </w:p>
        </w:tc>
        <w:tc>
          <w:tcPr>
            <w:tcW w:w="1227" w:type="pct"/>
            <w:vMerge w:val="continue"/>
            <w:tcBorders>
              <w:tl2br w:val="nil"/>
              <w:tr2bl w:val="nil"/>
            </w:tcBorders>
            <w:noWrap w:val="0"/>
            <w:vAlign w:val="center"/>
          </w:tcPr>
          <w:p w14:paraId="45C771C3">
            <w:pPr>
              <w:pStyle w:val="330"/>
              <w:bidi w:val="0"/>
              <w:jc w:val="center"/>
              <w:rPr>
                <w:rFonts w:hint="default" w:ascii="Times New Roman" w:hAnsi="Times New Roman" w:cs="Times New Roman"/>
                <w:color w:val="auto"/>
                <w:highlight w:val="none"/>
              </w:rPr>
            </w:pPr>
          </w:p>
        </w:tc>
      </w:tr>
      <w:tr w14:paraId="39FDC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tcBorders>
              <w:tl2br w:val="nil"/>
              <w:tr2bl w:val="nil"/>
            </w:tcBorders>
            <w:noWrap w:val="0"/>
            <w:vAlign w:val="center"/>
          </w:tcPr>
          <w:p w14:paraId="4289DDA1">
            <w:pPr>
              <w:pStyle w:val="330"/>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N29</w:t>
            </w:r>
          </w:p>
        </w:tc>
        <w:tc>
          <w:tcPr>
            <w:tcW w:w="865" w:type="pct"/>
            <w:tcBorders>
              <w:tl2br w:val="nil"/>
              <w:tr2bl w:val="nil"/>
            </w:tcBorders>
            <w:noWrap w:val="0"/>
            <w:vAlign w:val="center"/>
          </w:tcPr>
          <w:p w14:paraId="4656B38A">
            <w:pPr>
              <w:pStyle w:val="330"/>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布袋除尘器引风机</w:t>
            </w:r>
          </w:p>
        </w:tc>
        <w:tc>
          <w:tcPr>
            <w:tcW w:w="593" w:type="pct"/>
            <w:tcBorders>
              <w:tl2br w:val="nil"/>
              <w:tr2bl w:val="nil"/>
            </w:tcBorders>
            <w:noWrap w:val="0"/>
            <w:vAlign w:val="center"/>
          </w:tcPr>
          <w:p w14:paraId="22085D0C">
            <w:pPr>
              <w:pStyle w:val="330"/>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DMC-</w:t>
            </w:r>
            <w:r>
              <w:rPr>
                <w:rFonts w:hint="eastAsia" w:ascii="Times New Roman" w:hAnsi="Times New Roman" w:cs="Times New Roman"/>
                <w:color w:val="auto"/>
                <w:highlight w:val="none"/>
                <w:lang w:val="en-US" w:eastAsia="zh-CN"/>
              </w:rPr>
              <w:t>210</w:t>
            </w:r>
          </w:p>
        </w:tc>
        <w:tc>
          <w:tcPr>
            <w:tcW w:w="279" w:type="pct"/>
            <w:tcBorders>
              <w:tl2br w:val="nil"/>
              <w:tr2bl w:val="nil"/>
            </w:tcBorders>
            <w:noWrap w:val="0"/>
            <w:vAlign w:val="center"/>
          </w:tcPr>
          <w:p w14:paraId="0A3F33B9">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w:t>
            </w:r>
          </w:p>
        </w:tc>
        <w:tc>
          <w:tcPr>
            <w:tcW w:w="319" w:type="pct"/>
            <w:tcBorders>
              <w:tl2br w:val="nil"/>
              <w:tr2bl w:val="nil"/>
            </w:tcBorders>
            <w:noWrap w:val="0"/>
            <w:vAlign w:val="center"/>
          </w:tcPr>
          <w:p w14:paraId="2D09EFF1">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15</w:t>
            </w:r>
          </w:p>
        </w:tc>
        <w:tc>
          <w:tcPr>
            <w:tcW w:w="281" w:type="pct"/>
            <w:tcBorders>
              <w:tl2br w:val="nil"/>
              <w:tr2bl w:val="nil"/>
            </w:tcBorders>
            <w:noWrap w:val="0"/>
            <w:vAlign w:val="center"/>
          </w:tcPr>
          <w:p w14:paraId="122F78BC">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75</w:t>
            </w:r>
          </w:p>
        </w:tc>
        <w:tc>
          <w:tcPr>
            <w:tcW w:w="461" w:type="pct"/>
            <w:tcBorders>
              <w:tl2br w:val="nil"/>
              <w:tr2bl w:val="nil"/>
            </w:tcBorders>
            <w:noWrap w:val="0"/>
            <w:vAlign w:val="center"/>
          </w:tcPr>
          <w:p w14:paraId="416D134D">
            <w:pPr>
              <w:pStyle w:val="330"/>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w:t>
            </w:r>
          </w:p>
        </w:tc>
        <w:tc>
          <w:tcPr>
            <w:tcW w:w="744" w:type="pct"/>
            <w:tcBorders>
              <w:tl2br w:val="nil"/>
              <w:tr2bl w:val="nil"/>
            </w:tcBorders>
            <w:noWrap w:val="0"/>
            <w:vAlign w:val="center"/>
          </w:tcPr>
          <w:p w14:paraId="75567D99">
            <w:pPr>
              <w:pStyle w:val="330"/>
              <w:bidi w:val="0"/>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消声</w:t>
            </w:r>
            <w:r>
              <w:rPr>
                <w:rFonts w:hint="default" w:ascii="Times New Roman" w:hAnsi="Times New Roman" w:cs="Times New Roman"/>
                <w:color w:val="auto"/>
                <w:highlight w:val="none"/>
              </w:rPr>
              <w:t>+减振基础</w:t>
            </w:r>
          </w:p>
        </w:tc>
        <w:tc>
          <w:tcPr>
            <w:tcW w:w="1227" w:type="pct"/>
            <w:vMerge w:val="continue"/>
            <w:tcBorders>
              <w:tl2br w:val="nil"/>
              <w:tr2bl w:val="nil"/>
            </w:tcBorders>
            <w:noWrap w:val="0"/>
            <w:vAlign w:val="center"/>
          </w:tcPr>
          <w:p w14:paraId="24D4117A">
            <w:pPr>
              <w:pStyle w:val="330"/>
              <w:bidi w:val="0"/>
              <w:ind w:firstLine="0" w:firstLineChars="0"/>
              <w:jc w:val="center"/>
              <w:rPr>
                <w:rFonts w:hint="default" w:ascii="Times New Roman" w:hAnsi="Times New Roman" w:cs="Times New Roman"/>
                <w:color w:val="auto"/>
                <w:highlight w:val="none"/>
                <w:lang w:val="en-US" w:eastAsia="zh-CN"/>
              </w:rPr>
            </w:pPr>
          </w:p>
        </w:tc>
      </w:tr>
      <w:tr w14:paraId="32B36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8" w:type="pct"/>
            <w:tcBorders>
              <w:tl2br w:val="nil"/>
              <w:tr2bl w:val="nil"/>
            </w:tcBorders>
            <w:noWrap w:val="0"/>
            <w:vAlign w:val="center"/>
          </w:tcPr>
          <w:p w14:paraId="45BC2204">
            <w:pPr>
              <w:pStyle w:val="330"/>
              <w:bidi w:val="0"/>
              <w:jc w:val="cente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N</w:t>
            </w:r>
            <w:r>
              <w:rPr>
                <w:rFonts w:hint="eastAsia" w:cs="Times New Roman"/>
                <w:color w:val="auto"/>
                <w:highlight w:val="none"/>
                <w:lang w:val="en-US" w:eastAsia="zh-CN"/>
              </w:rPr>
              <w:t>30</w:t>
            </w:r>
          </w:p>
        </w:tc>
        <w:tc>
          <w:tcPr>
            <w:tcW w:w="865" w:type="pct"/>
            <w:tcBorders>
              <w:tl2br w:val="nil"/>
              <w:tr2bl w:val="nil"/>
            </w:tcBorders>
            <w:noWrap w:val="0"/>
            <w:vAlign w:val="center"/>
          </w:tcPr>
          <w:p w14:paraId="6DD9053A">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车辆</w:t>
            </w:r>
          </w:p>
        </w:tc>
        <w:tc>
          <w:tcPr>
            <w:tcW w:w="593" w:type="pct"/>
            <w:tcBorders>
              <w:tl2br w:val="nil"/>
              <w:tr2bl w:val="nil"/>
            </w:tcBorders>
            <w:noWrap w:val="0"/>
            <w:vAlign w:val="center"/>
          </w:tcPr>
          <w:p w14:paraId="751D1455">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79" w:type="pct"/>
            <w:tcBorders>
              <w:tl2br w:val="nil"/>
              <w:tr2bl w:val="nil"/>
            </w:tcBorders>
            <w:noWrap w:val="0"/>
            <w:vAlign w:val="center"/>
          </w:tcPr>
          <w:p w14:paraId="217176B8">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319" w:type="pct"/>
            <w:tcBorders>
              <w:tl2br w:val="nil"/>
              <w:tr2bl w:val="nil"/>
            </w:tcBorders>
            <w:noWrap w:val="0"/>
            <w:vAlign w:val="center"/>
          </w:tcPr>
          <w:p w14:paraId="5FC8AF3C">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1" w:type="pct"/>
            <w:tcBorders>
              <w:tl2br w:val="nil"/>
              <w:tr2bl w:val="nil"/>
            </w:tcBorders>
            <w:noWrap w:val="0"/>
            <w:vAlign w:val="center"/>
          </w:tcPr>
          <w:p w14:paraId="11A5A06D">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461" w:type="pct"/>
            <w:tcBorders>
              <w:tl2br w:val="nil"/>
              <w:tr2bl w:val="nil"/>
            </w:tcBorders>
            <w:noWrap w:val="0"/>
            <w:vAlign w:val="center"/>
          </w:tcPr>
          <w:p w14:paraId="46058278">
            <w:pPr>
              <w:pStyle w:val="330"/>
              <w:bidi w:val="0"/>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w:t>
            </w:r>
          </w:p>
        </w:tc>
        <w:tc>
          <w:tcPr>
            <w:tcW w:w="744" w:type="pct"/>
            <w:tcBorders>
              <w:tl2br w:val="nil"/>
              <w:tr2bl w:val="nil"/>
            </w:tcBorders>
            <w:noWrap w:val="0"/>
            <w:vAlign w:val="center"/>
          </w:tcPr>
          <w:p w14:paraId="062D7E61">
            <w:pPr>
              <w:pStyle w:val="330"/>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减速慢行</w:t>
            </w:r>
            <w:r>
              <w:rPr>
                <w:rFonts w:hint="eastAsia" w:ascii="Times New Roman" w:hAnsi="Times New Roman" w:cs="Times New Roman"/>
                <w:color w:val="auto"/>
                <w:highlight w:val="none"/>
                <w:lang w:val="en-US" w:eastAsia="zh-CN"/>
              </w:rPr>
              <w:t>+禁止鸣笛</w:t>
            </w:r>
          </w:p>
        </w:tc>
        <w:tc>
          <w:tcPr>
            <w:tcW w:w="1227" w:type="pct"/>
            <w:tcBorders>
              <w:tl2br w:val="nil"/>
              <w:tr2bl w:val="nil"/>
            </w:tcBorders>
            <w:noWrap w:val="0"/>
            <w:vAlign w:val="center"/>
          </w:tcPr>
          <w:p w14:paraId="724AA561">
            <w:pPr>
              <w:pStyle w:val="330"/>
              <w:bidi w:val="0"/>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8：00-12：00，14：00-18：00</w:t>
            </w:r>
          </w:p>
        </w:tc>
      </w:tr>
    </w:tbl>
    <w:p w14:paraId="34109646">
      <w:pPr>
        <w:pStyle w:val="199"/>
        <w:spacing w:before="120"/>
        <w:ind w:firstLine="420" w:firstLineChars="0"/>
        <w:rPr>
          <w:rFonts w:hint="default" w:ascii="Times New Roman" w:hAnsi="Times New Roman" w:cs="Times New Roman"/>
          <w:color w:val="auto"/>
          <w:sz w:val="24"/>
          <w:highlight w:val="none"/>
          <w:lang w:val="en-US" w:eastAsia="zh-CN"/>
        </w:rPr>
      </w:pPr>
    </w:p>
    <w:p w14:paraId="11DFDCFB">
      <w:pPr>
        <w:ind w:firstLine="480"/>
        <w:rPr>
          <w:color w:val="auto"/>
          <w:highlight w:val="none"/>
        </w:rPr>
        <w:sectPr>
          <w:pgSz w:w="16840" w:h="11907"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linePitch="326" w:charSpace="0"/>
        </w:sectPr>
      </w:pPr>
    </w:p>
    <w:p w14:paraId="731691A5">
      <w:pPr>
        <w:ind w:firstLine="480"/>
        <w:rPr>
          <w:color w:val="auto"/>
          <w:highlight w:val="none"/>
        </w:rPr>
      </w:pPr>
      <w:r>
        <w:rPr>
          <w:color w:val="auto"/>
          <w:highlight w:val="none"/>
        </w:rPr>
        <w:t>本项目通过合理布局、选用低噪声设备、安装消声器、基础减振和设备置于厂房内通过厂房隔声等措施降噪，使厂界噪声达到《工业企业厂界环境噪声排放标准》（</w:t>
      </w:r>
      <w:r>
        <w:rPr>
          <w:rFonts w:eastAsia="Calibri"/>
          <w:color w:val="auto"/>
          <w:highlight w:val="none"/>
        </w:rPr>
        <w:t>GB12348-2008</w:t>
      </w:r>
      <w:r>
        <w:rPr>
          <w:color w:val="auto"/>
          <w:highlight w:val="none"/>
        </w:rPr>
        <w:t>）</w:t>
      </w:r>
      <w:r>
        <w:rPr>
          <w:rFonts w:eastAsia="Calibri"/>
          <w:color w:val="auto"/>
          <w:highlight w:val="none"/>
        </w:rPr>
        <w:t>3</w:t>
      </w:r>
      <w:r>
        <w:rPr>
          <w:color w:val="auto"/>
          <w:highlight w:val="none"/>
        </w:rPr>
        <w:t>类标准。</w:t>
      </w:r>
    </w:p>
    <w:p w14:paraId="3A7D7514">
      <w:pPr>
        <w:pStyle w:val="5"/>
        <w:rPr>
          <w:color w:val="auto"/>
          <w:highlight w:val="none"/>
        </w:rPr>
      </w:pPr>
      <w:bookmarkStart w:id="106" w:name="_Toc24447615"/>
      <w:bookmarkStart w:id="107" w:name="_Toc58916155"/>
      <w:bookmarkStart w:id="108" w:name="_Toc24340220"/>
      <w:bookmarkStart w:id="109" w:name="_Toc24447106"/>
      <w:r>
        <w:rPr>
          <w:rFonts w:hint="eastAsia"/>
          <w:color w:val="auto"/>
          <w:highlight w:val="none"/>
        </w:rPr>
        <w:t>非正常工况排放分析</w:t>
      </w:r>
      <w:bookmarkEnd w:id="106"/>
      <w:bookmarkEnd w:id="107"/>
      <w:bookmarkEnd w:id="108"/>
      <w:bookmarkEnd w:id="109"/>
    </w:p>
    <w:p w14:paraId="789050A0">
      <w:pPr>
        <w:ind w:firstLine="480"/>
        <w:rPr>
          <w:color w:val="auto"/>
          <w:highlight w:val="none"/>
        </w:rPr>
      </w:pPr>
      <w:r>
        <w:rPr>
          <w:rFonts w:hint="eastAsia"/>
          <w:color w:val="auto"/>
          <w:highlight w:val="none"/>
        </w:rPr>
        <w:t>本项目</w:t>
      </w:r>
      <w:r>
        <w:rPr>
          <w:color w:val="auto"/>
          <w:highlight w:val="none"/>
        </w:rPr>
        <w:t>非正常工况</w:t>
      </w:r>
      <w:r>
        <w:rPr>
          <w:rFonts w:hint="eastAsia"/>
          <w:color w:val="auto"/>
          <w:highlight w:val="none"/>
        </w:rPr>
        <w:t>选取</w:t>
      </w:r>
      <w:r>
        <w:rPr>
          <w:rFonts w:hint="eastAsia"/>
          <w:color w:val="auto"/>
          <w:highlight w:val="none"/>
          <w:lang w:val="en-US" w:eastAsia="zh-CN"/>
        </w:rPr>
        <w:t>破碎筛分车间除尘</w:t>
      </w:r>
      <w:r>
        <w:rPr>
          <w:rFonts w:hint="eastAsia"/>
          <w:color w:val="auto"/>
          <w:highlight w:val="none"/>
        </w:rPr>
        <w:t>环保设施运转异常等非正常工况下的污染物排放，假定</w:t>
      </w:r>
      <w:r>
        <w:rPr>
          <w:rFonts w:hint="eastAsia"/>
          <w:color w:val="auto"/>
          <w:highlight w:val="none"/>
          <w:lang w:val="en-US" w:eastAsia="zh-CN"/>
        </w:rPr>
        <w:t>袋式除尘器</w:t>
      </w:r>
      <w:r>
        <w:rPr>
          <w:rFonts w:hint="eastAsia"/>
          <w:color w:val="auto"/>
          <w:highlight w:val="none"/>
        </w:rPr>
        <w:t>设备发生故障</w:t>
      </w:r>
      <w:r>
        <w:rPr>
          <w:rFonts w:hint="eastAsia"/>
          <w:color w:val="auto"/>
          <w:highlight w:val="none"/>
          <w:lang w:eastAsia="zh-CN"/>
        </w:rPr>
        <w:t>、</w:t>
      </w:r>
      <w:r>
        <w:rPr>
          <w:rFonts w:hint="eastAsia"/>
          <w:color w:val="auto"/>
          <w:highlight w:val="none"/>
          <w:lang w:val="en-US" w:eastAsia="zh-CN"/>
        </w:rPr>
        <w:t>设备检修</w:t>
      </w:r>
      <w:r>
        <w:rPr>
          <w:rFonts w:hint="eastAsia"/>
          <w:color w:val="auto"/>
          <w:highlight w:val="none"/>
        </w:rPr>
        <w:t>，导致非正常运行。本次评价非正常工况下</w:t>
      </w:r>
      <w:r>
        <w:rPr>
          <w:rFonts w:hint="eastAsia"/>
          <w:color w:val="auto"/>
          <w:highlight w:val="none"/>
          <w:lang w:val="en-US" w:eastAsia="zh-CN"/>
        </w:rPr>
        <w:t>除尘器除尘</w:t>
      </w:r>
      <w:r>
        <w:rPr>
          <w:rFonts w:hint="eastAsia"/>
          <w:color w:val="auto"/>
          <w:highlight w:val="none"/>
        </w:rPr>
        <w:t>效率按50%计，年发生频次为1次，单次持续时间为1h。</w:t>
      </w:r>
      <w:r>
        <w:rPr>
          <w:rFonts w:hint="eastAsia"/>
          <w:color w:val="auto"/>
          <w:highlight w:val="none"/>
          <w:lang w:val="en-US" w:eastAsia="zh-CN"/>
        </w:rPr>
        <w:t>除尘器发生</w:t>
      </w:r>
      <w:r>
        <w:rPr>
          <w:rFonts w:hint="eastAsia"/>
          <w:color w:val="auto"/>
          <w:highlight w:val="none"/>
        </w:rPr>
        <w:t>非正常工况下污染物排放速率为正常排放时的</w:t>
      </w:r>
      <w:r>
        <w:rPr>
          <w:color w:val="auto"/>
          <w:highlight w:val="none"/>
        </w:rPr>
        <w:t>2</w:t>
      </w:r>
      <w:r>
        <w:rPr>
          <w:rFonts w:hint="eastAsia"/>
          <w:color w:val="auto"/>
          <w:highlight w:val="none"/>
        </w:rPr>
        <w:t>倍：</w:t>
      </w:r>
    </w:p>
    <w:p w14:paraId="72CBD3EF">
      <w:pPr>
        <w:ind w:firstLine="480"/>
        <w:rPr>
          <w:color w:val="auto"/>
          <w:highlight w:val="none"/>
        </w:rPr>
      </w:pPr>
      <w:r>
        <w:rPr>
          <w:rFonts w:hint="eastAsia"/>
          <w:color w:val="auto"/>
          <w:highlight w:val="none"/>
        </w:rPr>
        <w:t>非正常情况下废气污染物的最大排放源强见表</w:t>
      </w:r>
      <w:r>
        <w:rPr>
          <w:rFonts w:hint="eastAsia"/>
          <w:color w:val="auto"/>
          <w:highlight w:val="none"/>
          <w:lang w:val="en-US" w:eastAsia="zh-CN"/>
        </w:rPr>
        <w:t>3.11-11</w:t>
      </w:r>
      <w:r>
        <w:rPr>
          <w:rFonts w:hint="eastAsia"/>
          <w:color w:val="auto"/>
          <w:highlight w:val="none"/>
        </w:rPr>
        <w:t>。</w:t>
      </w:r>
    </w:p>
    <w:p w14:paraId="1100E7A4">
      <w:pPr>
        <w:pStyle w:val="199"/>
        <w:spacing w:before="120"/>
        <w:ind w:firstLine="420" w:firstLineChars="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表3.1</w:t>
      </w:r>
      <w:r>
        <w:rPr>
          <w:rFonts w:hint="eastAsia"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 xml:space="preserve">   本</w:t>
      </w:r>
      <w:r>
        <w:rPr>
          <w:rFonts w:hint="eastAsia" w:ascii="Times New Roman" w:hAnsi="Times New Roman" w:cs="Times New Roman"/>
          <w:color w:val="auto"/>
          <w:sz w:val="24"/>
          <w:highlight w:val="none"/>
          <w:lang w:val="en-US" w:eastAsia="zh-CN"/>
        </w:rPr>
        <w:t>项目非正常排放参数表</w:t>
      </w:r>
    </w:p>
    <w:tbl>
      <w:tblPr>
        <w:tblStyle w:val="4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21"/>
        <w:gridCol w:w="1419"/>
        <w:gridCol w:w="1091"/>
        <w:gridCol w:w="1745"/>
        <w:gridCol w:w="1421"/>
        <w:gridCol w:w="1420"/>
      </w:tblGrid>
      <w:tr w14:paraId="2550FE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34" w:type="pct"/>
            <w:noWrap w:val="0"/>
            <w:vAlign w:val="center"/>
          </w:tcPr>
          <w:p w14:paraId="0B3041E0">
            <w:pPr>
              <w:pStyle w:val="245"/>
              <w:spacing w:line="240" w:lineRule="auto"/>
              <w:rPr>
                <w:rFonts w:hint="eastAsia" w:ascii="Times New Roman" w:hAnsi="Times New Roman" w:cs="Times New Roman"/>
                <w:color w:val="auto"/>
                <w:highlight w:val="none"/>
              </w:rPr>
            </w:pPr>
            <w:r>
              <w:rPr>
                <w:rFonts w:hint="eastAsia" w:ascii="Times New Roman" w:hAnsi="Times New Roman" w:cs="Times New Roman"/>
                <w:color w:val="auto"/>
                <w:highlight w:val="none"/>
              </w:rPr>
              <w:t>非正常</w:t>
            </w:r>
          </w:p>
          <w:p w14:paraId="308233A0">
            <w:pPr>
              <w:pStyle w:val="245"/>
              <w:spacing w:line="240" w:lineRule="auto"/>
              <w:rPr>
                <w:rFonts w:ascii="Times New Roman" w:hAnsi="Times New Roman" w:cs="Times New Roman"/>
                <w:color w:val="auto"/>
                <w:highlight w:val="none"/>
              </w:rPr>
            </w:pPr>
            <w:r>
              <w:rPr>
                <w:rFonts w:hint="eastAsia" w:ascii="Times New Roman" w:hAnsi="Times New Roman" w:cs="Times New Roman"/>
                <w:color w:val="auto"/>
                <w:highlight w:val="none"/>
              </w:rPr>
              <w:t>排放源</w:t>
            </w:r>
          </w:p>
        </w:tc>
        <w:tc>
          <w:tcPr>
            <w:tcW w:w="833" w:type="pct"/>
            <w:noWrap w:val="0"/>
            <w:vAlign w:val="center"/>
          </w:tcPr>
          <w:p w14:paraId="58772541">
            <w:pPr>
              <w:pStyle w:val="245"/>
              <w:spacing w:line="240" w:lineRule="auto"/>
              <w:rPr>
                <w:rFonts w:ascii="Times New Roman" w:hAnsi="Times New Roman" w:cs="Times New Roman"/>
                <w:color w:val="auto"/>
                <w:highlight w:val="none"/>
              </w:rPr>
            </w:pPr>
            <w:r>
              <w:rPr>
                <w:rFonts w:hint="eastAsia" w:ascii="Times New Roman" w:hAnsi="Times New Roman" w:cs="Times New Roman"/>
                <w:color w:val="auto"/>
                <w:highlight w:val="none"/>
              </w:rPr>
              <w:t>非正常排放原因</w:t>
            </w:r>
          </w:p>
        </w:tc>
        <w:tc>
          <w:tcPr>
            <w:tcW w:w="640" w:type="pct"/>
            <w:noWrap w:val="0"/>
            <w:vAlign w:val="center"/>
          </w:tcPr>
          <w:p w14:paraId="27DCA797">
            <w:pPr>
              <w:pStyle w:val="245"/>
              <w:spacing w:line="240" w:lineRule="auto"/>
              <w:rPr>
                <w:rFonts w:ascii="Times New Roman" w:hAnsi="Times New Roman" w:cs="Times New Roman"/>
                <w:color w:val="auto"/>
                <w:highlight w:val="none"/>
              </w:rPr>
            </w:pPr>
            <w:r>
              <w:rPr>
                <w:rFonts w:hint="eastAsia" w:ascii="Times New Roman" w:hAnsi="Times New Roman" w:cs="Times New Roman"/>
                <w:color w:val="auto"/>
                <w:highlight w:val="none"/>
              </w:rPr>
              <w:t>污染物</w:t>
            </w:r>
          </w:p>
        </w:tc>
        <w:tc>
          <w:tcPr>
            <w:tcW w:w="1024" w:type="pct"/>
            <w:noWrap w:val="0"/>
            <w:vAlign w:val="center"/>
          </w:tcPr>
          <w:p w14:paraId="4A21E34B">
            <w:pPr>
              <w:pStyle w:val="245"/>
              <w:spacing w:line="240" w:lineRule="auto"/>
              <w:rPr>
                <w:rFonts w:ascii="Times New Roman" w:hAnsi="Times New Roman" w:cs="Times New Roman"/>
                <w:color w:val="auto"/>
                <w:highlight w:val="none"/>
              </w:rPr>
            </w:pPr>
            <w:r>
              <w:rPr>
                <w:rFonts w:hint="eastAsia" w:ascii="Times New Roman" w:hAnsi="Times New Roman" w:cs="Times New Roman"/>
                <w:color w:val="auto"/>
                <w:highlight w:val="none"/>
              </w:rPr>
              <w:t>非正常排放速率</w:t>
            </w:r>
            <w:r>
              <w:rPr>
                <w:rFonts w:ascii="Times New Roman" w:hAnsi="Times New Roman" w:cs="Times New Roman"/>
                <w:color w:val="auto"/>
                <w:highlight w:val="none"/>
              </w:rPr>
              <w:t>/</w:t>
            </w:r>
            <w:r>
              <w:rPr>
                <w:rFonts w:hint="eastAsia" w:ascii="Times New Roman" w:hAnsi="Times New Roman" w:cs="Times New Roman"/>
                <w:color w:val="auto"/>
                <w:highlight w:val="none"/>
              </w:rPr>
              <w:t>（</w:t>
            </w:r>
            <w:r>
              <w:rPr>
                <w:rFonts w:ascii="Times New Roman" w:hAnsi="Times New Roman" w:cs="Times New Roman"/>
                <w:color w:val="auto"/>
                <w:highlight w:val="none"/>
              </w:rPr>
              <w:t>kg/h</w:t>
            </w:r>
            <w:r>
              <w:rPr>
                <w:rFonts w:hint="eastAsia" w:ascii="Times New Roman" w:hAnsi="Times New Roman" w:cs="Times New Roman"/>
                <w:color w:val="auto"/>
                <w:highlight w:val="none"/>
              </w:rPr>
              <w:t>）</w:t>
            </w:r>
          </w:p>
        </w:tc>
        <w:tc>
          <w:tcPr>
            <w:tcW w:w="834" w:type="pct"/>
            <w:noWrap w:val="0"/>
            <w:vAlign w:val="center"/>
          </w:tcPr>
          <w:p w14:paraId="7B8FC858">
            <w:pPr>
              <w:pStyle w:val="245"/>
              <w:spacing w:line="240" w:lineRule="auto"/>
              <w:rPr>
                <w:rFonts w:ascii="Times New Roman" w:hAnsi="Times New Roman" w:cs="Times New Roman"/>
                <w:color w:val="auto"/>
                <w:highlight w:val="none"/>
              </w:rPr>
            </w:pPr>
            <w:r>
              <w:rPr>
                <w:rFonts w:hint="eastAsia" w:ascii="Times New Roman" w:hAnsi="Times New Roman" w:cs="Times New Roman"/>
                <w:color w:val="auto"/>
                <w:highlight w:val="none"/>
              </w:rPr>
              <w:t>单次持续时间</w:t>
            </w:r>
            <w:r>
              <w:rPr>
                <w:rFonts w:ascii="Times New Roman" w:hAnsi="Times New Roman" w:cs="Times New Roman"/>
                <w:color w:val="auto"/>
                <w:highlight w:val="none"/>
              </w:rPr>
              <w:t>/</w:t>
            </w:r>
            <w:r>
              <w:rPr>
                <w:rFonts w:hint="eastAsia" w:ascii="Times New Roman" w:hAnsi="Times New Roman" w:cs="Times New Roman"/>
                <w:color w:val="auto"/>
                <w:highlight w:val="none"/>
              </w:rPr>
              <w:t>（</w:t>
            </w:r>
            <w:r>
              <w:rPr>
                <w:rFonts w:ascii="Times New Roman" w:hAnsi="Times New Roman" w:cs="Times New Roman"/>
                <w:color w:val="auto"/>
                <w:highlight w:val="none"/>
              </w:rPr>
              <w:t>h</w:t>
            </w:r>
            <w:r>
              <w:rPr>
                <w:rFonts w:hint="eastAsia" w:ascii="Times New Roman" w:hAnsi="Times New Roman" w:cs="Times New Roman"/>
                <w:color w:val="auto"/>
                <w:highlight w:val="none"/>
              </w:rPr>
              <w:t>）</w:t>
            </w:r>
          </w:p>
        </w:tc>
        <w:tc>
          <w:tcPr>
            <w:tcW w:w="833" w:type="pct"/>
            <w:noWrap w:val="0"/>
            <w:vAlign w:val="center"/>
          </w:tcPr>
          <w:p w14:paraId="58EA0F7E">
            <w:pPr>
              <w:pStyle w:val="245"/>
              <w:spacing w:line="240" w:lineRule="auto"/>
              <w:rPr>
                <w:rFonts w:ascii="Times New Roman" w:hAnsi="Times New Roman" w:cs="Times New Roman"/>
                <w:color w:val="auto"/>
                <w:highlight w:val="none"/>
              </w:rPr>
            </w:pPr>
            <w:r>
              <w:rPr>
                <w:rFonts w:hint="eastAsia" w:ascii="Times New Roman" w:hAnsi="Times New Roman" w:cs="Times New Roman"/>
                <w:color w:val="auto"/>
                <w:highlight w:val="none"/>
              </w:rPr>
              <w:t>年发生频次</w:t>
            </w:r>
            <w:r>
              <w:rPr>
                <w:rFonts w:ascii="Times New Roman" w:hAnsi="Times New Roman" w:cs="Times New Roman"/>
                <w:color w:val="auto"/>
                <w:highlight w:val="none"/>
              </w:rPr>
              <w:t>/</w:t>
            </w:r>
            <w:r>
              <w:rPr>
                <w:rFonts w:hint="eastAsia" w:ascii="Times New Roman" w:hAnsi="Times New Roman" w:cs="Times New Roman"/>
                <w:color w:val="auto"/>
                <w:highlight w:val="none"/>
              </w:rPr>
              <w:t>次</w:t>
            </w:r>
          </w:p>
        </w:tc>
      </w:tr>
      <w:tr w14:paraId="0890C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834" w:type="pct"/>
            <w:noWrap w:val="0"/>
            <w:vAlign w:val="center"/>
          </w:tcPr>
          <w:p w14:paraId="14C3A08B">
            <w:pPr>
              <w:pStyle w:val="245"/>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破碎、筛分车间DA001</w:t>
            </w:r>
          </w:p>
        </w:tc>
        <w:tc>
          <w:tcPr>
            <w:tcW w:w="833" w:type="pct"/>
            <w:noWrap w:val="0"/>
            <w:vAlign w:val="center"/>
          </w:tcPr>
          <w:p w14:paraId="28F6C2A9">
            <w:pPr>
              <w:pStyle w:val="245"/>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环保设施运转异常</w:t>
            </w:r>
          </w:p>
        </w:tc>
        <w:tc>
          <w:tcPr>
            <w:tcW w:w="640" w:type="pct"/>
            <w:noWrap w:val="0"/>
            <w:vAlign w:val="center"/>
          </w:tcPr>
          <w:p w14:paraId="27B12ACC">
            <w:pPr>
              <w:pStyle w:val="245"/>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1024" w:type="pct"/>
            <w:noWrap w:val="0"/>
            <w:vAlign w:val="center"/>
          </w:tcPr>
          <w:p w14:paraId="6D37D1AD">
            <w:pPr>
              <w:pStyle w:val="245"/>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0.7</w:t>
            </w:r>
          </w:p>
        </w:tc>
        <w:tc>
          <w:tcPr>
            <w:tcW w:w="834" w:type="pct"/>
            <w:noWrap w:val="0"/>
            <w:vAlign w:val="center"/>
          </w:tcPr>
          <w:p w14:paraId="496C4E15">
            <w:pPr>
              <w:pStyle w:val="245"/>
              <w:spacing w:line="240" w:lineRule="auto"/>
              <w:rPr>
                <w:rFonts w:ascii="Times New Roman" w:hAnsi="Times New Roman" w:cs="Times New Roman"/>
                <w:color w:val="auto"/>
                <w:highlight w:val="none"/>
              </w:rPr>
            </w:pPr>
            <w:r>
              <w:rPr>
                <w:rFonts w:ascii="Times New Roman" w:hAnsi="Times New Roman" w:cs="Times New Roman"/>
                <w:color w:val="auto"/>
                <w:highlight w:val="none"/>
              </w:rPr>
              <w:t>1</w:t>
            </w:r>
          </w:p>
        </w:tc>
        <w:tc>
          <w:tcPr>
            <w:tcW w:w="833" w:type="pct"/>
            <w:noWrap w:val="0"/>
            <w:vAlign w:val="center"/>
          </w:tcPr>
          <w:p w14:paraId="7C6E0311">
            <w:pPr>
              <w:pStyle w:val="245"/>
              <w:spacing w:line="240" w:lineRule="auto"/>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次</w:t>
            </w:r>
          </w:p>
        </w:tc>
      </w:tr>
    </w:tbl>
    <w:p w14:paraId="7F3B425C">
      <w:pPr>
        <w:ind w:firstLine="480"/>
        <w:rPr>
          <w:rFonts w:hint="eastAsia" w:ascii="Times New Roman" w:hAnsi="Times New Roman" w:eastAsia="宋体" w:cs="Times New Roman"/>
          <w:color w:val="auto"/>
          <w:highlight w:val="none"/>
          <w:lang w:val="en-US" w:eastAsia="zh-CN"/>
        </w:rPr>
      </w:pPr>
    </w:p>
    <w:p w14:paraId="349EE32F">
      <w:pPr>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建设单位应在日常生产过程中随时检查环保设备运行情况，一旦发生环保设备运行不正常情况，应立即采取相应措施，最大限度的降低对周围环境的影响。本项目中要求环保设备在出现故障情况后在1小时时间内完后更换、修理，若不能完成，应及时停止生产。</w:t>
      </w:r>
    </w:p>
    <w:p w14:paraId="2F77A1B3">
      <w:pPr>
        <w:pStyle w:val="4"/>
        <w:spacing w:before="120" w:after="120"/>
        <w:rPr>
          <w:rFonts w:hint="eastAsia" w:cs="Times New Roman"/>
          <w:color w:val="auto"/>
          <w:highlight w:val="none"/>
        </w:rPr>
      </w:pPr>
      <w:bookmarkStart w:id="110" w:name="_Toc21249"/>
      <w:r>
        <w:rPr>
          <w:rFonts w:hint="eastAsia" w:cs="Times New Roman"/>
          <w:color w:val="auto"/>
          <w:highlight w:val="none"/>
        </w:rPr>
        <w:t>本项目污染物产生及排放情况汇总</w:t>
      </w:r>
      <w:bookmarkEnd w:id="110"/>
    </w:p>
    <w:p w14:paraId="716CBE4F">
      <w:pPr>
        <w:ind w:firstLine="480"/>
        <w:rPr>
          <w:rFonts w:hint="eastAsia"/>
          <w:color w:val="auto"/>
          <w:highlight w:val="none"/>
        </w:rPr>
        <w:sectPr>
          <w:pgSz w:w="11907" w:h="16840"/>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26" w:charSpace="0"/>
        </w:sectPr>
      </w:pPr>
      <w:r>
        <w:rPr>
          <w:rFonts w:hint="eastAsia"/>
          <w:color w:val="auto"/>
          <w:highlight w:val="none"/>
        </w:rPr>
        <w:t>本项目各类污染物产生、排放</w:t>
      </w:r>
      <w:r>
        <w:rPr>
          <w:rFonts w:hint="eastAsia"/>
          <w:color w:val="auto"/>
          <w:highlight w:val="none"/>
          <w:lang w:val="en-US" w:eastAsia="zh-CN"/>
        </w:rPr>
        <w:t>汇总</w:t>
      </w:r>
      <w:r>
        <w:rPr>
          <w:rFonts w:hint="eastAsia"/>
          <w:color w:val="auto"/>
          <w:highlight w:val="none"/>
        </w:rPr>
        <w:t>情况见表</w:t>
      </w:r>
      <w:r>
        <w:rPr>
          <w:rFonts w:hint="eastAsia"/>
          <w:color w:val="auto"/>
          <w:highlight w:val="none"/>
          <w:lang w:val="en-US" w:eastAsia="zh-CN"/>
        </w:rPr>
        <w:t>3.12-1</w:t>
      </w:r>
      <w:r>
        <w:rPr>
          <w:rFonts w:hint="eastAsia"/>
          <w:color w:val="auto"/>
          <w:highlight w:val="none"/>
        </w:rPr>
        <w:t>。</w:t>
      </w:r>
    </w:p>
    <w:p w14:paraId="1E14A2CF">
      <w:pPr>
        <w:pStyle w:val="199"/>
        <w:spacing w:before="120"/>
        <w:ind w:firstLine="420" w:firstLineChars="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表3.1</w:t>
      </w:r>
      <w:r>
        <w:rPr>
          <w:rFonts w:hint="eastAsia"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-1  本项目污染物产生、排放汇总情况一览表</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1138"/>
        <w:gridCol w:w="752"/>
        <w:gridCol w:w="1431"/>
        <w:gridCol w:w="905"/>
        <w:gridCol w:w="756"/>
        <w:gridCol w:w="1888"/>
        <w:gridCol w:w="892"/>
        <w:gridCol w:w="1090"/>
        <w:gridCol w:w="905"/>
        <w:gridCol w:w="756"/>
        <w:gridCol w:w="1410"/>
        <w:gridCol w:w="1172"/>
        <w:gridCol w:w="563"/>
      </w:tblGrid>
      <w:tr w14:paraId="17932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77C8FF7C">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类别</w:t>
            </w:r>
          </w:p>
        </w:tc>
        <w:tc>
          <w:tcPr>
            <w:tcW w:w="0" w:type="auto"/>
            <w:vMerge w:val="restart"/>
            <w:tcBorders>
              <w:tl2br w:val="nil"/>
              <w:tr2bl w:val="nil"/>
            </w:tcBorders>
            <w:noWrap w:val="0"/>
            <w:vAlign w:val="center"/>
          </w:tcPr>
          <w:p w14:paraId="2F105F85">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污染源</w:t>
            </w:r>
          </w:p>
        </w:tc>
        <w:tc>
          <w:tcPr>
            <w:tcW w:w="0" w:type="auto"/>
            <w:vMerge w:val="restart"/>
            <w:tcBorders>
              <w:tl2br w:val="nil"/>
              <w:tr2bl w:val="nil"/>
            </w:tcBorders>
            <w:noWrap w:val="0"/>
            <w:vAlign w:val="center"/>
          </w:tcPr>
          <w:p w14:paraId="6A019289">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污染物</w:t>
            </w:r>
          </w:p>
        </w:tc>
        <w:tc>
          <w:tcPr>
            <w:tcW w:w="0" w:type="auto"/>
            <w:gridSpan w:val="3"/>
            <w:tcBorders>
              <w:tl2br w:val="nil"/>
              <w:tr2bl w:val="nil"/>
            </w:tcBorders>
            <w:noWrap w:val="0"/>
            <w:vAlign w:val="center"/>
          </w:tcPr>
          <w:p w14:paraId="65BFAD5A">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产生情况</w:t>
            </w:r>
          </w:p>
        </w:tc>
        <w:tc>
          <w:tcPr>
            <w:tcW w:w="0" w:type="auto"/>
            <w:vMerge w:val="restart"/>
            <w:tcBorders>
              <w:tl2br w:val="nil"/>
              <w:tr2bl w:val="nil"/>
            </w:tcBorders>
            <w:noWrap w:val="0"/>
            <w:vAlign w:val="center"/>
          </w:tcPr>
          <w:p w14:paraId="1DBCE5F4">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治理措施</w:t>
            </w:r>
          </w:p>
        </w:tc>
        <w:tc>
          <w:tcPr>
            <w:tcW w:w="0" w:type="auto"/>
            <w:vMerge w:val="restart"/>
            <w:tcBorders>
              <w:tl2br w:val="nil"/>
              <w:tr2bl w:val="nil"/>
            </w:tcBorders>
            <w:noWrap w:val="0"/>
            <w:vAlign w:val="center"/>
          </w:tcPr>
          <w:p w14:paraId="45D6C663">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处理效率</w:t>
            </w:r>
          </w:p>
        </w:tc>
        <w:tc>
          <w:tcPr>
            <w:tcW w:w="0" w:type="auto"/>
            <w:gridSpan w:val="3"/>
            <w:tcBorders>
              <w:tl2br w:val="nil"/>
              <w:tr2bl w:val="nil"/>
            </w:tcBorders>
            <w:noWrap w:val="0"/>
            <w:vAlign w:val="center"/>
          </w:tcPr>
          <w:p w14:paraId="467E4DA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排放情况</w:t>
            </w:r>
          </w:p>
        </w:tc>
        <w:tc>
          <w:tcPr>
            <w:tcW w:w="0" w:type="auto"/>
            <w:gridSpan w:val="2"/>
            <w:tcBorders>
              <w:tl2br w:val="nil"/>
              <w:tr2bl w:val="nil"/>
            </w:tcBorders>
            <w:noWrap w:val="0"/>
            <w:vAlign w:val="center"/>
          </w:tcPr>
          <w:p w14:paraId="1DF482AD">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执行标准</w:t>
            </w:r>
          </w:p>
        </w:tc>
        <w:tc>
          <w:tcPr>
            <w:tcW w:w="0" w:type="auto"/>
            <w:vMerge w:val="restart"/>
            <w:tcBorders>
              <w:tl2br w:val="nil"/>
              <w:tr2bl w:val="nil"/>
            </w:tcBorders>
            <w:noWrap w:val="0"/>
            <w:vAlign w:val="center"/>
          </w:tcPr>
          <w:p w14:paraId="664A0327">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达标情况</w:t>
            </w:r>
          </w:p>
        </w:tc>
      </w:tr>
      <w:tr w14:paraId="7DBCF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605BC587">
            <w:pPr>
              <w:pStyle w:val="245"/>
              <w:spacing w:line="240" w:lineRule="auto"/>
              <w:jc w:val="center"/>
              <w:rPr>
                <w:rFonts w:hint="eastAsia" w:ascii="Times New Roman" w:hAnsi="Times New Roman" w:cs="Times New Roman"/>
                <w:color w:val="auto"/>
                <w:sz w:val="21"/>
                <w:szCs w:val="21"/>
                <w:highlight w:val="none"/>
              </w:rPr>
            </w:pPr>
          </w:p>
        </w:tc>
        <w:tc>
          <w:tcPr>
            <w:tcW w:w="0" w:type="auto"/>
            <w:vMerge w:val="continue"/>
            <w:tcBorders>
              <w:tl2br w:val="nil"/>
              <w:tr2bl w:val="nil"/>
            </w:tcBorders>
            <w:noWrap w:val="0"/>
            <w:vAlign w:val="center"/>
          </w:tcPr>
          <w:p w14:paraId="4CE18FD4">
            <w:pPr>
              <w:pStyle w:val="245"/>
              <w:spacing w:line="240" w:lineRule="auto"/>
              <w:jc w:val="center"/>
              <w:rPr>
                <w:rFonts w:hint="eastAsia" w:ascii="Times New Roman" w:hAnsi="Times New Roman" w:cs="Times New Roman"/>
                <w:color w:val="auto"/>
                <w:sz w:val="21"/>
                <w:szCs w:val="21"/>
                <w:highlight w:val="none"/>
              </w:rPr>
            </w:pPr>
          </w:p>
        </w:tc>
        <w:tc>
          <w:tcPr>
            <w:tcW w:w="0" w:type="auto"/>
            <w:vMerge w:val="continue"/>
            <w:tcBorders>
              <w:tl2br w:val="nil"/>
              <w:tr2bl w:val="nil"/>
            </w:tcBorders>
            <w:noWrap w:val="0"/>
            <w:vAlign w:val="center"/>
          </w:tcPr>
          <w:p w14:paraId="56830181">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79D7121A">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浓度</w:t>
            </w:r>
          </w:p>
          <w:p w14:paraId="1D4B389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w:t>
            </w:r>
          </w:p>
        </w:tc>
        <w:tc>
          <w:tcPr>
            <w:tcW w:w="0" w:type="auto"/>
            <w:tcBorders>
              <w:tl2br w:val="nil"/>
              <w:tr2bl w:val="nil"/>
            </w:tcBorders>
            <w:noWrap w:val="0"/>
            <w:vAlign w:val="center"/>
          </w:tcPr>
          <w:p w14:paraId="1CFB547F">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速率</w:t>
            </w:r>
          </w:p>
          <w:p w14:paraId="0F020E6C">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（kg/h）</w:t>
            </w:r>
          </w:p>
        </w:tc>
        <w:tc>
          <w:tcPr>
            <w:tcW w:w="0" w:type="auto"/>
            <w:tcBorders>
              <w:tl2br w:val="nil"/>
              <w:tr2bl w:val="nil"/>
            </w:tcBorders>
            <w:noWrap w:val="0"/>
            <w:vAlign w:val="center"/>
          </w:tcPr>
          <w:p w14:paraId="1BD0DCB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产生量</w:t>
            </w:r>
          </w:p>
          <w:p w14:paraId="137136E6">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（t/a）</w:t>
            </w:r>
          </w:p>
        </w:tc>
        <w:tc>
          <w:tcPr>
            <w:tcW w:w="0" w:type="auto"/>
            <w:vMerge w:val="continue"/>
            <w:tcBorders>
              <w:tl2br w:val="nil"/>
              <w:tr2bl w:val="nil"/>
            </w:tcBorders>
            <w:noWrap w:val="0"/>
            <w:vAlign w:val="center"/>
          </w:tcPr>
          <w:p w14:paraId="2B5337A3">
            <w:pPr>
              <w:pStyle w:val="245"/>
              <w:spacing w:line="240" w:lineRule="auto"/>
              <w:jc w:val="center"/>
              <w:rPr>
                <w:rFonts w:hint="eastAsia" w:ascii="Times New Roman" w:hAnsi="Times New Roman" w:cs="Times New Roman"/>
                <w:color w:val="auto"/>
                <w:sz w:val="21"/>
                <w:szCs w:val="21"/>
                <w:highlight w:val="none"/>
              </w:rPr>
            </w:pPr>
          </w:p>
        </w:tc>
        <w:tc>
          <w:tcPr>
            <w:tcW w:w="0" w:type="auto"/>
            <w:vMerge w:val="continue"/>
            <w:tcBorders>
              <w:tl2br w:val="nil"/>
              <w:tr2bl w:val="nil"/>
            </w:tcBorders>
            <w:noWrap w:val="0"/>
            <w:vAlign w:val="center"/>
          </w:tcPr>
          <w:p w14:paraId="26FC170F">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7362F8BD">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浓度</w:t>
            </w:r>
          </w:p>
          <w:p w14:paraId="3BBFE017">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w:t>
            </w:r>
          </w:p>
        </w:tc>
        <w:tc>
          <w:tcPr>
            <w:tcW w:w="0" w:type="auto"/>
            <w:tcBorders>
              <w:tl2br w:val="nil"/>
              <w:tr2bl w:val="nil"/>
            </w:tcBorders>
            <w:noWrap w:val="0"/>
            <w:vAlign w:val="center"/>
          </w:tcPr>
          <w:p w14:paraId="1B519ED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速率</w:t>
            </w:r>
          </w:p>
          <w:p w14:paraId="3C52A5C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（kg/h）</w:t>
            </w:r>
          </w:p>
        </w:tc>
        <w:tc>
          <w:tcPr>
            <w:tcW w:w="0" w:type="auto"/>
            <w:tcBorders>
              <w:tl2br w:val="nil"/>
              <w:tr2bl w:val="nil"/>
            </w:tcBorders>
            <w:noWrap w:val="0"/>
            <w:vAlign w:val="center"/>
          </w:tcPr>
          <w:p w14:paraId="2A3B7A55">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排放量</w:t>
            </w:r>
          </w:p>
          <w:p w14:paraId="6AE9853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（t/a）</w:t>
            </w:r>
          </w:p>
        </w:tc>
        <w:tc>
          <w:tcPr>
            <w:tcW w:w="0" w:type="auto"/>
            <w:tcBorders>
              <w:tl2br w:val="nil"/>
              <w:tr2bl w:val="nil"/>
            </w:tcBorders>
            <w:noWrap w:val="0"/>
            <w:vAlign w:val="center"/>
          </w:tcPr>
          <w:p w14:paraId="5F2B3A4D">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浓度</w:t>
            </w:r>
          </w:p>
          <w:p w14:paraId="6C78805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w:t>
            </w:r>
          </w:p>
        </w:tc>
        <w:tc>
          <w:tcPr>
            <w:tcW w:w="0" w:type="auto"/>
            <w:tcBorders>
              <w:tl2br w:val="nil"/>
              <w:tr2bl w:val="nil"/>
            </w:tcBorders>
            <w:noWrap w:val="0"/>
            <w:vAlign w:val="center"/>
          </w:tcPr>
          <w:p w14:paraId="689DB4E4">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速率</w:t>
            </w:r>
          </w:p>
          <w:p w14:paraId="11D3DC3B">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（kg/h）</w:t>
            </w:r>
          </w:p>
        </w:tc>
        <w:tc>
          <w:tcPr>
            <w:tcW w:w="0" w:type="auto"/>
            <w:vMerge w:val="continue"/>
            <w:tcBorders>
              <w:tl2br w:val="nil"/>
              <w:tr2bl w:val="nil"/>
            </w:tcBorders>
            <w:noWrap w:val="0"/>
            <w:vAlign w:val="center"/>
          </w:tcPr>
          <w:p w14:paraId="223D1972">
            <w:pPr>
              <w:pStyle w:val="245"/>
              <w:spacing w:line="240" w:lineRule="auto"/>
              <w:jc w:val="center"/>
              <w:rPr>
                <w:rFonts w:hint="eastAsia" w:ascii="Times New Roman" w:hAnsi="Times New Roman" w:cs="Times New Roman"/>
                <w:color w:val="auto"/>
                <w:sz w:val="21"/>
                <w:szCs w:val="21"/>
                <w:highlight w:val="none"/>
              </w:rPr>
            </w:pPr>
          </w:p>
        </w:tc>
      </w:tr>
      <w:tr w14:paraId="31324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438B9298">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0" w:type="auto"/>
            <w:tcBorders>
              <w:tl2br w:val="nil"/>
              <w:tr2bl w:val="nil"/>
            </w:tcBorders>
            <w:noWrap w:val="0"/>
            <w:vAlign w:val="center"/>
          </w:tcPr>
          <w:p w14:paraId="76021C45">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运输道路</w:t>
            </w:r>
          </w:p>
        </w:tc>
        <w:tc>
          <w:tcPr>
            <w:tcW w:w="0" w:type="auto"/>
            <w:tcBorders>
              <w:tl2br w:val="nil"/>
              <w:tr2bl w:val="nil"/>
            </w:tcBorders>
            <w:noWrap w:val="0"/>
            <w:vAlign w:val="center"/>
          </w:tcPr>
          <w:p w14:paraId="4C798BFE">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0" w:type="auto"/>
            <w:tcBorders>
              <w:tl2br w:val="nil"/>
              <w:tr2bl w:val="nil"/>
            </w:tcBorders>
            <w:noWrap w:val="0"/>
            <w:vAlign w:val="center"/>
          </w:tcPr>
          <w:p w14:paraId="7CC470D2">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12FF9ECC">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632D1C46">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0" w:type="auto"/>
            <w:tcBorders>
              <w:tl2br w:val="nil"/>
              <w:tr2bl w:val="nil"/>
            </w:tcBorders>
            <w:noWrap w:val="0"/>
            <w:vAlign w:val="center"/>
          </w:tcPr>
          <w:p w14:paraId="119F7914">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道路硬化、洒水抑尘；车辆加盖苫布</w:t>
            </w:r>
          </w:p>
        </w:tc>
        <w:tc>
          <w:tcPr>
            <w:tcW w:w="0" w:type="auto"/>
            <w:tcBorders>
              <w:tl2br w:val="nil"/>
              <w:tr2bl w:val="nil"/>
            </w:tcBorders>
            <w:noWrap w:val="0"/>
            <w:vAlign w:val="center"/>
          </w:tcPr>
          <w:p w14:paraId="7AC92401">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p>
        </w:tc>
        <w:tc>
          <w:tcPr>
            <w:tcW w:w="0" w:type="auto"/>
            <w:tcBorders>
              <w:tl2br w:val="nil"/>
              <w:tr2bl w:val="nil"/>
            </w:tcBorders>
            <w:noWrap w:val="0"/>
            <w:vAlign w:val="center"/>
          </w:tcPr>
          <w:p w14:paraId="0D048FC6">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269789F3">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5779DB6A">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极少</w:t>
            </w:r>
          </w:p>
        </w:tc>
        <w:tc>
          <w:tcPr>
            <w:tcW w:w="0" w:type="auto"/>
            <w:gridSpan w:val="2"/>
            <w:tcBorders>
              <w:tl2br w:val="nil"/>
              <w:tr2bl w:val="nil"/>
            </w:tcBorders>
            <w:noWrap w:val="0"/>
            <w:vAlign w:val="center"/>
          </w:tcPr>
          <w:p w14:paraId="65EB5045">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088300F5">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0" w:type="auto"/>
            <w:tcBorders>
              <w:tl2br w:val="nil"/>
              <w:tr2bl w:val="nil"/>
            </w:tcBorders>
            <w:noWrap w:val="0"/>
            <w:vAlign w:val="center"/>
          </w:tcPr>
          <w:p w14:paraId="51DE0959">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r w14:paraId="272FE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C7AB07E">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63B2FF2F">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原料装卸堆存</w:t>
            </w:r>
          </w:p>
        </w:tc>
        <w:tc>
          <w:tcPr>
            <w:tcW w:w="0" w:type="auto"/>
            <w:tcBorders>
              <w:tl2br w:val="nil"/>
              <w:tr2bl w:val="nil"/>
            </w:tcBorders>
            <w:noWrap w:val="0"/>
            <w:vAlign w:val="center"/>
          </w:tcPr>
          <w:p w14:paraId="5985A49B">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0" w:type="auto"/>
            <w:tcBorders>
              <w:tl2br w:val="nil"/>
              <w:tr2bl w:val="nil"/>
            </w:tcBorders>
            <w:noWrap w:val="0"/>
            <w:vAlign w:val="center"/>
          </w:tcPr>
          <w:p w14:paraId="6F0CE5C9">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2B63FD94">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56B1BAEE">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0" w:type="auto"/>
            <w:tcBorders>
              <w:tl2br w:val="nil"/>
              <w:tr2bl w:val="nil"/>
            </w:tcBorders>
            <w:noWrap w:val="0"/>
            <w:vAlign w:val="center"/>
          </w:tcPr>
          <w:p w14:paraId="6C424748">
            <w:pPr>
              <w:pStyle w:val="245"/>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全封闭库房，洒水抑尘</w:t>
            </w:r>
          </w:p>
        </w:tc>
        <w:tc>
          <w:tcPr>
            <w:tcW w:w="0" w:type="auto"/>
            <w:tcBorders>
              <w:tl2br w:val="nil"/>
              <w:tr2bl w:val="nil"/>
            </w:tcBorders>
            <w:noWrap w:val="0"/>
            <w:vAlign w:val="center"/>
          </w:tcPr>
          <w:p w14:paraId="22D7EF82">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90</w:t>
            </w: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759A9B6C">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53E155F8">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64806EE3">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color w:val="auto"/>
                <w:kern w:val="0"/>
                <w:sz w:val="21"/>
                <w:szCs w:val="21"/>
                <w:highlight w:val="none"/>
                <w:lang w:val="en-US" w:eastAsia="zh-CN"/>
              </w:rPr>
              <w:t>0.3</w:t>
            </w:r>
          </w:p>
        </w:tc>
        <w:tc>
          <w:tcPr>
            <w:tcW w:w="0" w:type="auto"/>
            <w:gridSpan w:val="2"/>
            <w:tcBorders>
              <w:tl2br w:val="nil"/>
              <w:tr2bl w:val="nil"/>
            </w:tcBorders>
            <w:noWrap w:val="0"/>
            <w:vAlign w:val="center"/>
          </w:tcPr>
          <w:p w14:paraId="16974074">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0533F0B4">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0" w:type="auto"/>
            <w:tcBorders>
              <w:tl2br w:val="nil"/>
              <w:tr2bl w:val="nil"/>
            </w:tcBorders>
            <w:noWrap w:val="0"/>
            <w:vAlign w:val="center"/>
          </w:tcPr>
          <w:p w14:paraId="417A4468">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r w14:paraId="62E3C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73A56DD4">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6702D044">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破碎筛分</w:t>
            </w:r>
            <w:r>
              <w:rPr>
                <w:rFonts w:hint="eastAsia" w:ascii="Times New Roman" w:hAnsi="Times New Roman" w:cs="Times New Roman"/>
                <w:color w:val="auto"/>
                <w:sz w:val="21"/>
                <w:szCs w:val="21"/>
                <w:highlight w:val="none"/>
                <w:lang w:val="en-US" w:eastAsia="zh-CN"/>
              </w:rPr>
              <w:t>无组织</w:t>
            </w:r>
          </w:p>
        </w:tc>
        <w:tc>
          <w:tcPr>
            <w:tcW w:w="0" w:type="auto"/>
            <w:tcBorders>
              <w:tl2br w:val="nil"/>
              <w:tr2bl w:val="nil"/>
            </w:tcBorders>
            <w:noWrap w:val="0"/>
            <w:vAlign w:val="center"/>
          </w:tcPr>
          <w:p w14:paraId="5AC4FD8C">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颗粒物</w:t>
            </w:r>
          </w:p>
        </w:tc>
        <w:tc>
          <w:tcPr>
            <w:tcW w:w="0" w:type="auto"/>
            <w:tcBorders>
              <w:tl2br w:val="nil"/>
              <w:tr2bl w:val="nil"/>
            </w:tcBorders>
            <w:noWrap w:val="0"/>
            <w:vAlign w:val="center"/>
          </w:tcPr>
          <w:p w14:paraId="3951BBFC">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2C1861A6">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691ABFDF">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color w:val="auto"/>
                <w:kern w:val="0"/>
                <w:sz w:val="21"/>
                <w:szCs w:val="21"/>
                <w:highlight w:val="none"/>
                <w:lang w:val="en-US" w:eastAsia="zh-CN"/>
              </w:rPr>
              <w:t>3.75</w:t>
            </w:r>
          </w:p>
        </w:tc>
        <w:tc>
          <w:tcPr>
            <w:tcW w:w="0" w:type="auto"/>
            <w:tcBorders>
              <w:tl2br w:val="nil"/>
              <w:tr2bl w:val="nil"/>
            </w:tcBorders>
            <w:noWrap w:val="0"/>
            <w:vAlign w:val="center"/>
          </w:tcPr>
          <w:p w14:paraId="0F6D3E2B">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b w:val="0"/>
                <w:color w:val="auto"/>
                <w:kern w:val="0"/>
                <w:sz w:val="21"/>
                <w:szCs w:val="21"/>
                <w:highlight w:val="none"/>
                <w:lang w:val="en-US" w:eastAsia="zh-CN"/>
              </w:rPr>
              <w:t>全封闭厂房，集气罩收集，洒水抑尘</w:t>
            </w:r>
          </w:p>
        </w:tc>
        <w:tc>
          <w:tcPr>
            <w:tcW w:w="0" w:type="auto"/>
            <w:tcBorders>
              <w:tl2br w:val="nil"/>
              <w:tr2bl w:val="nil"/>
            </w:tcBorders>
            <w:noWrap w:val="0"/>
            <w:vAlign w:val="center"/>
          </w:tcPr>
          <w:p w14:paraId="06EFD189">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color w:val="auto"/>
                <w:sz w:val="21"/>
                <w:szCs w:val="21"/>
                <w:highlight w:val="none"/>
              </w:rPr>
            </w:pPr>
            <w:r>
              <w:rPr>
                <w:rFonts w:hint="eastAsia" w:cs="Times New Roman"/>
                <w:b w:val="0"/>
                <w:color w:val="auto"/>
                <w:kern w:val="0"/>
                <w:sz w:val="21"/>
                <w:szCs w:val="21"/>
                <w:highlight w:val="none"/>
                <w:lang w:val="en-US" w:eastAsia="zh-CN"/>
              </w:rPr>
              <w:t>90%</w:t>
            </w:r>
          </w:p>
        </w:tc>
        <w:tc>
          <w:tcPr>
            <w:tcW w:w="0" w:type="auto"/>
            <w:tcBorders>
              <w:tl2br w:val="nil"/>
              <w:tr2bl w:val="nil"/>
            </w:tcBorders>
            <w:noWrap w:val="0"/>
            <w:vAlign w:val="center"/>
          </w:tcPr>
          <w:p w14:paraId="0D94E000">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7029B34E">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c>
          <w:tcPr>
            <w:tcW w:w="0" w:type="auto"/>
            <w:tcBorders>
              <w:tl2br w:val="nil"/>
              <w:tr2bl w:val="nil"/>
            </w:tcBorders>
            <w:noWrap w:val="0"/>
            <w:vAlign w:val="center"/>
          </w:tcPr>
          <w:p w14:paraId="59A62316">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color w:val="auto"/>
                <w:kern w:val="0"/>
                <w:sz w:val="21"/>
                <w:szCs w:val="21"/>
                <w:highlight w:val="none"/>
                <w:lang w:val="en-US" w:eastAsia="zh-CN"/>
              </w:rPr>
              <w:t>0.375</w:t>
            </w:r>
          </w:p>
        </w:tc>
        <w:tc>
          <w:tcPr>
            <w:tcW w:w="0" w:type="auto"/>
            <w:gridSpan w:val="2"/>
            <w:tcBorders>
              <w:tl2br w:val="nil"/>
              <w:tr2bl w:val="nil"/>
            </w:tcBorders>
            <w:noWrap w:val="0"/>
            <w:vAlign w:val="center"/>
          </w:tcPr>
          <w:p w14:paraId="0992335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006D9C37">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0" w:type="auto"/>
            <w:tcBorders>
              <w:tl2br w:val="nil"/>
              <w:tr2bl w:val="nil"/>
            </w:tcBorders>
            <w:noWrap w:val="0"/>
            <w:vAlign w:val="center"/>
          </w:tcPr>
          <w:p w14:paraId="438F8EF9">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w:t>
            </w:r>
          </w:p>
        </w:tc>
      </w:tr>
      <w:tr w14:paraId="487E0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1BC3A44">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6DD97F3F">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破碎筛分</w:t>
            </w:r>
          </w:p>
          <w:p w14:paraId="35E4E13C">
            <w:pPr>
              <w:pStyle w:val="245"/>
              <w:spacing w:line="240" w:lineRule="auto"/>
              <w:jc w:val="center"/>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有</w:t>
            </w:r>
            <w:r>
              <w:rPr>
                <w:rFonts w:hint="eastAsia" w:ascii="Times New Roman" w:hAnsi="Times New Roman" w:cs="Times New Roman"/>
                <w:color w:val="auto"/>
                <w:sz w:val="21"/>
                <w:szCs w:val="21"/>
                <w:highlight w:val="none"/>
                <w:lang w:val="en-US" w:eastAsia="zh-CN"/>
              </w:rPr>
              <w:t>组织</w:t>
            </w:r>
          </w:p>
        </w:tc>
        <w:tc>
          <w:tcPr>
            <w:tcW w:w="0" w:type="auto"/>
            <w:tcBorders>
              <w:tl2br w:val="nil"/>
              <w:tr2bl w:val="nil"/>
            </w:tcBorders>
            <w:noWrap w:val="0"/>
            <w:vAlign w:val="center"/>
          </w:tcPr>
          <w:p w14:paraId="51A9EB3B">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0" w:type="auto"/>
            <w:tcBorders>
              <w:tl2br w:val="nil"/>
              <w:tr2bl w:val="nil"/>
            </w:tcBorders>
            <w:noWrap w:val="0"/>
            <w:vAlign w:val="center"/>
          </w:tcPr>
          <w:p w14:paraId="13B2F978">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b w:val="0"/>
                <w:color w:val="auto"/>
                <w:kern w:val="0"/>
                <w:sz w:val="21"/>
                <w:szCs w:val="21"/>
                <w:highlight w:val="none"/>
                <w:lang w:val="en-US" w:eastAsia="zh-CN"/>
              </w:rPr>
              <w:t>700</w:t>
            </w:r>
          </w:p>
        </w:tc>
        <w:tc>
          <w:tcPr>
            <w:tcW w:w="0" w:type="auto"/>
            <w:tcBorders>
              <w:tl2br w:val="nil"/>
              <w:tr2bl w:val="nil"/>
            </w:tcBorders>
            <w:noWrap w:val="0"/>
            <w:vAlign w:val="center"/>
          </w:tcPr>
          <w:p w14:paraId="621E7C9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b w:val="0"/>
                <w:color w:val="auto"/>
                <w:kern w:val="0"/>
                <w:sz w:val="21"/>
                <w:szCs w:val="21"/>
                <w:highlight w:val="none"/>
                <w:lang w:val="en-US" w:eastAsia="zh-CN"/>
              </w:rPr>
              <w:t>1.4</w:t>
            </w:r>
          </w:p>
        </w:tc>
        <w:tc>
          <w:tcPr>
            <w:tcW w:w="0" w:type="auto"/>
            <w:tcBorders>
              <w:tl2br w:val="nil"/>
              <w:tr2bl w:val="nil"/>
            </w:tcBorders>
            <w:noWrap w:val="0"/>
            <w:vAlign w:val="center"/>
          </w:tcPr>
          <w:p w14:paraId="7FC18CE9">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color w:val="auto"/>
                <w:sz w:val="21"/>
                <w:szCs w:val="21"/>
                <w:highlight w:val="none"/>
              </w:rPr>
            </w:pPr>
            <w:r>
              <w:rPr>
                <w:rFonts w:hint="eastAsia" w:cs="Times New Roman"/>
                <w:b w:val="0"/>
                <w:color w:val="auto"/>
                <w:kern w:val="0"/>
                <w:sz w:val="21"/>
                <w:szCs w:val="21"/>
                <w:highlight w:val="none"/>
                <w:lang w:val="en-US" w:eastAsia="zh-CN"/>
              </w:rPr>
              <w:t>3.375</w:t>
            </w:r>
          </w:p>
        </w:tc>
        <w:tc>
          <w:tcPr>
            <w:tcW w:w="0" w:type="auto"/>
            <w:tcBorders>
              <w:tl2br w:val="nil"/>
              <w:tr2bl w:val="nil"/>
            </w:tcBorders>
            <w:noWrap w:val="0"/>
            <w:vAlign w:val="center"/>
          </w:tcPr>
          <w:p w14:paraId="2183599A">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袋式除尘器</w:t>
            </w:r>
            <w:r>
              <w:rPr>
                <w:rFonts w:hint="eastAsia" w:ascii="Times New Roman" w:hAnsi="Times New Roman" w:cs="Times New Roman"/>
                <w:color w:val="auto"/>
                <w:sz w:val="21"/>
                <w:szCs w:val="21"/>
                <w:highlight w:val="none"/>
                <w:lang w:val="en-US" w:eastAsia="zh-CN"/>
              </w:rPr>
              <w:t>+15m排气筒</w:t>
            </w:r>
          </w:p>
        </w:tc>
        <w:tc>
          <w:tcPr>
            <w:tcW w:w="0" w:type="auto"/>
            <w:tcBorders>
              <w:tl2br w:val="nil"/>
              <w:tr2bl w:val="nil"/>
            </w:tcBorders>
            <w:noWrap w:val="0"/>
            <w:vAlign w:val="center"/>
          </w:tcPr>
          <w:p w14:paraId="53093D6D">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99%</w:t>
            </w:r>
          </w:p>
        </w:tc>
        <w:tc>
          <w:tcPr>
            <w:tcW w:w="0" w:type="auto"/>
            <w:tcBorders>
              <w:tl2br w:val="nil"/>
              <w:tr2bl w:val="nil"/>
            </w:tcBorders>
            <w:noWrap w:val="0"/>
            <w:vAlign w:val="center"/>
          </w:tcPr>
          <w:p w14:paraId="0F6ACB66">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b w:val="0"/>
                <w:color w:val="auto"/>
                <w:kern w:val="0"/>
                <w:sz w:val="21"/>
                <w:szCs w:val="21"/>
                <w:highlight w:val="none"/>
                <w:lang w:val="en-US" w:eastAsia="zh-CN"/>
              </w:rPr>
              <w:t>7.0</w:t>
            </w:r>
          </w:p>
        </w:tc>
        <w:tc>
          <w:tcPr>
            <w:tcW w:w="0" w:type="auto"/>
            <w:tcBorders>
              <w:tl2br w:val="nil"/>
              <w:tr2bl w:val="nil"/>
            </w:tcBorders>
            <w:noWrap w:val="0"/>
            <w:vAlign w:val="center"/>
          </w:tcPr>
          <w:p w14:paraId="4FD43DEB">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ascii="Times New Roman" w:hAnsi="Times New Roman" w:cs="Times New Roman"/>
                <w:b w:val="0"/>
                <w:color w:val="auto"/>
                <w:kern w:val="0"/>
                <w:sz w:val="21"/>
                <w:szCs w:val="21"/>
                <w:highlight w:val="none"/>
                <w:lang w:val="en-US" w:eastAsia="zh-CN"/>
              </w:rPr>
              <w:t>0.</w:t>
            </w:r>
            <w:r>
              <w:rPr>
                <w:rFonts w:hint="eastAsia" w:cs="Times New Roman"/>
                <w:b w:val="0"/>
                <w:color w:val="auto"/>
                <w:kern w:val="0"/>
                <w:sz w:val="21"/>
                <w:szCs w:val="21"/>
                <w:highlight w:val="none"/>
                <w:lang w:val="en-US" w:eastAsia="zh-CN"/>
              </w:rPr>
              <w:t>014</w:t>
            </w:r>
          </w:p>
        </w:tc>
        <w:tc>
          <w:tcPr>
            <w:tcW w:w="0" w:type="auto"/>
            <w:tcBorders>
              <w:tl2br w:val="nil"/>
              <w:tr2bl w:val="nil"/>
            </w:tcBorders>
            <w:noWrap w:val="0"/>
            <w:vAlign w:val="center"/>
          </w:tcPr>
          <w:p w14:paraId="715DAA39">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b w:val="0"/>
                <w:color w:val="auto"/>
                <w:kern w:val="0"/>
                <w:sz w:val="21"/>
                <w:szCs w:val="21"/>
                <w:highlight w:val="none"/>
                <w:lang w:val="en-US" w:eastAsia="zh-CN"/>
              </w:rPr>
              <w:t>0.034</w:t>
            </w:r>
          </w:p>
        </w:tc>
        <w:tc>
          <w:tcPr>
            <w:tcW w:w="0" w:type="auto"/>
            <w:tcBorders>
              <w:tl2br w:val="nil"/>
              <w:tr2bl w:val="nil"/>
            </w:tcBorders>
            <w:noWrap w:val="0"/>
            <w:vAlign w:val="center"/>
          </w:tcPr>
          <w:p w14:paraId="14EBA340">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w:t>
            </w:r>
          </w:p>
        </w:tc>
        <w:tc>
          <w:tcPr>
            <w:tcW w:w="0" w:type="auto"/>
            <w:tcBorders>
              <w:tl2br w:val="nil"/>
              <w:tr2bl w:val="nil"/>
            </w:tcBorders>
            <w:noWrap w:val="0"/>
            <w:vAlign w:val="center"/>
          </w:tcPr>
          <w:p w14:paraId="5486730F">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0" w:type="auto"/>
            <w:tcBorders>
              <w:tl2br w:val="nil"/>
              <w:tr2bl w:val="nil"/>
            </w:tcBorders>
            <w:noWrap w:val="0"/>
            <w:vAlign w:val="center"/>
          </w:tcPr>
          <w:p w14:paraId="736B37D8">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w:t>
            </w:r>
          </w:p>
        </w:tc>
      </w:tr>
      <w:tr w14:paraId="367B5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A834C14">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0B9E18B9">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精矿粉库</w:t>
            </w:r>
          </w:p>
        </w:tc>
        <w:tc>
          <w:tcPr>
            <w:tcW w:w="0" w:type="auto"/>
            <w:tcBorders>
              <w:tl2br w:val="nil"/>
              <w:tr2bl w:val="nil"/>
            </w:tcBorders>
            <w:noWrap w:val="0"/>
            <w:vAlign w:val="center"/>
          </w:tcPr>
          <w:p w14:paraId="3135BA67">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0" w:type="auto"/>
            <w:tcBorders>
              <w:tl2br w:val="nil"/>
              <w:tr2bl w:val="nil"/>
            </w:tcBorders>
            <w:noWrap w:val="0"/>
            <w:vAlign w:val="center"/>
          </w:tcPr>
          <w:p w14:paraId="30A7C848">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724BB22E">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75FA6D93">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156E664B">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全封闭库房，洒水抑尘</w:t>
            </w:r>
          </w:p>
        </w:tc>
        <w:tc>
          <w:tcPr>
            <w:tcW w:w="0" w:type="auto"/>
            <w:tcBorders>
              <w:tl2br w:val="nil"/>
              <w:tr2bl w:val="nil"/>
            </w:tcBorders>
            <w:noWrap w:val="0"/>
            <w:vAlign w:val="center"/>
          </w:tcPr>
          <w:p w14:paraId="35A1187B">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0" w:type="auto"/>
            <w:tcBorders>
              <w:tl2br w:val="nil"/>
              <w:tr2bl w:val="nil"/>
            </w:tcBorders>
            <w:noWrap w:val="0"/>
            <w:vAlign w:val="center"/>
          </w:tcPr>
          <w:p w14:paraId="11EDD633">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6F11131F">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30209ADA">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极少</w:t>
            </w:r>
          </w:p>
        </w:tc>
        <w:tc>
          <w:tcPr>
            <w:tcW w:w="0" w:type="auto"/>
            <w:gridSpan w:val="2"/>
            <w:tcBorders>
              <w:tl2br w:val="nil"/>
              <w:tr2bl w:val="nil"/>
            </w:tcBorders>
            <w:noWrap w:val="0"/>
            <w:vAlign w:val="center"/>
          </w:tcPr>
          <w:p w14:paraId="4D863194">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46053662">
            <w:pPr>
              <w:pStyle w:val="245"/>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0" w:type="auto"/>
            <w:tcBorders>
              <w:tl2br w:val="nil"/>
              <w:tr2bl w:val="nil"/>
            </w:tcBorders>
            <w:noWrap w:val="0"/>
            <w:vAlign w:val="center"/>
          </w:tcPr>
          <w:p w14:paraId="20814215">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1B720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534C863A">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26888D41">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尾矿砂库</w:t>
            </w:r>
          </w:p>
        </w:tc>
        <w:tc>
          <w:tcPr>
            <w:tcW w:w="0" w:type="auto"/>
            <w:tcBorders>
              <w:tl2br w:val="nil"/>
              <w:tr2bl w:val="nil"/>
            </w:tcBorders>
            <w:noWrap w:val="0"/>
            <w:vAlign w:val="center"/>
          </w:tcPr>
          <w:p w14:paraId="761AE8FF">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0" w:type="auto"/>
            <w:tcBorders>
              <w:tl2br w:val="nil"/>
              <w:tr2bl w:val="nil"/>
            </w:tcBorders>
            <w:noWrap w:val="0"/>
            <w:vAlign w:val="center"/>
          </w:tcPr>
          <w:p w14:paraId="280AB8FA">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18ED0AEC">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404A858F">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29D76CE8">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全封闭库房，洒水抑尘</w:t>
            </w:r>
          </w:p>
        </w:tc>
        <w:tc>
          <w:tcPr>
            <w:tcW w:w="0" w:type="auto"/>
            <w:tcBorders>
              <w:tl2br w:val="nil"/>
              <w:tr2bl w:val="nil"/>
            </w:tcBorders>
            <w:noWrap w:val="0"/>
            <w:vAlign w:val="center"/>
          </w:tcPr>
          <w:p w14:paraId="5DD6A4C5">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0" w:type="auto"/>
            <w:tcBorders>
              <w:tl2br w:val="nil"/>
              <w:tr2bl w:val="nil"/>
            </w:tcBorders>
            <w:noWrap w:val="0"/>
            <w:vAlign w:val="center"/>
          </w:tcPr>
          <w:p w14:paraId="6CD05274">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6922B24C">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w:t>
            </w:r>
          </w:p>
        </w:tc>
        <w:tc>
          <w:tcPr>
            <w:tcW w:w="0" w:type="auto"/>
            <w:tcBorders>
              <w:tl2br w:val="nil"/>
              <w:tr2bl w:val="nil"/>
            </w:tcBorders>
            <w:noWrap w:val="0"/>
            <w:vAlign w:val="center"/>
          </w:tcPr>
          <w:p w14:paraId="2C38356A">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cs="Times New Roman"/>
                <w:b w:val="0"/>
                <w:color w:val="auto"/>
                <w:kern w:val="0"/>
                <w:sz w:val="21"/>
                <w:szCs w:val="21"/>
                <w:highlight w:val="none"/>
                <w:lang w:val="en-US" w:eastAsia="zh-CN"/>
              </w:rPr>
            </w:pPr>
            <w:r>
              <w:rPr>
                <w:rFonts w:hint="eastAsia" w:cs="Times New Roman"/>
                <w:b w:val="0"/>
                <w:color w:val="auto"/>
                <w:kern w:val="0"/>
                <w:sz w:val="21"/>
                <w:szCs w:val="21"/>
                <w:highlight w:val="none"/>
                <w:lang w:val="en-US" w:eastAsia="zh-CN"/>
              </w:rPr>
              <w:t>极少</w:t>
            </w:r>
          </w:p>
        </w:tc>
        <w:tc>
          <w:tcPr>
            <w:tcW w:w="0" w:type="auto"/>
            <w:gridSpan w:val="2"/>
            <w:tcBorders>
              <w:tl2br w:val="nil"/>
              <w:tr2bl w:val="nil"/>
            </w:tcBorders>
            <w:noWrap w:val="0"/>
            <w:vAlign w:val="center"/>
          </w:tcPr>
          <w:p w14:paraId="65AF1AE8">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cs="Times New Roman"/>
                <w:b w:val="0"/>
                <w:color w:val="auto"/>
                <w:kern w:val="0"/>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周界外最高浓度</w:t>
            </w:r>
          </w:p>
          <w:p w14:paraId="27751E82">
            <w:pPr>
              <w:pStyle w:val="245"/>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color w:val="auto"/>
                <w:kern w:val="0"/>
                <w:sz w:val="21"/>
                <w:szCs w:val="21"/>
                <w:highlight w:val="none"/>
                <w:lang w:val="en-US" w:eastAsia="zh-CN"/>
              </w:rPr>
              <w:t>1.0mg/m</w:t>
            </w:r>
            <w:r>
              <w:rPr>
                <w:rFonts w:hint="eastAsia" w:ascii="Times New Roman" w:hAnsi="Times New Roman" w:cs="Times New Roman"/>
                <w:b w:val="0"/>
                <w:color w:val="auto"/>
                <w:kern w:val="0"/>
                <w:sz w:val="21"/>
                <w:szCs w:val="21"/>
                <w:highlight w:val="none"/>
                <w:vertAlign w:val="superscript"/>
                <w:lang w:val="en-US" w:eastAsia="zh-CN"/>
              </w:rPr>
              <w:t>3</w:t>
            </w:r>
          </w:p>
        </w:tc>
        <w:tc>
          <w:tcPr>
            <w:tcW w:w="0" w:type="auto"/>
            <w:tcBorders>
              <w:tl2br w:val="nil"/>
              <w:tr2bl w:val="nil"/>
            </w:tcBorders>
            <w:noWrap w:val="0"/>
            <w:vAlign w:val="center"/>
          </w:tcPr>
          <w:p w14:paraId="414B17FA">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4EF52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035DD21D">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类别</w:t>
            </w:r>
          </w:p>
        </w:tc>
        <w:tc>
          <w:tcPr>
            <w:tcW w:w="0" w:type="auto"/>
            <w:gridSpan w:val="2"/>
            <w:tcBorders>
              <w:tl2br w:val="nil"/>
              <w:tr2bl w:val="nil"/>
            </w:tcBorders>
            <w:noWrap w:val="0"/>
            <w:vAlign w:val="center"/>
          </w:tcPr>
          <w:p w14:paraId="7B3B5267">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污染源</w:t>
            </w:r>
          </w:p>
        </w:tc>
        <w:tc>
          <w:tcPr>
            <w:tcW w:w="0" w:type="auto"/>
            <w:gridSpan w:val="3"/>
            <w:tcBorders>
              <w:tl2br w:val="nil"/>
              <w:tr2bl w:val="nil"/>
            </w:tcBorders>
            <w:noWrap w:val="0"/>
            <w:vAlign w:val="center"/>
          </w:tcPr>
          <w:p w14:paraId="50B99D39">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产生量（m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/a）</w:t>
            </w:r>
          </w:p>
        </w:tc>
        <w:tc>
          <w:tcPr>
            <w:tcW w:w="0" w:type="auto"/>
            <w:gridSpan w:val="2"/>
            <w:tcBorders>
              <w:tl2br w:val="nil"/>
              <w:tr2bl w:val="nil"/>
            </w:tcBorders>
            <w:noWrap w:val="0"/>
            <w:vAlign w:val="center"/>
          </w:tcPr>
          <w:p w14:paraId="0A700C80">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治理措施</w:t>
            </w:r>
          </w:p>
        </w:tc>
        <w:tc>
          <w:tcPr>
            <w:tcW w:w="0" w:type="auto"/>
            <w:gridSpan w:val="3"/>
            <w:tcBorders>
              <w:tl2br w:val="nil"/>
              <w:tr2bl w:val="nil"/>
            </w:tcBorders>
            <w:noWrap w:val="0"/>
            <w:vAlign w:val="center"/>
          </w:tcPr>
          <w:p w14:paraId="746573B7">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排放量（m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/a）</w:t>
            </w:r>
          </w:p>
        </w:tc>
        <w:tc>
          <w:tcPr>
            <w:tcW w:w="0" w:type="auto"/>
            <w:gridSpan w:val="2"/>
            <w:tcBorders>
              <w:tl2br w:val="nil"/>
              <w:tr2bl w:val="nil"/>
            </w:tcBorders>
            <w:noWrap w:val="0"/>
            <w:vAlign w:val="center"/>
          </w:tcPr>
          <w:p w14:paraId="45650059">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执行标准</w:t>
            </w:r>
          </w:p>
        </w:tc>
        <w:tc>
          <w:tcPr>
            <w:tcW w:w="0" w:type="auto"/>
            <w:tcBorders>
              <w:tl2br w:val="nil"/>
              <w:tr2bl w:val="nil"/>
            </w:tcBorders>
            <w:noWrap w:val="0"/>
            <w:vAlign w:val="center"/>
          </w:tcPr>
          <w:p w14:paraId="3B7F5A4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排放去向</w:t>
            </w:r>
          </w:p>
        </w:tc>
      </w:tr>
      <w:tr w14:paraId="7DDFD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60CAF368">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废水</w:t>
            </w:r>
          </w:p>
        </w:tc>
        <w:tc>
          <w:tcPr>
            <w:tcW w:w="0" w:type="auto"/>
            <w:gridSpan w:val="2"/>
            <w:tcBorders>
              <w:tl2br w:val="nil"/>
              <w:tr2bl w:val="nil"/>
            </w:tcBorders>
            <w:noWrap w:val="0"/>
            <w:vAlign w:val="center"/>
          </w:tcPr>
          <w:p w14:paraId="4B95D50B">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选矿循环水</w:t>
            </w:r>
          </w:p>
        </w:tc>
        <w:tc>
          <w:tcPr>
            <w:tcW w:w="0" w:type="auto"/>
            <w:gridSpan w:val="3"/>
            <w:tcBorders>
              <w:tl2br w:val="nil"/>
              <w:tr2bl w:val="nil"/>
            </w:tcBorders>
            <w:noWrap w:val="0"/>
            <w:vAlign w:val="center"/>
          </w:tcPr>
          <w:p w14:paraId="6B59020A">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375000</w:t>
            </w:r>
          </w:p>
        </w:tc>
        <w:tc>
          <w:tcPr>
            <w:tcW w:w="0" w:type="auto"/>
            <w:gridSpan w:val="2"/>
            <w:tcBorders>
              <w:tl2br w:val="nil"/>
              <w:tr2bl w:val="nil"/>
            </w:tcBorders>
            <w:noWrap w:val="0"/>
            <w:vAlign w:val="center"/>
          </w:tcPr>
          <w:p w14:paraId="3001608D">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浓密罐沉淀的上清液以及压滤机压滤沉淀后收集于循环水池，后回用于生产，形成闭路循环，不外排。</w:t>
            </w:r>
          </w:p>
        </w:tc>
        <w:tc>
          <w:tcPr>
            <w:tcW w:w="0" w:type="auto"/>
            <w:gridSpan w:val="3"/>
            <w:tcBorders>
              <w:tl2br w:val="nil"/>
              <w:tr2bl w:val="nil"/>
            </w:tcBorders>
            <w:noWrap w:val="0"/>
            <w:vAlign w:val="center"/>
          </w:tcPr>
          <w:p w14:paraId="43F25E9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0" w:type="auto"/>
            <w:gridSpan w:val="2"/>
            <w:tcBorders>
              <w:tl2br w:val="nil"/>
              <w:tr2bl w:val="nil"/>
            </w:tcBorders>
            <w:noWrap w:val="0"/>
            <w:vAlign w:val="center"/>
          </w:tcPr>
          <w:p w14:paraId="5816280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w:t>
            </w:r>
          </w:p>
        </w:tc>
        <w:tc>
          <w:tcPr>
            <w:tcW w:w="0" w:type="auto"/>
            <w:vMerge w:val="restart"/>
            <w:tcBorders>
              <w:tl2br w:val="nil"/>
              <w:tr2bl w:val="nil"/>
            </w:tcBorders>
            <w:noWrap w:val="0"/>
            <w:vAlign w:val="center"/>
          </w:tcPr>
          <w:p w14:paraId="3CADF745">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不外排</w:t>
            </w:r>
          </w:p>
        </w:tc>
      </w:tr>
      <w:tr w14:paraId="172B0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9EF4A7D">
            <w:pPr>
              <w:pStyle w:val="245"/>
              <w:spacing w:line="240" w:lineRule="auto"/>
              <w:jc w:val="center"/>
              <w:rPr>
                <w:rFonts w:hint="eastAsia" w:ascii="Times New Roman" w:hAnsi="Times New Roman" w:cs="Times New Roman"/>
                <w:color w:val="auto"/>
                <w:sz w:val="21"/>
                <w:szCs w:val="21"/>
                <w:highlight w:val="none"/>
              </w:rPr>
            </w:pPr>
          </w:p>
        </w:tc>
        <w:tc>
          <w:tcPr>
            <w:tcW w:w="0" w:type="auto"/>
            <w:gridSpan w:val="2"/>
            <w:tcBorders>
              <w:tl2br w:val="nil"/>
              <w:tr2bl w:val="nil"/>
            </w:tcBorders>
            <w:noWrap w:val="0"/>
            <w:vAlign w:val="center"/>
          </w:tcPr>
          <w:p w14:paraId="0AA08714">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生活污水</w:t>
            </w:r>
          </w:p>
        </w:tc>
        <w:tc>
          <w:tcPr>
            <w:tcW w:w="0" w:type="auto"/>
            <w:gridSpan w:val="3"/>
            <w:tcBorders>
              <w:tl2br w:val="nil"/>
              <w:tr2bl w:val="nil"/>
            </w:tcBorders>
            <w:noWrap w:val="0"/>
            <w:vAlign w:val="center"/>
          </w:tcPr>
          <w:p w14:paraId="1ECD59CE">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432</w:t>
            </w:r>
          </w:p>
        </w:tc>
        <w:tc>
          <w:tcPr>
            <w:tcW w:w="0" w:type="auto"/>
            <w:gridSpan w:val="2"/>
            <w:tcBorders>
              <w:tl2br w:val="nil"/>
              <w:tr2bl w:val="nil"/>
            </w:tcBorders>
            <w:noWrap w:val="0"/>
            <w:vAlign w:val="center"/>
          </w:tcPr>
          <w:p w14:paraId="7BCC5AC1">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依托盟东水泥厂办公区现有化粪池收集处理，再定期拉运至诺尔镇污水处理厂处理。</w:t>
            </w:r>
          </w:p>
        </w:tc>
        <w:tc>
          <w:tcPr>
            <w:tcW w:w="0" w:type="auto"/>
            <w:gridSpan w:val="3"/>
            <w:tcBorders>
              <w:tl2br w:val="nil"/>
              <w:tr2bl w:val="nil"/>
            </w:tcBorders>
            <w:noWrap w:val="0"/>
            <w:vAlign w:val="center"/>
          </w:tcPr>
          <w:p w14:paraId="10403F0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0" w:type="auto"/>
            <w:gridSpan w:val="2"/>
            <w:tcBorders>
              <w:tl2br w:val="nil"/>
              <w:tr2bl w:val="nil"/>
            </w:tcBorders>
            <w:noWrap w:val="0"/>
            <w:vAlign w:val="center"/>
          </w:tcPr>
          <w:p w14:paraId="4018DBFA">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zh-CN"/>
              </w:rPr>
              <w:t>《污水综合排放标准》（GB8978-1996）三级标准</w:t>
            </w:r>
          </w:p>
        </w:tc>
        <w:tc>
          <w:tcPr>
            <w:tcW w:w="0" w:type="auto"/>
            <w:vMerge w:val="continue"/>
            <w:tcBorders>
              <w:tl2br w:val="nil"/>
              <w:tr2bl w:val="nil"/>
            </w:tcBorders>
            <w:noWrap w:val="0"/>
            <w:vAlign w:val="center"/>
          </w:tcPr>
          <w:p w14:paraId="7398445C">
            <w:pPr>
              <w:pStyle w:val="245"/>
              <w:spacing w:line="240" w:lineRule="auto"/>
              <w:jc w:val="center"/>
              <w:rPr>
                <w:rFonts w:hint="eastAsia" w:ascii="Times New Roman" w:hAnsi="Times New Roman" w:cs="Times New Roman"/>
                <w:color w:val="auto"/>
                <w:sz w:val="21"/>
                <w:szCs w:val="21"/>
                <w:highlight w:val="none"/>
              </w:rPr>
            </w:pPr>
          </w:p>
        </w:tc>
      </w:tr>
      <w:tr w14:paraId="3230D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0C6DD77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类别</w:t>
            </w:r>
          </w:p>
        </w:tc>
        <w:tc>
          <w:tcPr>
            <w:tcW w:w="0" w:type="auto"/>
            <w:tcBorders>
              <w:tl2br w:val="nil"/>
              <w:tr2bl w:val="nil"/>
            </w:tcBorders>
            <w:noWrap w:val="0"/>
            <w:vAlign w:val="center"/>
          </w:tcPr>
          <w:p w14:paraId="7AE54D3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污染物</w:t>
            </w:r>
          </w:p>
        </w:tc>
        <w:tc>
          <w:tcPr>
            <w:tcW w:w="0" w:type="auto"/>
            <w:gridSpan w:val="2"/>
            <w:tcBorders>
              <w:tl2br w:val="nil"/>
              <w:tr2bl w:val="nil"/>
            </w:tcBorders>
            <w:noWrap w:val="0"/>
            <w:vAlign w:val="center"/>
          </w:tcPr>
          <w:p w14:paraId="40108E3C">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属性</w:t>
            </w:r>
          </w:p>
        </w:tc>
        <w:tc>
          <w:tcPr>
            <w:tcW w:w="0" w:type="auto"/>
            <w:gridSpan w:val="2"/>
            <w:tcBorders>
              <w:tl2br w:val="nil"/>
              <w:tr2bl w:val="nil"/>
            </w:tcBorders>
            <w:noWrap w:val="0"/>
            <w:vAlign w:val="center"/>
          </w:tcPr>
          <w:p w14:paraId="691C0CE9">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产生量（t/a）</w:t>
            </w:r>
          </w:p>
        </w:tc>
        <w:tc>
          <w:tcPr>
            <w:tcW w:w="0" w:type="auto"/>
            <w:gridSpan w:val="2"/>
            <w:tcBorders>
              <w:tl2br w:val="nil"/>
              <w:tr2bl w:val="nil"/>
            </w:tcBorders>
            <w:noWrap w:val="0"/>
            <w:vAlign w:val="center"/>
          </w:tcPr>
          <w:p w14:paraId="4B3BB6F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治理措施</w:t>
            </w:r>
          </w:p>
        </w:tc>
        <w:tc>
          <w:tcPr>
            <w:tcW w:w="0" w:type="auto"/>
            <w:gridSpan w:val="3"/>
            <w:tcBorders>
              <w:tl2br w:val="nil"/>
              <w:tr2bl w:val="nil"/>
            </w:tcBorders>
            <w:noWrap w:val="0"/>
            <w:vAlign w:val="center"/>
          </w:tcPr>
          <w:p w14:paraId="4D4EEB2F">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排放量（t/a）</w:t>
            </w:r>
          </w:p>
        </w:tc>
        <w:tc>
          <w:tcPr>
            <w:tcW w:w="0" w:type="auto"/>
            <w:gridSpan w:val="3"/>
            <w:tcBorders>
              <w:tl2br w:val="nil"/>
              <w:tr2bl w:val="nil"/>
            </w:tcBorders>
            <w:noWrap w:val="0"/>
            <w:vAlign w:val="center"/>
          </w:tcPr>
          <w:p w14:paraId="4484DE71">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排放去向</w:t>
            </w:r>
          </w:p>
        </w:tc>
      </w:tr>
      <w:tr w14:paraId="52DA4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32EEEAAD">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固体废物</w:t>
            </w:r>
          </w:p>
        </w:tc>
        <w:tc>
          <w:tcPr>
            <w:tcW w:w="0" w:type="auto"/>
            <w:tcBorders>
              <w:tl2br w:val="nil"/>
              <w:tr2bl w:val="nil"/>
            </w:tcBorders>
            <w:noWrap w:val="0"/>
            <w:vAlign w:val="center"/>
          </w:tcPr>
          <w:p w14:paraId="7594A3FC">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除尘灰</w:t>
            </w:r>
          </w:p>
        </w:tc>
        <w:tc>
          <w:tcPr>
            <w:tcW w:w="0" w:type="auto"/>
            <w:gridSpan w:val="2"/>
            <w:tcBorders>
              <w:tl2br w:val="nil"/>
              <w:tr2bl w:val="nil"/>
            </w:tcBorders>
            <w:noWrap w:val="0"/>
            <w:vAlign w:val="center"/>
          </w:tcPr>
          <w:p w14:paraId="5EDB44E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一般</w:t>
            </w:r>
            <w:r>
              <w:rPr>
                <w:rFonts w:hint="eastAsia" w:ascii="Times New Roman" w:hAnsi="Times New Roman" w:cs="Times New Roman"/>
                <w:color w:val="auto"/>
                <w:sz w:val="21"/>
                <w:szCs w:val="21"/>
                <w:highlight w:val="none"/>
                <w:lang w:val="en-US" w:eastAsia="zh-CN"/>
              </w:rPr>
              <w:t>工业</w:t>
            </w:r>
            <w:r>
              <w:rPr>
                <w:rFonts w:hint="eastAsia" w:ascii="Times New Roman" w:hAnsi="Times New Roman" w:cs="Times New Roman"/>
                <w:color w:val="auto"/>
                <w:sz w:val="21"/>
                <w:szCs w:val="21"/>
                <w:highlight w:val="none"/>
              </w:rPr>
              <w:t>固废</w:t>
            </w:r>
          </w:p>
        </w:tc>
        <w:tc>
          <w:tcPr>
            <w:tcW w:w="0" w:type="auto"/>
            <w:gridSpan w:val="2"/>
            <w:tcBorders>
              <w:tl2br w:val="nil"/>
              <w:tr2bl w:val="nil"/>
            </w:tcBorders>
            <w:noWrap w:val="0"/>
            <w:vAlign w:val="center"/>
          </w:tcPr>
          <w:p w14:paraId="37301074">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3.34</w:t>
            </w:r>
          </w:p>
        </w:tc>
        <w:tc>
          <w:tcPr>
            <w:tcW w:w="0" w:type="auto"/>
            <w:gridSpan w:val="2"/>
            <w:tcBorders>
              <w:tl2br w:val="nil"/>
              <w:tr2bl w:val="nil"/>
            </w:tcBorders>
            <w:noWrap w:val="0"/>
            <w:vAlign w:val="center"/>
          </w:tcPr>
          <w:p w14:paraId="5D4128F4">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收集后全部回用于</w:t>
            </w:r>
            <w:r>
              <w:rPr>
                <w:rFonts w:hint="eastAsia" w:ascii="Times New Roman" w:hAnsi="Times New Roman" w:cs="Times New Roman"/>
                <w:color w:val="auto"/>
                <w:sz w:val="21"/>
                <w:szCs w:val="21"/>
                <w:highlight w:val="none"/>
                <w:lang w:val="en-US" w:eastAsia="zh-CN"/>
              </w:rPr>
              <w:t>球磨、浮现</w:t>
            </w:r>
            <w:r>
              <w:rPr>
                <w:rFonts w:hint="eastAsia" w:ascii="Times New Roman" w:hAnsi="Times New Roman" w:cs="Times New Roman"/>
                <w:color w:val="auto"/>
                <w:sz w:val="21"/>
                <w:szCs w:val="21"/>
                <w:highlight w:val="none"/>
              </w:rPr>
              <w:t>工序</w:t>
            </w:r>
            <w:r>
              <w:rPr>
                <w:rFonts w:hint="eastAsia" w:cs="Times New Roman"/>
                <w:color w:val="auto"/>
                <w:sz w:val="21"/>
                <w:szCs w:val="21"/>
                <w:highlight w:val="none"/>
                <w:lang w:eastAsia="zh-CN"/>
              </w:rPr>
              <w:t>。</w:t>
            </w:r>
          </w:p>
        </w:tc>
        <w:tc>
          <w:tcPr>
            <w:tcW w:w="0" w:type="auto"/>
            <w:gridSpan w:val="3"/>
            <w:tcBorders>
              <w:tl2br w:val="nil"/>
              <w:tr2bl w:val="nil"/>
            </w:tcBorders>
            <w:noWrap w:val="0"/>
            <w:vAlign w:val="center"/>
          </w:tcPr>
          <w:p w14:paraId="64991A88">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w:t>
            </w:r>
          </w:p>
        </w:tc>
        <w:tc>
          <w:tcPr>
            <w:tcW w:w="0" w:type="auto"/>
            <w:gridSpan w:val="3"/>
            <w:vMerge w:val="restart"/>
            <w:tcBorders>
              <w:tl2br w:val="nil"/>
              <w:tr2bl w:val="nil"/>
            </w:tcBorders>
            <w:noWrap w:val="0"/>
            <w:vAlign w:val="center"/>
          </w:tcPr>
          <w:p w14:paraId="67C0C449">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资源化利用或合理处置</w:t>
            </w:r>
          </w:p>
        </w:tc>
      </w:tr>
      <w:tr w14:paraId="50E41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2F81C8AD">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61B6089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废钢球</w:t>
            </w:r>
          </w:p>
        </w:tc>
        <w:tc>
          <w:tcPr>
            <w:tcW w:w="0" w:type="auto"/>
            <w:gridSpan w:val="2"/>
            <w:tcBorders>
              <w:tl2br w:val="nil"/>
              <w:tr2bl w:val="nil"/>
            </w:tcBorders>
            <w:noWrap w:val="0"/>
            <w:vAlign w:val="center"/>
          </w:tcPr>
          <w:p w14:paraId="739401FB">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一般</w:t>
            </w:r>
            <w:r>
              <w:rPr>
                <w:rFonts w:hint="eastAsia" w:ascii="Times New Roman" w:hAnsi="Times New Roman" w:cs="Times New Roman"/>
                <w:color w:val="auto"/>
                <w:sz w:val="21"/>
                <w:szCs w:val="21"/>
                <w:highlight w:val="none"/>
                <w:lang w:val="en-US" w:eastAsia="zh-CN"/>
              </w:rPr>
              <w:t>工业</w:t>
            </w:r>
            <w:r>
              <w:rPr>
                <w:rFonts w:hint="eastAsia" w:ascii="Times New Roman" w:hAnsi="Times New Roman" w:cs="Times New Roman"/>
                <w:color w:val="auto"/>
                <w:sz w:val="21"/>
                <w:szCs w:val="21"/>
                <w:highlight w:val="none"/>
              </w:rPr>
              <w:t>固废</w:t>
            </w:r>
          </w:p>
        </w:tc>
        <w:tc>
          <w:tcPr>
            <w:tcW w:w="0" w:type="auto"/>
            <w:gridSpan w:val="2"/>
            <w:tcBorders>
              <w:tl2br w:val="nil"/>
              <w:tr2bl w:val="nil"/>
            </w:tcBorders>
            <w:noWrap w:val="0"/>
            <w:vAlign w:val="center"/>
          </w:tcPr>
          <w:p w14:paraId="00B4EA4E">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w:t>
            </w:r>
          </w:p>
        </w:tc>
        <w:tc>
          <w:tcPr>
            <w:tcW w:w="0" w:type="auto"/>
            <w:gridSpan w:val="2"/>
            <w:tcBorders>
              <w:tl2br w:val="nil"/>
              <w:tr2bl w:val="nil"/>
            </w:tcBorders>
            <w:noWrap w:val="0"/>
            <w:vAlign w:val="center"/>
          </w:tcPr>
          <w:p w14:paraId="2523F96D">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更换下废钢球不落地，供应商回收利用</w:t>
            </w:r>
            <w:r>
              <w:rPr>
                <w:rFonts w:hint="eastAsia" w:cs="Times New Roman"/>
                <w:color w:val="auto"/>
                <w:sz w:val="21"/>
                <w:szCs w:val="21"/>
                <w:highlight w:val="none"/>
                <w:lang w:val="en-US" w:eastAsia="zh-CN"/>
              </w:rPr>
              <w:t>。</w:t>
            </w:r>
          </w:p>
        </w:tc>
        <w:tc>
          <w:tcPr>
            <w:tcW w:w="0" w:type="auto"/>
            <w:gridSpan w:val="3"/>
            <w:tcBorders>
              <w:tl2br w:val="nil"/>
              <w:tr2bl w:val="nil"/>
            </w:tcBorders>
            <w:noWrap w:val="0"/>
            <w:vAlign w:val="center"/>
          </w:tcPr>
          <w:p w14:paraId="615D7DFA">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0" w:type="auto"/>
            <w:gridSpan w:val="3"/>
            <w:vMerge w:val="continue"/>
            <w:tcBorders>
              <w:tl2br w:val="nil"/>
              <w:tr2bl w:val="nil"/>
            </w:tcBorders>
            <w:noWrap w:val="0"/>
            <w:vAlign w:val="center"/>
          </w:tcPr>
          <w:p w14:paraId="793CC1CD">
            <w:pPr>
              <w:pStyle w:val="245"/>
              <w:spacing w:line="240" w:lineRule="auto"/>
              <w:jc w:val="center"/>
              <w:rPr>
                <w:rFonts w:hint="eastAsia" w:ascii="Times New Roman" w:hAnsi="Times New Roman" w:cs="Times New Roman"/>
                <w:color w:val="auto"/>
                <w:sz w:val="21"/>
                <w:szCs w:val="21"/>
                <w:highlight w:val="none"/>
              </w:rPr>
            </w:pPr>
          </w:p>
        </w:tc>
      </w:tr>
      <w:tr w14:paraId="45FBE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238D8F8F">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091F8DA0">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尾</w:t>
            </w:r>
            <w:r>
              <w:rPr>
                <w:rFonts w:hint="eastAsia" w:ascii="Times New Roman" w:hAnsi="Times New Roman" w:cs="Times New Roman"/>
                <w:color w:val="auto"/>
                <w:sz w:val="21"/>
                <w:szCs w:val="21"/>
                <w:highlight w:val="none"/>
                <w:lang w:val="en-US" w:eastAsia="zh-CN"/>
              </w:rPr>
              <w:t>矿</w:t>
            </w:r>
            <w:r>
              <w:rPr>
                <w:rFonts w:hint="eastAsia" w:ascii="Times New Roman" w:hAnsi="Times New Roman" w:cs="Times New Roman"/>
                <w:color w:val="auto"/>
                <w:sz w:val="21"/>
                <w:szCs w:val="21"/>
                <w:highlight w:val="none"/>
              </w:rPr>
              <w:t>砂</w:t>
            </w:r>
          </w:p>
        </w:tc>
        <w:tc>
          <w:tcPr>
            <w:tcW w:w="0" w:type="auto"/>
            <w:gridSpan w:val="2"/>
            <w:tcBorders>
              <w:tl2br w:val="nil"/>
              <w:tr2bl w:val="nil"/>
            </w:tcBorders>
            <w:noWrap w:val="0"/>
            <w:vAlign w:val="center"/>
          </w:tcPr>
          <w:p w14:paraId="7E331A6C">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一般</w:t>
            </w:r>
            <w:r>
              <w:rPr>
                <w:rFonts w:hint="eastAsia" w:ascii="Times New Roman" w:hAnsi="Times New Roman" w:cs="Times New Roman"/>
                <w:color w:val="auto"/>
                <w:sz w:val="21"/>
                <w:szCs w:val="21"/>
                <w:highlight w:val="none"/>
                <w:lang w:val="en-US" w:eastAsia="zh-CN"/>
              </w:rPr>
              <w:t>工业</w:t>
            </w:r>
            <w:r>
              <w:rPr>
                <w:rFonts w:hint="eastAsia" w:ascii="Times New Roman" w:hAnsi="Times New Roman" w:cs="Times New Roman"/>
                <w:color w:val="auto"/>
                <w:sz w:val="21"/>
                <w:szCs w:val="21"/>
                <w:highlight w:val="none"/>
              </w:rPr>
              <w:t>固废</w:t>
            </w:r>
          </w:p>
        </w:tc>
        <w:tc>
          <w:tcPr>
            <w:tcW w:w="0" w:type="auto"/>
            <w:gridSpan w:val="2"/>
            <w:tcBorders>
              <w:tl2br w:val="nil"/>
              <w:tr2bl w:val="nil"/>
            </w:tcBorders>
            <w:noWrap w:val="0"/>
            <w:vAlign w:val="center"/>
          </w:tcPr>
          <w:p w14:paraId="021DD78E">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175000</w:t>
            </w:r>
          </w:p>
        </w:tc>
        <w:tc>
          <w:tcPr>
            <w:tcW w:w="0" w:type="auto"/>
            <w:gridSpan w:val="2"/>
            <w:tcBorders>
              <w:tl2br w:val="nil"/>
              <w:tr2bl w:val="nil"/>
            </w:tcBorders>
            <w:noWrap w:val="0"/>
            <w:vAlign w:val="center"/>
          </w:tcPr>
          <w:p w14:paraId="2F06AEB5">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暂存于尾矿砂贮存库内，</w:t>
            </w:r>
            <w:r>
              <w:rPr>
                <w:rFonts w:hint="eastAsia" w:ascii="Times New Roman" w:hAnsi="Times New Roman" w:eastAsia="宋体" w:cs="Times New Roman"/>
                <w:color w:val="auto"/>
                <w:highlight w:val="none"/>
                <w:lang w:val="en-US" w:eastAsia="zh-CN"/>
              </w:rPr>
              <w:t>全部供给</w:t>
            </w:r>
            <w:r>
              <w:rPr>
                <w:rFonts w:hint="eastAsia" w:ascii="Times New Roman" w:hAnsi="Times New Roman" w:eastAsia="宋体" w:cs="Times New Roman"/>
                <w:color w:val="auto"/>
                <w:highlight w:val="yellow"/>
                <w:lang w:val="en-US" w:eastAsia="zh-CN"/>
              </w:rPr>
              <w:t>河北围场满族蒙古族自治县联玉墙体材料厂和隆化县皓诚新型节能砖厂</w:t>
            </w:r>
            <w:r>
              <w:rPr>
                <w:rFonts w:hint="eastAsia" w:ascii="Times New Roman" w:hAnsi="Times New Roman" w:eastAsia="宋体" w:cs="Times New Roman"/>
                <w:color w:val="auto"/>
                <w:highlight w:val="none"/>
                <w:lang w:val="en-US" w:eastAsia="zh-CN"/>
              </w:rPr>
              <w:t>作制砖原材料</w:t>
            </w:r>
            <w:r>
              <w:rPr>
                <w:rFonts w:hint="eastAsia" w:eastAsia="宋体" w:cs="Times New Roman"/>
                <w:color w:val="auto"/>
                <w:highlight w:val="none"/>
                <w:lang w:val="en-US" w:eastAsia="zh-CN"/>
              </w:rPr>
              <w:t>。</w:t>
            </w:r>
          </w:p>
        </w:tc>
        <w:tc>
          <w:tcPr>
            <w:tcW w:w="0" w:type="auto"/>
            <w:gridSpan w:val="3"/>
            <w:tcBorders>
              <w:tl2br w:val="nil"/>
              <w:tr2bl w:val="nil"/>
            </w:tcBorders>
            <w:noWrap w:val="0"/>
            <w:vAlign w:val="center"/>
          </w:tcPr>
          <w:p w14:paraId="6AF7B9B1">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0" w:type="auto"/>
            <w:gridSpan w:val="3"/>
            <w:vMerge w:val="continue"/>
            <w:tcBorders>
              <w:tl2br w:val="nil"/>
              <w:tr2bl w:val="nil"/>
            </w:tcBorders>
            <w:noWrap w:val="0"/>
            <w:vAlign w:val="center"/>
          </w:tcPr>
          <w:p w14:paraId="60F07A2D">
            <w:pPr>
              <w:pStyle w:val="245"/>
              <w:spacing w:line="240" w:lineRule="auto"/>
              <w:jc w:val="center"/>
              <w:rPr>
                <w:rFonts w:hint="eastAsia" w:ascii="Times New Roman" w:hAnsi="Times New Roman" w:cs="Times New Roman"/>
                <w:color w:val="auto"/>
                <w:sz w:val="21"/>
                <w:szCs w:val="21"/>
                <w:highlight w:val="none"/>
              </w:rPr>
            </w:pPr>
          </w:p>
        </w:tc>
      </w:tr>
      <w:tr w14:paraId="2EFE9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B3616C2">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22D6E197">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底泥</w:t>
            </w:r>
          </w:p>
        </w:tc>
        <w:tc>
          <w:tcPr>
            <w:tcW w:w="0" w:type="auto"/>
            <w:gridSpan w:val="2"/>
            <w:tcBorders>
              <w:tl2br w:val="nil"/>
              <w:tr2bl w:val="nil"/>
            </w:tcBorders>
            <w:noWrap w:val="0"/>
            <w:vAlign w:val="center"/>
          </w:tcPr>
          <w:p w14:paraId="02A92F26">
            <w:pPr>
              <w:pStyle w:val="245"/>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一般</w:t>
            </w:r>
            <w:r>
              <w:rPr>
                <w:rFonts w:hint="eastAsia" w:ascii="Times New Roman" w:hAnsi="Times New Roman" w:cs="Times New Roman"/>
                <w:color w:val="auto"/>
                <w:sz w:val="21"/>
                <w:szCs w:val="21"/>
                <w:highlight w:val="none"/>
                <w:lang w:val="en-US" w:eastAsia="zh-CN"/>
              </w:rPr>
              <w:t>工业</w:t>
            </w:r>
            <w:r>
              <w:rPr>
                <w:rFonts w:hint="eastAsia" w:ascii="Times New Roman" w:hAnsi="Times New Roman" w:cs="Times New Roman"/>
                <w:color w:val="auto"/>
                <w:sz w:val="21"/>
                <w:szCs w:val="21"/>
                <w:highlight w:val="none"/>
              </w:rPr>
              <w:t>固废</w:t>
            </w:r>
          </w:p>
        </w:tc>
        <w:tc>
          <w:tcPr>
            <w:tcW w:w="0" w:type="auto"/>
            <w:gridSpan w:val="2"/>
            <w:tcBorders>
              <w:tl2br w:val="nil"/>
              <w:tr2bl w:val="nil"/>
            </w:tcBorders>
            <w:noWrap w:val="0"/>
            <w:vAlign w:val="center"/>
          </w:tcPr>
          <w:p w14:paraId="25E831D2">
            <w:pPr>
              <w:pStyle w:val="2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5.4</w:t>
            </w:r>
          </w:p>
        </w:tc>
        <w:tc>
          <w:tcPr>
            <w:tcW w:w="0" w:type="auto"/>
            <w:gridSpan w:val="2"/>
            <w:tcBorders>
              <w:tl2br w:val="nil"/>
              <w:tr2bl w:val="nil"/>
            </w:tcBorders>
            <w:noWrap w:val="0"/>
            <w:vAlign w:val="center"/>
          </w:tcPr>
          <w:p w14:paraId="7F7F98C2">
            <w:pPr>
              <w:pStyle w:val="245"/>
              <w:spacing w:line="240" w:lineRule="auto"/>
              <w:jc w:val="center"/>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经</w:t>
            </w:r>
            <w:r>
              <w:rPr>
                <w:rFonts w:hint="eastAsia" w:cs="Times New Roman"/>
                <w:color w:val="auto"/>
                <w:highlight w:val="none"/>
                <w:lang w:val="en-US" w:eastAsia="zh-CN"/>
              </w:rPr>
              <w:t>尾矿</w:t>
            </w:r>
            <w:r>
              <w:rPr>
                <w:rFonts w:hint="default" w:ascii="Times New Roman" w:hAnsi="Times New Roman" w:eastAsia="宋体" w:cs="Times New Roman"/>
                <w:color w:val="auto"/>
                <w:highlight w:val="none"/>
                <w:lang w:val="en-US" w:eastAsia="zh-CN"/>
              </w:rPr>
              <w:t>压滤机压滤后同尾矿砂一同综合利用</w:t>
            </w:r>
            <w:r>
              <w:rPr>
                <w:rFonts w:hint="eastAsia" w:cs="Times New Roman"/>
                <w:color w:val="auto"/>
                <w:highlight w:val="none"/>
                <w:lang w:val="en-US" w:eastAsia="zh-CN"/>
              </w:rPr>
              <w:t>。</w:t>
            </w:r>
          </w:p>
        </w:tc>
        <w:tc>
          <w:tcPr>
            <w:tcW w:w="0" w:type="auto"/>
            <w:gridSpan w:val="3"/>
            <w:tcBorders>
              <w:tl2br w:val="nil"/>
              <w:tr2bl w:val="nil"/>
            </w:tcBorders>
            <w:noWrap w:val="0"/>
            <w:vAlign w:val="center"/>
          </w:tcPr>
          <w:p w14:paraId="611EDE1A">
            <w:pPr>
              <w:pStyle w:val="245"/>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0" w:type="auto"/>
            <w:gridSpan w:val="3"/>
            <w:vMerge w:val="continue"/>
            <w:tcBorders>
              <w:tl2br w:val="nil"/>
              <w:tr2bl w:val="nil"/>
            </w:tcBorders>
            <w:noWrap w:val="0"/>
            <w:vAlign w:val="center"/>
          </w:tcPr>
          <w:p w14:paraId="2B9C401C">
            <w:pPr>
              <w:pStyle w:val="245"/>
              <w:spacing w:line="240" w:lineRule="auto"/>
              <w:jc w:val="center"/>
              <w:rPr>
                <w:rFonts w:hint="eastAsia" w:ascii="Times New Roman" w:hAnsi="Times New Roman" w:cs="Times New Roman"/>
                <w:color w:val="auto"/>
                <w:sz w:val="21"/>
                <w:szCs w:val="21"/>
                <w:highlight w:val="none"/>
              </w:rPr>
            </w:pPr>
          </w:p>
        </w:tc>
      </w:tr>
      <w:tr w14:paraId="6C32A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5FD0628">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04D778F4">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废润</w:t>
            </w:r>
          </w:p>
          <w:p w14:paraId="60642EBB">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滑油</w:t>
            </w:r>
          </w:p>
        </w:tc>
        <w:tc>
          <w:tcPr>
            <w:tcW w:w="0" w:type="auto"/>
            <w:gridSpan w:val="2"/>
            <w:tcBorders>
              <w:tl2br w:val="nil"/>
              <w:tr2bl w:val="nil"/>
            </w:tcBorders>
            <w:noWrap w:val="0"/>
            <w:vAlign w:val="center"/>
          </w:tcPr>
          <w:p w14:paraId="7DF56398">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危险废物</w:t>
            </w:r>
          </w:p>
        </w:tc>
        <w:tc>
          <w:tcPr>
            <w:tcW w:w="0" w:type="auto"/>
            <w:gridSpan w:val="2"/>
            <w:tcBorders>
              <w:tl2br w:val="nil"/>
              <w:tr2bl w:val="nil"/>
            </w:tcBorders>
            <w:noWrap w:val="0"/>
            <w:vAlign w:val="center"/>
          </w:tcPr>
          <w:p w14:paraId="68927C50">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c>
          <w:tcPr>
            <w:tcW w:w="0" w:type="auto"/>
            <w:gridSpan w:val="2"/>
            <w:vMerge w:val="restart"/>
            <w:tcBorders>
              <w:tl2br w:val="nil"/>
              <w:tr2bl w:val="nil"/>
            </w:tcBorders>
            <w:noWrap w:val="0"/>
            <w:vAlign w:val="center"/>
          </w:tcPr>
          <w:p w14:paraId="1893DC6B">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暂存于危废暂存间内，定期交由</w:t>
            </w:r>
            <w:r>
              <w:rPr>
                <w:rFonts w:hint="eastAsia" w:cs="Times New Roman"/>
                <w:color w:val="auto"/>
                <w:sz w:val="21"/>
                <w:szCs w:val="21"/>
                <w:highlight w:val="none"/>
                <w:lang w:val="en-US" w:eastAsia="zh-CN"/>
              </w:rPr>
              <w:t>具有危废经营许可证</w:t>
            </w:r>
            <w:r>
              <w:rPr>
                <w:rFonts w:hint="eastAsia" w:ascii="Times New Roman" w:hAnsi="Times New Roman" w:cs="Times New Roman"/>
                <w:color w:val="auto"/>
                <w:sz w:val="21"/>
                <w:szCs w:val="21"/>
                <w:highlight w:val="none"/>
              </w:rPr>
              <w:t>单位进行处置</w:t>
            </w:r>
            <w:r>
              <w:rPr>
                <w:rFonts w:hint="eastAsia" w:cs="Times New Roman"/>
                <w:color w:val="auto"/>
                <w:sz w:val="21"/>
                <w:szCs w:val="21"/>
                <w:highlight w:val="none"/>
                <w:lang w:eastAsia="zh-CN"/>
              </w:rPr>
              <w:t>。</w:t>
            </w:r>
          </w:p>
        </w:tc>
        <w:tc>
          <w:tcPr>
            <w:tcW w:w="0" w:type="auto"/>
            <w:gridSpan w:val="3"/>
            <w:tcBorders>
              <w:tl2br w:val="nil"/>
              <w:tr2bl w:val="nil"/>
            </w:tcBorders>
            <w:noWrap w:val="0"/>
            <w:vAlign w:val="center"/>
          </w:tcPr>
          <w:p w14:paraId="03BA4E10">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0" w:type="auto"/>
            <w:gridSpan w:val="3"/>
            <w:vMerge w:val="continue"/>
            <w:tcBorders>
              <w:tl2br w:val="nil"/>
              <w:tr2bl w:val="nil"/>
            </w:tcBorders>
            <w:noWrap w:val="0"/>
            <w:vAlign w:val="center"/>
          </w:tcPr>
          <w:p w14:paraId="063000A7">
            <w:pPr>
              <w:pStyle w:val="245"/>
              <w:spacing w:line="240" w:lineRule="auto"/>
              <w:jc w:val="center"/>
              <w:rPr>
                <w:rFonts w:hint="eastAsia" w:ascii="Times New Roman" w:hAnsi="Times New Roman" w:cs="Times New Roman"/>
                <w:color w:val="auto"/>
                <w:sz w:val="21"/>
                <w:szCs w:val="21"/>
                <w:highlight w:val="none"/>
              </w:rPr>
            </w:pPr>
          </w:p>
        </w:tc>
      </w:tr>
      <w:tr w14:paraId="40401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6ABE5446">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33728F1C">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废油桶</w:t>
            </w:r>
          </w:p>
        </w:tc>
        <w:tc>
          <w:tcPr>
            <w:tcW w:w="0" w:type="auto"/>
            <w:gridSpan w:val="2"/>
            <w:tcBorders>
              <w:tl2br w:val="nil"/>
              <w:tr2bl w:val="nil"/>
            </w:tcBorders>
            <w:noWrap w:val="0"/>
            <w:vAlign w:val="center"/>
          </w:tcPr>
          <w:p w14:paraId="21C2149A">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危险废物</w:t>
            </w:r>
          </w:p>
        </w:tc>
        <w:tc>
          <w:tcPr>
            <w:tcW w:w="0" w:type="auto"/>
            <w:gridSpan w:val="2"/>
            <w:tcBorders>
              <w:tl2br w:val="nil"/>
              <w:tr2bl w:val="nil"/>
            </w:tcBorders>
            <w:noWrap w:val="0"/>
            <w:vAlign w:val="center"/>
          </w:tcPr>
          <w:p w14:paraId="7186DF21">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w:t>
            </w:r>
          </w:p>
        </w:tc>
        <w:tc>
          <w:tcPr>
            <w:tcW w:w="0" w:type="auto"/>
            <w:gridSpan w:val="2"/>
            <w:vMerge w:val="continue"/>
            <w:tcBorders>
              <w:tl2br w:val="nil"/>
              <w:tr2bl w:val="nil"/>
            </w:tcBorders>
            <w:noWrap w:val="0"/>
            <w:vAlign w:val="center"/>
          </w:tcPr>
          <w:p w14:paraId="3CD9CE92">
            <w:pPr>
              <w:pStyle w:val="245"/>
              <w:spacing w:line="240" w:lineRule="auto"/>
              <w:jc w:val="center"/>
              <w:rPr>
                <w:rFonts w:hint="eastAsia" w:ascii="Times New Roman" w:hAnsi="Times New Roman" w:cs="Times New Roman"/>
                <w:color w:val="auto"/>
                <w:sz w:val="21"/>
                <w:szCs w:val="21"/>
                <w:highlight w:val="none"/>
              </w:rPr>
            </w:pPr>
          </w:p>
        </w:tc>
        <w:tc>
          <w:tcPr>
            <w:tcW w:w="0" w:type="auto"/>
            <w:gridSpan w:val="3"/>
            <w:tcBorders>
              <w:tl2br w:val="nil"/>
              <w:tr2bl w:val="nil"/>
            </w:tcBorders>
            <w:noWrap w:val="0"/>
            <w:vAlign w:val="center"/>
          </w:tcPr>
          <w:p w14:paraId="0E2ECF0C">
            <w:pPr>
              <w:pStyle w:val="245"/>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0" w:type="auto"/>
            <w:gridSpan w:val="3"/>
            <w:vMerge w:val="continue"/>
            <w:tcBorders>
              <w:tl2br w:val="nil"/>
              <w:tr2bl w:val="nil"/>
            </w:tcBorders>
            <w:noWrap w:val="0"/>
            <w:vAlign w:val="center"/>
          </w:tcPr>
          <w:p w14:paraId="7E3507A4">
            <w:pPr>
              <w:pStyle w:val="245"/>
              <w:spacing w:line="240" w:lineRule="auto"/>
              <w:jc w:val="center"/>
              <w:rPr>
                <w:rFonts w:hint="eastAsia" w:ascii="Times New Roman" w:hAnsi="Times New Roman" w:cs="Times New Roman"/>
                <w:color w:val="auto"/>
                <w:sz w:val="21"/>
                <w:szCs w:val="21"/>
                <w:highlight w:val="none"/>
              </w:rPr>
            </w:pPr>
          </w:p>
        </w:tc>
      </w:tr>
      <w:tr w14:paraId="294C3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4CD01E64">
            <w:pPr>
              <w:pStyle w:val="245"/>
              <w:spacing w:line="240" w:lineRule="auto"/>
              <w:jc w:val="center"/>
              <w:rPr>
                <w:rFonts w:hint="eastAsia" w:ascii="Times New Roman" w:hAnsi="Times New Roman" w:cs="Times New Roman"/>
                <w:color w:val="auto"/>
                <w:sz w:val="21"/>
                <w:szCs w:val="21"/>
                <w:highlight w:val="none"/>
              </w:rPr>
            </w:pPr>
          </w:p>
        </w:tc>
        <w:tc>
          <w:tcPr>
            <w:tcW w:w="0" w:type="auto"/>
            <w:tcBorders>
              <w:tl2br w:val="nil"/>
              <w:tr2bl w:val="nil"/>
            </w:tcBorders>
            <w:noWrap w:val="0"/>
            <w:vAlign w:val="center"/>
          </w:tcPr>
          <w:p w14:paraId="3404B9E0">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生活</w:t>
            </w:r>
          </w:p>
          <w:p w14:paraId="2B7D9474">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垃圾</w:t>
            </w:r>
          </w:p>
        </w:tc>
        <w:tc>
          <w:tcPr>
            <w:tcW w:w="0" w:type="auto"/>
            <w:gridSpan w:val="2"/>
            <w:tcBorders>
              <w:tl2br w:val="nil"/>
              <w:tr2bl w:val="nil"/>
            </w:tcBorders>
            <w:noWrap w:val="0"/>
            <w:vAlign w:val="center"/>
          </w:tcPr>
          <w:p w14:paraId="1B3AEBD6">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生活垃圾</w:t>
            </w:r>
          </w:p>
        </w:tc>
        <w:tc>
          <w:tcPr>
            <w:tcW w:w="0" w:type="auto"/>
            <w:gridSpan w:val="2"/>
            <w:tcBorders>
              <w:tl2br w:val="nil"/>
              <w:tr2bl w:val="nil"/>
            </w:tcBorders>
            <w:noWrap w:val="0"/>
            <w:vAlign w:val="center"/>
          </w:tcPr>
          <w:p w14:paraId="225EE43F">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73.0</w:t>
            </w:r>
          </w:p>
        </w:tc>
        <w:tc>
          <w:tcPr>
            <w:tcW w:w="0" w:type="auto"/>
            <w:gridSpan w:val="2"/>
            <w:tcBorders>
              <w:tl2br w:val="nil"/>
              <w:tr2bl w:val="nil"/>
            </w:tcBorders>
            <w:noWrap w:val="0"/>
            <w:vAlign w:val="center"/>
          </w:tcPr>
          <w:p w14:paraId="44253558">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在厂内设置垃圾收集箱若干，定期运送至环卫部门指定地点进行合理处置</w:t>
            </w:r>
            <w:r>
              <w:rPr>
                <w:rFonts w:hint="eastAsia" w:cs="Times New Roman"/>
                <w:color w:val="auto"/>
                <w:sz w:val="21"/>
                <w:szCs w:val="21"/>
                <w:highlight w:val="none"/>
                <w:lang w:eastAsia="zh-CN"/>
              </w:rPr>
              <w:t>。</w:t>
            </w:r>
          </w:p>
        </w:tc>
        <w:tc>
          <w:tcPr>
            <w:tcW w:w="0" w:type="auto"/>
            <w:gridSpan w:val="3"/>
            <w:tcBorders>
              <w:tl2br w:val="nil"/>
              <w:tr2bl w:val="nil"/>
            </w:tcBorders>
            <w:noWrap w:val="0"/>
            <w:vAlign w:val="center"/>
          </w:tcPr>
          <w:p w14:paraId="2A7EEFEE">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0" w:type="auto"/>
            <w:gridSpan w:val="3"/>
            <w:vMerge w:val="continue"/>
            <w:tcBorders>
              <w:tl2br w:val="nil"/>
              <w:tr2bl w:val="nil"/>
            </w:tcBorders>
            <w:noWrap w:val="0"/>
            <w:vAlign w:val="center"/>
          </w:tcPr>
          <w:p w14:paraId="7E007FBD">
            <w:pPr>
              <w:pStyle w:val="245"/>
              <w:spacing w:line="240" w:lineRule="auto"/>
              <w:jc w:val="center"/>
              <w:rPr>
                <w:rFonts w:hint="eastAsia" w:ascii="Times New Roman" w:hAnsi="Times New Roman" w:cs="Times New Roman"/>
                <w:color w:val="auto"/>
                <w:sz w:val="21"/>
                <w:szCs w:val="21"/>
                <w:highlight w:val="none"/>
              </w:rPr>
            </w:pPr>
          </w:p>
        </w:tc>
      </w:tr>
      <w:tr w14:paraId="09FBF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6C8EDBD3">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类别</w:t>
            </w:r>
          </w:p>
        </w:tc>
        <w:tc>
          <w:tcPr>
            <w:tcW w:w="0" w:type="auto"/>
            <w:gridSpan w:val="3"/>
            <w:tcBorders>
              <w:tl2br w:val="nil"/>
              <w:tr2bl w:val="nil"/>
            </w:tcBorders>
            <w:noWrap w:val="0"/>
            <w:vAlign w:val="center"/>
          </w:tcPr>
          <w:p w14:paraId="4B6BB62C">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污染源</w:t>
            </w:r>
          </w:p>
        </w:tc>
        <w:tc>
          <w:tcPr>
            <w:tcW w:w="0" w:type="auto"/>
            <w:gridSpan w:val="2"/>
            <w:tcBorders>
              <w:tl2br w:val="nil"/>
              <w:tr2bl w:val="nil"/>
            </w:tcBorders>
            <w:noWrap w:val="0"/>
            <w:vAlign w:val="center"/>
          </w:tcPr>
          <w:p w14:paraId="558A3FF8">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噪声值dB（A）</w:t>
            </w:r>
          </w:p>
        </w:tc>
        <w:tc>
          <w:tcPr>
            <w:tcW w:w="0" w:type="auto"/>
            <w:gridSpan w:val="2"/>
            <w:tcBorders>
              <w:tl2br w:val="nil"/>
              <w:tr2bl w:val="nil"/>
            </w:tcBorders>
            <w:noWrap w:val="0"/>
            <w:vAlign w:val="center"/>
          </w:tcPr>
          <w:p w14:paraId="6EEA0C3A">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治理措施</w:t>
            </w:r>
          </w:p>
        </w:tc>
        <w:tc>
          <w:tcPr>
            <w:tcW w:w="0" w:type="auto"/>
            <w:gridSpan w:val="3"/>
            <w:tcBorders>
              <w:tl2br w:val="nil"/>
              <w:tr2bl w:val="nil"/>
            </w:tcBorders>
            <w:noWrap w:val="0"/>
            <w:vAlign w:val="center"/>
          </w:tcPr>
          <w:p w14:paraId="21EBD3B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降噪后噪声值dB（A）</w:t>
            </w:r>
          </w:p>
        </w:tc>
        <w:tc>
          <w:tcPr>
            <w:tcW w:w="0" w:type="auto"/>
            <w:gridSpan w:val="3"/>
            <w:tcBorders>
              <w:tl2br w:val="nil"/>
              <w:tr2bl w:val="nil"/>
            </w:tcBorders>
            <w:noWrap w:val="0"/>
            <w:vAlign w:val="center"/>
          </w:tcPr>
          <w:p w14:paraId="6FC441DE">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达标情况</w:t>
            </w:r>
          </w:p>
        </w:tc>
      </w:tr>
      <w:tr w14:paraId="2AF3E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7D7984A4">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噪声</w:t>
            </w:r>
          </w:p>
        </w:tc>
        <w:tc>
          <w:tcPr>
            <w:tcW w:w="0" w:type="auto"/>
            <w:gridSpan w:val="3"/>
            <w:tcBorders>
              <w:tl2br w:val="nil"/>
              <w:tr2bl w:val="nil"/>
            </w:tcBorders>
            <w:noWrap w:val="0"/>
            <w:vAlign w:val="center"/>
          </w:tcPr>
          <w:p w14:paraId="7F6290E2">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给矿机、颚式破碎机、破碎机、振动筛、球磨机、螺旋分级机、渣浆泵、过滤机、水环真空泵、浓缩机等设备及运输车辆</w:t>
            </w:r>
          </w:p>
        </w:tc>
        <w:tc>
          <w:tcPr>
            <w:tcW w:w="0" w:type="auto"/>
            <w:gridSpan w:val="2"/>
            <w:tcBorders>
              <w:tl2br w:val="nil"/>
              <w:tr2bl w:val="nil"/>
            </w:tcBorders>
            <w:noWrap w:val="0"/>
            <w:vAlign w:val="center"/>
          </w:tcPr>
          <w:p w14:paraId="59C3F4A8">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60~</w:t>
            </w:r>
            <w:r>
              <w:rPr>
                <w:rFonts w:hint="eastAsia" w:cs="Times New Roman"/>
                <w:color w:val="auto"/>
                <w:sz w:val="21"/>
                <w:szCs w:val="21"/>
                <w:highlight w:val="none"/>
                <w:lang w:val="en-US" w:eastAsia="zh-CN"/>
              </w:rPr>
              <w:t>100</w:t>
            </w:r>
          </w:p>
        </w:tc>
        <w:tc>
          <w:tcPr>
            <w:tcW w:w="0" w:type="auto"/>
            <w:gridSpan w:val="2"/>
            <w:tcBorders>
              <w:tl2br w:val="nil"/>
              <w:tr2bl w:val="nil"/>
            </w:tcBorders>
            <w:noWrap w:val="0"/>
            <w:vAlign w:val="center"/>
          </w:tcPr>
          <w:p w14:paraId="4FB8B1B2">
            <w:pPr>
              <w:pStyle w:val="245"/>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rPr>
              <w:t>封闭车间厂房隔声、设备基础减振、车间外种植植被降噪以及车辆减速慢行，禁止鸣笛</w:t>
            </w:r>
            <w:r>
              <w:rPr>
                <w:rFonts w:hint="eastAsia" w:cs="Times New Roman"/>
                <w:color w:val="auto"/>
                <w:sz w:val="21"/>
                <w:szCs w:val="21"/>
                <w:highlight w:val="none"/>
                <w:lang w:eastAsia="zh-CN"/>
              </w:rPr>
              <w:t>。</w:t>
            </w:r>
          </w:p>
        </w:tc>
        <w:tc>
          <w:tcPr>
            <w:tcW w:w="0" w:type="auto"/>
            <w:gridSpan w:val="3"/>
            <w:tcBorders>
              <w:tl2br w:val="nil"/>
              <w:tr2bl w:val="nil"/>
            </w:tcBorders>
            <w:noWrap w:val="0"/>
            <w:vAlign w:val="center"/>
          </w:tcPr>
          <w:p w14:paraId="77B0EF36">
            <w:pPr>
              <w:pStyle w:val="245"/>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w:t>
            </w:r>
            <w:r>
              <w:rPr>
                <w:rFonts w:hint="eastAsia"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66</w:t>
            </w:r>
          </w:p>
        </w:tc>
        <w:tc>
          <w:tcPr>
            <w:tcW w:w="0" w:type="auto"/>
            <w:gridSpan w:val="3"/>
            <w:tcBorders>
              <w:tl2br w:val="nil"/>
              <w:tr2bl w:val="nil"/>
            </w:tcBorders>
            <w:noWrap w:val="0"/>
            <w:vAlign w:val="center"/>
          </w:tcPr>
          <w:p w14:paraId="6111803F">
            <w:pPr>
              <w:pStyle w:val="245"/>
              <w:spacing w:line="240" w:lineRule="auto"/>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厂界噪声达到《工业企业厂界环境噪声排放标准》（GB12348-2008）3类标准</w:t>
            </w:r>
          </w:p>
        </w:tc>
      </w:tr>
    </w:tbl>
    <w:p w14:paraId="573C24AF">
      <w:pPr>
        <w:rPr>
          <w:color w:val="auto"/>
          <w:highlight w:val="none"/>
        </w:rPr>
        <w:sectPr>
          <w:pgSz w:w="16840" w:h="11907"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linePitch="326" w:charSpace="0"/>
        </w:sectPr>
      </w:pPr>
    </w:p>
    <w:p w14:paraId="2BA81EE9">
      <w:pPr>
        <w:pStyle w:val="3"/>
        <w:spacing w:before="120" w:after="120"/>
        <w:rPr>
          <w:color w:val="auto"/>
          <w:highlight w:val="none"/>
        </w:rPr>
      </w:pPr>
      <w:bookmarkStart w:id="111" w:name="_Toc58916156"/>
      <w:bookmarkStart w:id="112" w:name="_Toc25160"/>
      <w:bookmarkStart w:id="113" w:name="_Toc24447109"/>
      <w:bookmarkStart w:id="114" w:name="_Toc24340221"/>
      <w:bookmarkStart w:id="115" w:name="_Toc24447616"/>
      <w:r>
        <w:rPr>
          <w:rFonts w:hint="eastAsia"/>
          <w:color w:val="auto"/>
          <w:highlight w:val="none"/>
        </w:rPr>
        <w:t>环境现状调查与评价</w:t>
      </w:r>
      <w:bookmarkEnd w:id="111"/>
      <w:bookmarkEnd w:id="112"/>
      <w:bookmarkEnd w:id="113"/>
      <w:bookmarkEnd w:id="114"/>
      <w:bookmarkEnd w:id="115"/>
    </w:p>
    <w:p w14:paraId="6A30E1C8">
      <w:pPr>
        <w:pStyle w:val="4"/>
        <w:spacing w:before="120" w:after="120"/>
        <w:rPr>
          <w:color w:val="auto"/>
          <w:highlight w:val="none"/>
        </w:rPr>
      </w:pPr>
      <w:bookmarkStart w:id="116" w:name="_Toc24340222"/>
      <w:bookmarkStart w:id="117" w:name="_Toc27649"/>
      <w:bookmarkStart w:id="118" w:name="_Toc58916157"/>
      <w:bookmarkStart w:id="119" w:name="_Toc24447110"/>
      <w:bookmarkStart w:id="120" w:name="_Toc24447617"/>
      <w:r>
        <w:rPr>
          <w:rFonts w:hint="eastAsia"/>
          <w:color w:val="auto"/>
          <w:highlight w:val="none"/>
        </w:rPr>
        <w:t>区域自然环境现状调查</w:t>
      </w:r>
      <w:bookmarkEnd w:id="116"/>
      <w:bookmarkEnd w:id="117"/>
      <w:bookmarkEnd w:id="118"/>
      <w:bookmarkEnd w:id="119"/>
      <w:bookmarkEnd w:id="120"/>
    </w:p>
    <w:p w14:paraId="5087FED2">
      <w:pPr>
        <w:pStyle w:val="5"/>
        <w:rPr>
          <w:color w:val="auto"/>
          <w:highlight w:val="none"/>
        </w:rPr>
      </w:pPr>
      <w:bookmarkStart w:id="121" w:name="_Toc24447111"/>
      <w:r>
        <w:rPr>
          <w:rFonts w:hint="eastAsia"/>
          <w:color w:val="auto"/>
          <w:highlight w:val="none"/>
        </w:rPr>
        <w:t>地理位置</w:t>
      </w:r>
      <w:bookmarkEnd w:id="121"/>
    </w:p>
    <w:p w14:paraId="50CD2BBB">
      <w:pPr>
        <w:ind w:firstLine="480"/>
        <w:rPr>
          <w:color w:val="auto"/>
          <w:highlight w:val="none"/>
        </w:rPr>
      </w:pPr>
      <w:r>
        <w:rPr>
          <w:rFonts w:hint="eastAsia" w:hAnsi="宋体"/>
          <w:color w:val="auto"/>
          <w:highlight w:val="none"/>
        </w:rPr>
        <w:t>本项目位于内蒙古锡林郭勒多伦经济开发区内，该园区位于多伦县城以东，南距北京约360km，东南、东、西南、北分别距承德、赤峰、张家口、锡林浩特均在280km左右。省道308线东西贯穿整个化工区，多丰铁路线从化工区西南侧穿过整个化 工区，并在中部化工区和东部化工区设有货运站，未来随着锡盟进京快速通道、S304的修建和S308的提升，多伦—丰宁—曹妃甸铁路以及元上都机场等区域交通设施的完善，将能通疆达海，与京津冀地区联系日益紧密，交通便利。</w:t>
      </w:r>
      <w:r>
        <w:rPr>
          <w:rFonts w:hint="eastAsia" w:ascii="Calibri" w:hAnsi="宋体"/>
          <w:color w:val="auto"/>
          <w:highlight w:val="none"/>
        </w:rPr>
        <w:t>本项目地理位置图见图</w:t>
      </w:r>
      <w:r>
        <w:rPr>
          <w:color w:val="auto"/>
          <w:highlight w:val="none"/>
        </w:rPr>
        <w:t>3.</w:t>
      </w:r>
      <w:r>
        <w:rPr>
          <w:rFonts w:hint="eastAsia"/>
          <w:color w:val="auto"/>
          <w:highlight w:val="none"/>
          <w:lang w:val="en-US" w:eastAsia="zh-CN"/>
        </w:rPr>
        <w:t>1</w:t>
      </w:r>
      <w:r>
        <w:rPr>
          <w:color w:val="auto"/>
          <w:highlight w:val="none"/>
        </w:rPr>
        <w:t>-1</w:t>
      </w:r>
      <w:r>
        <w:rPr>
          <w:rFonts w:hint="eastAsia" w:ascii="Calibri" w:hAnsi="宋体"/>
          <w:color w:val="auto"/>
          <w:highlight w:val="none"/>
        </w:rPr>
        <w:t>，与开发区位置关系图见图</w:t>
      </w:r>
      <w:r>
        <w:rPr>
          <w:rFonts w:hint="eastAsia"/>
          <w:color w:val="auto"/>
          <w:highlight w:val="none"/>
          <w:lang w:val="en-US" w:eastAsia="zh-CN"/>
        </w:rPr>
        <w:t>1.3-1</w:t>
      </w:r>
      <w:r>
        <w:rPr>
          <w:rFonts w:hint="eastAsia"/>
          <w:color w:val="auto"/>
          <w:highlight w:val="none"/>
        </w:rPr>
        <w:t>。</w:t>
      </w:r>
    </w:p>
    <w:p w14:paraId="6611D8EC">
      <w:pPr>
        <w:ind w:firstLine="480"/>
        <w:rPr>
          <w:rFonts w:hint="eastAsia" w:hAnsi="宋体"/>
          <w:color w:val="auto"/>
          <w:highlight w:val="none"/>
        </w:rPr>
      </w:pPr>
      <w:r>
        <w:rPr>
          <w:rFonts w:hint="eastAsia" w:hAnsi="宋体"/>
          <w:color w:val="auto"/>
          <w:highlight w:val="none"/>
        </w:rPr>
        <w:t>多伦县位于内蒙古自治区锡林郭勒盟南端阴山北丽东端。地跨东经115º30′~ 116º55′，北纬41º45′～42º39′。西与正蓝旗为邻，北与赤峰市克什克腾旗毗邻，东部和 南部分别与河北省的围场县、丰宁县、沽源三县接壤。县境南北长约110km，东西宽70km，土地总面积3773km²。</w:t>
      </w:r>
    </w:p>
    <w:p w14:paraId="36E05C4E">
      <w:pPr>
        <w:pStyle w:val="5"/>
        <w:rPr>
          <w:color w:val="auto"/>
          <w:highlight w:val="none"/>
        </w:rPr>
      </w:pPr>
      <w:bookmarkStart w:id="122" w:name="_Toc24447112"/>
      <w:r>
        <w:rPr>
          <w:rFonts w:hint="eastAsia"/>
          <w:color w:val="auto"/>
          <w:highlight w:val="none"/>
        </w:rPr>
        <w:t>地形地貌</w:t>
      </w:r>
      <w:bookmarkEnd w:id="122"/>
    </w:p>
    <w:p w14:paraId="6DDB85B9">
      <w:pPr>
        <w:ind w:firstLine="480"/>
        <w:rPr>
          <w:rFonts w:hAnsi="宋体"/>
          <w:color w:val="auto"/>
          <w:highlight w:val="none"/>
        </w:rPr>
      </w:pPr>
      <w:r>
        <w:rPr>
          <w:rFonts w:hAnsi="宋体"/>
          <w:color w:val="auto"/>
          <w:highlight w:val="none"/>
        </w:rPr>
        <w:t>多伦县地处内蒙古高原的南缘，阴山山脉的北坡，东部与大兴安岭向西南延伸之余脉衔接。总的地形是四周高，中间低。南部高，北部低。由西南向北东逐渐低缓，</w:t>
      </w:r>
    </w:p>
    <w:p w14:paraId="7BD59F53">
      <w:pPr>
        <w:ind w:firstLine="480"/>
        <w:rPr>
          <w:rFonts w:hAnsi="宋体"/>
          <w:color w:val="auto"/>
          <w:highlight w:val="none"/>
        </w:rPr>
      </w:pPr>
      <w:r>
        <w:rPr>
          <w:rFonts w:hAnsi="宋体"/>
          <w:color w:val="auto"/>
          <w:highlight w:val="none"/>
        </w:rPr>
        <w:t>为一宽缓的半环形盆地。盆地中部的低洼地带高程约为1200m左右，本县制高点大北沟镇大石砬水泉沟东山，高程1799.9m，最低点在滦河出境处小菜园附近，高程1148m， 相对高差651.9m。</w:t>
      </w:r>
    </w:p>
    <w:p w14:paraId="6A423A34">
      <w:pPr>
        <w:ind w:firstLine="480"/>
        <w:rPr>
          <w:rFonts w:hAnsi="宋体"/>
          <w:color w:val="auto"/>
          <w:highlight w:val="none"/>
        </w:rPr>
      </w:pPr>
      <w:r>
        <w:rPr>
          <w:rFonts w:hAnsi="宋体"/>
          <w:color w:val="auto"/>
          <w:highlight w:val="none"/>
        </w:rPr>
        <w:t>县境有较高的山峰50多座，高程在1350～1800m，多集中在东南、南和西南边缘，沟谷穿插其间，通向外界则形成隘口要道。南部和西南部，包括大北沟镇和多伦诺尔镇南部。多伦诺尔镇与河北省交界地带地势最高，一般高程在1400～1800m。</w:t>
      </w:r>
    </w:p>
    <w:p w14:paraId="6A40C29C">
      <w:pPr>
        <w:ind w:firstLine="480"/>
        <w:rPr>
          <w:rFonts w:hAnsi="宋体"/>
          <w:color w:val="auto"/>
          <w:highlight w:val="none"/>
        </w:rPr>
      </w:pPr>
      <w:r>
        <w:rPr>
          <w:rFonts w:hAnsi="宋体"/>
          <w:color w:val="auto"/>
          <w:highlight w:val="none"/>
        </w:rPr>
        <w:t>西部：大北沟镇北部、蔡木山乡西部高程在 1250～1500m，为次高。最高点牛心山，高程1632m。中部：包括多伦诺尔镇、蔡木山乡，低于西部，一般高程在1250~ 1400m，最高点沙布楞西大山，高程1637.5m。北部：包括蔡木山乡北部，高程一般在1200～1400m，又低于中部。最高点蔡木山，高程1507m。东部：大河口乡最低，高程一般在1200～1350m，最高点红腾沟台子，高程1653.9m。</w:t>
      </w:r>
    </w:p>
    <w:p w14:paraId="505EBA96">
      <w:pPr>
        <w:pStyle w:val="5"/>
        <w:rPr>
          <w:color w:val="auto"/>
          <w:highlight w:val="none"/>
        </w:rPr>
      </w:pPr>
      <w:r>
        <w:rPr>
          <w:rFonts w:hint="eastAsia"/>
          <w:color w:val="auto"/>
          <w:highlight w:val="none"/>
        </w:rPr>
        <w:t>气象气候</w:t>
      </w:r>
    </w:p>
    <w:p w14:paraId="64A31187">
      <w:pPr>
        <w:ind w:firstLine="480"/>
        <w:rPr>
          <w:rFonts w:hint="eastAsia" w:hAnsi="宋体"/>
          <w:color w:val="auto"/>
          <w:highlight w:val="none"/>
        </w:rPr>
      </w:pPr>
      <w:bookmarkStart w:id="123" w:name="_Toc39115000"/>
      <w:bookmarkStart w:id="124" w:name="_Toc422910123"/>
      <w:bookmarkStart w:id="125" w:name="_Toc447897120"/>
      <w:bookmarkStart w:id="126" w:name="_Toc422088150"/>
      <w:bookmarkStart w:id="127" w:name="_Toc82610973"/>
      <w:bookmarkStart w:id="128" w:name="_Toc396948474"/>
      <w:bookmarkStart w:id="129" w:name="_Toc82483090"/>
      <w:r>
        <w:rPr>
          <w:rFonts w:hint="eastAsia" w:hAnsi="宋体"/>
          <w:color w:val="auto"/>
          <w:highlight w:val="none"/>
        </w:rPr>
        <w:t>多伦县地处我国东部季风区、中温带、半干旱向半湿润过渡地区，大陆性气候显著。其主要特点是春季干旱，夏季凉爽，较多雨，秋季冰雹频，霜雪早，寒暑变化强 烈，四季分明，气温变化明显。</w:t>
      </w:r>
    </w:p>
    <w:p w14:paraId="2FADE5BD">
      <w:pPr>
        <w:ind w:firstLine="480"/>
        <w:rPr>
          <w:rFonts w:hint="eastAsia" w:hAnsi="宋体"/>
          <w:color w:val="auto"/>
          <w:highlight w:val="none"/>
        </w:rPr>
      </w:pPr>
      <w:r>
        <w:rPr>
          <w:rFonts w:hint="eastAsia" w:hAnsi="宋体"/>
          <w:color w:val="auto"/>
          <w:highlight w:val="none"/>
        </w:rPr>
        <w:t>多伦县年平均气温2.4℃</w:t>
      </w:r>
      <w:r>
        <w:rPr>
          <w:rFonts w:hint="eastAsia" w:hAnsi="宋体"/>
          <w:color w:val="auto"/>
          <w:highlight w:val="none"/>
          <w:lang w:eastAsia="zh-CN"/>
        </w:rPr>
        <w:t>，</w:t>
      </w:r>
      <w:r>
        <w:rPr>
          <w:rFonts w:hint="eastAsia" w:hAnsi="宋体"/>
          <w:color w:val="auto"/>
          <w:highlight w:val="none"/>
        </w:rPr>
        <w:t>年平均最高气温9.1℃</w:t>
      </w:r>
      <w:r>
        <w:rPr>
          <w:rFonts w:hint="eastAsia" w:hAnsi="宋体"/>
          <w:color w:val="auto"/>
          <w:highlight w:val="none"/>
          <w:lang w:eastAsia="zh-CN"/>
        </w:rPr>
        <w:t>，</w:t>
      </w:r>
      <w:r>
        <w:rPr>
          <w:rFonts w:hint="eastAsia" w:hAnsi="宋体"/>
          <w:color w:val="auto"/>
          <w:highlight w:val="none"/>
        </w:rPr>
        <w:t>年平均最低气温-5℃</w:t>
      </w:r>
      <w:r>
        <w:rPr>
          <w:rFonts w:hint="eastAsia" w:hAnsi="宋体"/>
          <w:color w:val="auto"/>
          <w:highlight w:val="none"/>
          <w:lang w:eastAsia="zh-CN"/>
        </w:rPr>
        <w:t>，</w:t>
      </w:r>
      <w:r>
        <w:rPr>
          <w:rFonts w:hint="eastAsia" w:hAnsi="宋体"/>
          <w:color w:val="auto"/>
          <w:highlight w:val="none"/>
        </w:rPr>
        <w:t>最暖七月份，平均气温18.7℃</w:t>
      </w:r>
      <w:r>
        <w:rPr>
          <w:rFonts w:hint="eastAsia" w:hAnsi="宋体"/>
          <w:color w:val="auto"/>
          <w:highlight w:val="none"/>
          <w:lang w:eastAsia="zh-CN"/>
        </w:rPr>
        <w:t>，</w:t>
      </w:r>
      <w:r>
        <w:rPr>
          <w:rFonts w:hint="eastAsia" w:hAnsi="宋体"/>
          <w:color w:val="auto"/>
          <w:highlight w:val="none"/>
        </w:rPr>
        <w:t>最冷一月份，平均气温-17.1℃</w:t>
      </w:r>
      <w:r>
        <w:rPr>
          <w:rFonts w:hint="eastAsia" w:hAnsi="宋体"/>
          <w:color w:val="auto"/>
          <w:highlight w:val="none"/>
          <w:lang w:eastAsia="zh-CN"/>
        </w:rPr>
        <w:t>，</w:t>
      </w:r>
      <w:r>
        <w:rPr>
          <w:rFonts w:hint="eastAsia" w:hAnsi="宋体"/>
          <w:color w:val="auto"/>
          <w:highlight w:val="none"/>
        </w:rPr>
        <w:t>年温差35.4℃</w:t>
      </w:r>
      <w:r>
        <w:rPr>
          <w:rFonts w:hint="eastAsia" w:hAnsi="宋体"/>
          <w:color w:val="auto"/>
          <w:highlight w:val="none"/>
          <w:lang w:eastAsia="zh-CN"/>
        </w:rPr>
        <w:t>，</w:t>
      </w:r>
      <w:r>
        <w:rPr>
          <w:rFonts w:hint="eastAsia" w:hAnsi="宋体"/>
          <w:color w:val="auto"/>
          <w:highlight w:val="none"/>
        </w:rPr>
        <w:t>极端最高气温35.4℃</w:t>
      </w:r>
      <w:r>
        <w:rPr>
          <w:rFonts w:hint="eastAsia" w:hAnsi="宋体"/>
          <w:color w:val="auto"/>
          <w:highlight w:val="none"/>
          <w:lang w:eastAsia="zh-CN"/>
        </w:rPr>
        <w:t>，</w:t>
      </w:r>
      <w:r>
        <w:rPr>
          <w:rFonts w:hint="eastAsia" w:hAnsi="宋体"/>
          <w:color w:val="auto"/>
          <w:highlight w:val="none"/>
        </w:rPr>
        <w:t>最低气温-39.8℃</w:t>
      </w:r>
      <w:r>
        <w:rPr>
          <w:rFonts w:hint="eastAsia" w:hAnsi="宋体"/>
          <w:color w:val="auto"/>
          <w:highlight w:val="none"/>
          <w:lang w:eastAsia="zh-CN"/>
        </w:rPr>
        <w:t>，</w:t>
      </w:r>
      <w:r>
        <w:rPr>
          <w:rFonts w:hint="eastAsia" w:hAnsi="宋体"/>
          <w:color w:val="auto"/>
          <w:highlight w:val="none"/>
        </w:rPr>
        <w:t>≥10℃的积温1917.9℃</w:t>
      </w:r>
      <w:r>
        <w:rPr>
          <w:rFonts w:hint="eastAsia" w:hAnsi="宋体"/>
          <w:color w:val="auto"/>
          <w:highlight w:val="none"/>
          <w:lang w:eastAsia="zh-CN"/>
        </w:rPr>
        <w:t>，</w:t>
      </w:r>
      <w:r>
        <w:rPr>
          <w:rFonts w:hint="eastAsia" w:hAnsi="宋体"/>
          <w:color w:val="auto"/>
          <w:highlight w:val="none"/>
        </w:rPr>
        <w:t>平均湿度绝对值5.8mbar，相对湿度62%。</w:t>
      </w:r>
    </w:p>
    <w:p w14:paraId="593E8062">
      <w:pPr>
        <w:ind w:firstLine="480"/>
        <w:rPr>
          <w:rFonts w:hint="eastAsia" w:hAnsi="宋体"/>
          <w:color w:val="auto"/>
          <w:highlight w:val="none"/>
        </w:rPr>
      </w:pPr>
      <w:r>
        <w:rPr>
          <w:rFonts w:hint="eastAsia" w:hAnsi="宋体"/>
          <w:color w:val="auto"/>
          <w:highlight w:val="none"/>
        </w:rPr>
        <w:t>多伦县初霜期在9月8日前后，终霜期在5月26日前后，无霜期平均104d，最长的无霜期125d，出现在1953年，最短的无霜期78d，出现在1972年，最大冻土深度1.99m（1972年2月），冰冻厚度在1m左右。多伦县光照充足，年平均日照3109.9h，日照百分率70%，年平均幅射量为140.46千卡/cm²</w:t>
      </w:r>
      <w:r>
        <w:rPr>
          <w:rFonts w:hint="eastAsia" w:hAnsi="宋体"/>
          <w:color w:val="auto"/>
          <w:highlight w:val="none"/>
          <w:lang w:eastAsia="zh-CN"/>
        </w:rPr>
        <w:t>，</w:t>
      </w:r>
      <w:r>
        <w:rPr>
          <w:rFonts w:hint="eastAsia" w:hAnsi="宋体"/>
          <w:color w:val="auto"/>
          <w:highlight w:val="none"/>
        </w:rPr>
        <w:t>在4～9月份农作物和牧草生长和成熟期间，每月日照时数在263.0～309.8h之间，总日照数为1677.3h（4～9月），占全年日照数的53.9%，光照充足。</w:t>
      </w:r>
    </w:p>
    <w:p w14:paraId="7672B2F4">
      <w:pPr>
        <w:ind w:firstLine="480"/>
        <w:rPr>
          <w:rFonts w:hint="eastAsia" w:hAnsi="宋体"/>
          <w:color w:val="auto"/>
          <w:highlight w:val="none"/>
        </w:rPr>
      </w:pPr>
      <w:r>
        <w:rPr>
          <w:rFonts w:hint="eastAsia" w:hAnsi="宋体"/>
          <w:color w:val="auto"/>
          <w:highlight w:val="none"/>
        </w:rPr>
        <w:t>多伦县多年平均降水量386.4mm，最大年降水量512mm，出现在1973年。最小年降水量257.2mm，出现在1980年。降水的主要特征是年、季、月降水量变化大，降水集中在七、八、九三个月，七月份最大，平均降水量为253.35mm， 占全年降水量的66.8%，有利于农作物和牧草的生长发育。</w:t>
      </w:r>
    </w:p>
    <w:p w14:paraId="658C2A5F">
      <w:pPr>
        <w:ind w:firstLine="480"/>
        <w:rPr>
          <w:rFonts w:hint="eastAsia" w:hAnsi="宋体"/>
          <w:color w:val="auto"/>
          <w:highlight w:val="none"/>
        </w:rPr>
      </w:pPr>
      <w:r>
        <w:rPr>
          <w:rFonts w:hint="eastAsia" w:hAnsi="宋体"/>
          <w:color w:val="auto"/>
          <w:highlight w:val="none"/>
        </w:rPr>
        <w:t>全年平均蒸发量1716mm，是降水量的4.4倍。五月份蒸发量310.6mm，为全年之冠，一月份蒸发量最小，为27.5mm，蒸发与降水之比春夏秋冬分别为11.7、2.5、5.1和11.9倍。</w:t>
      </w:r>
    </w:p>
    <w:p w14:paraId="18401188">
      <w:pPr>
        <w:ind w:firstLine="480"/>
        <w:rPr>
          <w:rFonts w:hAnsi="宋体"/>
          <w:color w:val="auto"/>
          <w:highlight w:val="none"/>
        </w:rPr>
      </w:pPr>
      <w:r>
        <w:rPr>
          <w:rFonts w:hint="eastAsia" w:hAnsi="宋体"/>
          <w:color w:val="auto"/>
          <w:highlight w:val="none"/>
        </w:rPr>
        <w:t>多伦县因受西伯利亚冷空气的影响，以西风和西北风居多，夏季受季风的影响，东南风频率比冬季明显增大。年平均风速3.6m/s，多年平均大风日数84d，风速≥17.0m/s有67.3d，大风日数多集中在春季。</w:t>
      </w:r>
    </w:p>
    <w:bookmarkEnd w:id="123"/>
    <w:bookmarkEnd w:id="124"/>
    <w:bookmarkEnd w:id="125"/>
    <w:bookmarkEnd w:id="126"/>
    <w:bookmarkEnd w:id="127"/>
    <w:bookmarkEnd w:id="128"/>
    <w:bookmarkEnd w:id="129"/>
    <w:p w14:paraId="5964754B">
      <w:pPr>
        <w:pStyle w:val="5"/>
        <w:rPr>
          <w:color w:val="auto"/>
          <w:highlight w:val="none"/>
        </w:rPr>
      </w:pPr>
      <w:bookmarkStart w:id="130" w:name="_Toc24447114"/>
      <w:r>
        <w:rPr>
          <w:rFonts w:hint="eastAsia"/>
          <w:color w:val="auto"/>
          <w:highlight w:val="none"/>
        </w:rPr>
        <w:t>水文地质条件</w:t>
      </w:r>
      <w:bookmarkEnd w:id="130"/>
    </w:p>
    <w:p w14:paraId="222052D4">
      <w:pPr>
        <w:ind w:firstLine="480"/>
        <w:rPr>
          <w:rFonts w:hAnsi="宋体"/>
          <w:color w:val="auto"/>
          <w:highlight w:val="none"/>
        </w:rPr>
      </w:pPr>
      <w:r>
        <w:rPr>
          <w:rFonts w:hAnsi="宋体"/>
          <w:color w:val="auto"/>
          <w:highlight w:val="none"/>
        </w:rPr>
        <w:t>全县为半封闭的黑山嘴——大河口复式向斜盆地（高程为1790m～1230m），四周环山。盆地内第四系松散沉积物广布，玄武岩发育，低山丘陵受强烈剥蚀，岩石裸露地面，风化裂隙与构造裂隙发育，大气降水渗入形成基岩裂隙水，然后以地下径流方式补给盆地内地下水或以泉水方式排泄地表，基岩裂隙水不仅是潜水，也是承压水的补给源。北部浑善达克区沙丘潜水和凝结水亦是地下水的补给源之一。在盆地中部多伦县城西有承压自流水分布。滦河断裂呈北西－南东向延伸，垂直区内主要构造线的延伸方向使盆地完整性受到破坏，从而成为区内地表和地下水排泄通道。</w:t>
      </w:r>
    </w:p>
    <w:p w14:paraId="7A79240D">
      <w:pPr>
        <w:pStyle w:val="5"/>
        <w:rPr>
          <w:color w:val="auto"/>
          <w:highlight w:val="none"/>
        </w:rPr>
      </w:pPr>
      <w:r>
        <w:rPr>
          <w:rFonts w:hint="eastAsia"/>
          <w:color w:val="auto"/>
          <w:highlight w:val="none"/>
        </w:rPr>
        <w:t>河流水系</w:t>
      </w:r>
    </w:p>
    <w:p w14:paraId="1E31FF56">
      <w:pPr>
        <w:ind w:firstLine="480"/>
        <w:rPr>
          <w:rFonts w:hAnsi="宋体"/>
          <w:color w:val="auto"/>
          <w:highlight w:val="none"/>
        </w:rPr>
      </w:pPr>
      <w:r>
        <w:rPr>
          <w:rFonts w:hAnsi="宋体"/>
          <w:color w:val="auto"/>
          <w:highlight w:val="none"/>
        </w:rPr>
        <w:t>多伦县属滦河流域上游，为滦河源头。河流水系发育，境内地表水资源比较丰富，主要有滦河及其支流小河子河、闪电河、黑风河、吐力根河等40多条河流，季节性小河、泡淖和泉子众多，是全盟水资源较为丰富的旗县之一。</w:t>
      </w:r>
    </w:p>
    <w:p w14:paraId="73413697">
      <w:pPr>
        <w:ind w:firstLine="480"/>
        <w:rPr>
          <w:rFonts w:hAnsi="宋体"/>
          <w:color w:val="auto"/>
          <w:highlight w:val="none"/>
        </w:rPr>
      </w:pPr>
      <w:r>
        <w:rPr>
          <w:rFonts w:hAnsi="宋体"/>
          <w:color w:val="auto"/>
          <w:highlight w:val="none"/>
        </w:rPr>
        <w:t>1、滦河</w:t>
      </w:r>
    </w:p>
    <w:p w14:paraId="01AC4365">
      <w:pPr>
        <w:ind w:firstLine="480"/>
        <w:rPr>
          <w:rFonts w:hAnsi="宋体"/>
          <w:color w:val="auto"/>
          <w:highlight w:val="none"/>
        </w:rPr>
      </w:pPr>
      <w:r>
        <w:rPr>
          <w:rFonts w:hAnsi="宋体"/>
          <w:color w:val="auto"/>
          <w:highlight w:val="none"/>
        </w:rPr>
        <w:t>滦河古称濡水，发源于河北省丰宁县巴彦图古尔山麓。在多伦县白城子水文站与黑风河汇合前称闪电河，汇合后始称滦河，在多伦县境内长度为80km。沿途有小河子河、吐力根河两大支流，以及乱泥河、羊肠子河、前九号小河、后九号小河等多条河流从东西两侧汇入。大河口以下，河流进入山区，河道极度弯曲，河谷缩小为1～3km，河宽40～80m，深1.5～2.5m，河道平均比降为0.98‰。过多伦县大弧山子混凝土桥、西山湾，于小菜园东出境，回到河北省丰宁县草原乡，经栾平、承德、迁西，于乐亭县东注入渤海。</w:t>
      </w:r>
    </w:p>
    <w:p w14:paraId="0DDFA193">
      <w:pPr>
        <w:ind w:firstLine="480"/>
        <w:rPr>
          <w:rFonts w:hAnsi="宋体"/>
          <w:color w:val="auto"/>
          <w:highlight w:val="none"/>
        </w:rPr>
      </w:pPr>
      <w:r>
        <w:rPr>
          <w:rFonts w:hAnsi="宋体"/>
          <w:color w:val="auto"/>
          <w:highlight w:val="none"/>
        </w:rPr>
        <w:t>2、黑风河</w:t>
      </w:r>
    </w:p>
    <w:p w14:paraId="1E2F9FFB">
      <w:pPr>
        <w:ind w:firstLine="480"/>
        <w:rPr>
          <w:rFonts w:hAnsi="宋体"/>
          <w:color w:val="auto"/>
          <w:highlight w:val="none"/>
        </w:rPr>
      </w:pPr>
      <w:r>
        <w:rPr>
          <w:rFonts w:hAnsi="宋体"/>
          <w:color w:val="auto"/>
          <w:highlight w:val="none"/>
        </w:rPr>
        <w:t>黑风河上游有一段称毛哈尔布拉格（泉）、混德楞布拉格，发源于正蓝旗桑根达来苏木宝力格恩台敖包，海拔1611m，东经116°°12 ′，北纬42°33 ′，由东北流至扎格斯台诺尔、浩力图诺尔、和热木图诺尔，为境内滦河段上游主要支流之一。该河在和热木图塔拉以上无明显河床，由诺尔控制和调节水量。以地下潜流形式补给黑风河，流域大部分地区为丘陵区，少部分地区属沙丘地带。上游无明显支流，中游有蛇皮河、羊肠子河、洼达河、一家河等支流分别从两侧汇入。至多伦县白城子水文站汇入滦河，入口高程1299m，河流全长77.2km，河道比降2‰。</w:t>
      </w:r>
    </w:p>
    <w:p w14:paraId="4C3C1CAF">
      <w:pPr>
        <w:ind w:firstLine="480"/>
        <w:rPr>
          <w:rFonts w:hAnsi="宋体"/>
          <w:color w:val="auto"/>
          <w:highlight w:val="none"/>
        </w:rPr>
      </w:pPr>
      <w:r>
        <w:rPr>
          <w:rFonts w:hAnsi="宋体"/>
          <w:color w:val="auto"/>
          <w:highlight w:val="none"/>
        </w:rPr>
        <w:t>3、吐力根河</w:t>
      </w:r>
    </w:p>
    <w:p w14:paraId="5C75B3DA">
      <w:pPr>
        <w:ind w:firstLine="480"/>
        <w:rPr>
          <w:rFonts w:hAnsi="宋体"/>
          <w:color w:val="auto"/>
          <w:highlight w:val="none"/>
        </w:rPr>
      </w:pPr>
      <w:r>
        <w:rPr>
          <w:rFonts w:hAnsi="宋体"/>
          <w:color w:val="auto"/>
          <w:highlight w:val="none"/>
        </w:rPr>
        <w:t>吐力根河在清朝时称科达鲁浑河(吐力根河蒙古语为水流湍急、快速之意)，发源于赤峰市克什克腾旗鸡毛林山，向南倾，海拔1870m，东经117°24 ′，北纬42°31 ′，向南流至十间房转向西至二道河，向西南至多伦县大河口从左侧汇入滦河，入口高程为1206m。全河均为清水，河中游以上大部分为半山区和丘陵区，下游有沙河、撅尾巴河、马家店小河、韩家店小河等分别从两侧汇入。一般流量为2.5～3.5m³/s，河道全长111.8km，流域面积1261km²。</w:t>
      </w:r>
    </w:p>
    <w:p w14:paraId="46C246C8">
      <w:pPr>
        <w:ind w:firstLine="480"/>
        <w:rPr>
          <w:rFonts w:hAnsi="宋体"/>
          <w:color w:val="auto"/>
          <w:highlight w:val="none"/>
        </w:rPr>
      </w:pPr>
      <w:r>
        <w:rPr>
          <w:rFonts w:hAnsi="宋体"/>
          <w:color w:val="auto"/>
          <w:highlight w:val="none"/>
        </w:rPr>
        <w:t>4、闪电河</w:t>
      </w:r>
    </w:p>
    <w:p w14:paraId="70DEC5A9">
      <w:pPr>
        <w:ind w:firstLine="480"/>
        <w:rPr>
          <w:rFonts w:hAnsi="宋体"/>
          <w:color w:val="auto"/>
          <w:highlight w:val="none"/>
        </w:rPr>
      </w:pPr>
      <w:r>
        <w:rPr>
          <w:rFonts w:hAnsi="宋体"/>
          <w:color w:val="auto"/>
          <w:highlight w:val="none"/>
        </w:rPr>
        <w:t>闪电河古称濡源，在清朝时称上都河，发源于河北省赤城县东猴顶山北坡，海拔2210m，东经110°08′，北纬42°21′，西北流入丰宁县草原乡、骆驼沟大队、沽源县大滩进入闪电河水库，转向北于正蓝旗黑城子牧场南公路桥入境。以下至吐尔其山向东北流至多伦县炮台营子，转向东南到白城子水文站与黑风河汇合成滦河，改为南流。该河上游有许多泉眼，常年涌水，水源稳定，入境后一般河谷宽4～7km，多为沼泽草滩，河道比降1/700～1/1000，河槽宽7～20m之间，深1～2m，沿河两岸是丰美的天然牧场。河流含沙量0.463kg/m³。</w:t>
      </w:r>
    </w:p>
    <w:p w14:paraId="3C55D856">
      <w:pPr>
        <w:ind w:firstLine="480"/>
        <w:rPr>
          <w:rFonts w:hAnsi="宋体"/>
          <w:color w:val="auto"/>
          <w:highlight w:val="none"/>
        </w:rPr>
      </w:pPr>
      <w:r>
        <w:rPr>
          <w:rFonts w:hAnsi="宋体"/>
          <w:color w:val="auto"/>
          <w:highlight w:val="none"/>
        </w:rPr>
        <w:t>5、小河子河</w:t>
      </w:r>
    </w:p>
    <w:p w14:paraId="532154FA">
      <w:pPr>
        <w:ind w:firstLine="480"/>
        <w:rPr>
          <w:rFonts w:hAnsi="宋体"/>
          <w:color w:val="auto"/>
          <w:highlight w:val="none"/>
        </w:rPr>
      </w:pPr>
      <w:r>
        <w:rPr>
          <w:rFonts w:hAnsi="宋体"/>
          <w:color w:val="auto"/>
          <w:highlight w:val="none"/>
        </w:rPr>
        <w:t>小河子河在清朝时称厄尔腾河，明朝时称耗来河，发源于多伦县城西干沟乡水泉沟南山，东经116°10 ′，北纬41°52′，海拔1800m，向东北经多伦县东流至磴口村，从右侧汇入滦河，入口处高程为1216m。全河在花塘沟入口处以上为干沟，以下有水流，该河流域大部分为丘陵区，水沟较多，有花塘沟、七里河、哈拉海沟、吉吉嘎沟、胡菜沟、西菜园小河等分别从两侧汇入。水量不稳定，一般为0.5～1.5m³/s，洪峰高达400m³/s，河道全长71.7km，流域面积1295km²,河道比降3.33‰</w:t>
      </w:r>
    </w:p>
    <w:p w14:paraId="40D995DA">
      <w:pPr>
        <w:ind w:firstLine="480"/>
        <w:rPr>
          <w:rFonts w:hAnsi="宋体"/>
          <w:color w:val="auto"/>
          <w:highlight w:val="none"/>
        </w:rPr>
      </w:pPr>
      <w:r>
        <w:rPr>
          <w:rFonts w:hAnsi="宋体"/>
          <w:color w:val="auto"/>
          <w:highlight w:val="none"/>
        </w:rPr>
        <w:t>6、（湖泊）泡淖</w:t>
      </w:r>
    </w:p>
    <w:p w14:paraId="7711F7AB">
      <w:pPr>
        <w:ind w:firstLine="480"/>
        <w:rPr>
          <w:rFonts w:hAnsi="宋体"/>
          <w:color w:val="auto"/>
          <w:highlight w:val="none"/>
        </w:rPr>
      </w:pPr>
      <w:r>
        <w:rPr>
          <w:rFonts w:hAnsi="宋体"/>
          <w:color w:val="auto"/>
          <w:highlight w:val="none"/>
        </w:rPr>
        <w:t>多伦县大小湖泊（泡淖）62个，水面面积约3.4km²,年均水量约560万m³,较大湖泊（泡淖）有迎峰泡子、六号泡子、公吉淖、呼恨淖、铁公淖、牦牛淖、黄花淖等。泡淖集中洼地，亦是地下水排汇区，泡淖的水量和水面面积受降雨和蒸发影响随季节变化幅度较大，有相当一部分是季节性泡淖。</w:t>
      </w:r>
    </w:p>
    <w:p w14:paraId="2155866E">
      <w:pPr>
        <w:ind w:firstLine="480"/>
        <w:rPr>
          <w:rFonts w:hAnsi="宋体"/>
          <w:color w:val="auto"/>
          <w:highlight w:val="none"/>
        </w:rPr>
      </w:pPr>
      <w:r>
        <w:rPr>
          <w:rFonts w:hint="eastAsia" w:hAnsi="宋体"/>
          <w:color w:val="auto"/>
          <w:highlight w:val="none"/>
          <w:lang w:val="en-US" w:eastAsia="zh-CN"/>
        </w:rPr>
        <w:t>本项目所在区域</w:t>
      </w:r>
      <w:r>
        <w:rPr>
          <w:rFonts w:hAnsi="宋体"/>
          <w:color w:val="auto"/>
          <w:highlight w:val="none"/>
        </w:rPr>
        <w:t>流域水系见图4.1-1。</w:t>
      </w:r>
    </w:p>
    <w:p w14:paraId="0D2E9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auto"/>
          <w:highlight w:val="none"/>
        </w:rPr>
      </w:pPr>
      <w:r>
        <w:rPr>
          <w:color w:val="auto"/>
          <w:highlight w:val="none"/>
        </w:rPr>
        <w:drawing>
          <wp:inline distT="0" distB="0" distL="114300" distR="114300">
            <wp:extent cx="5273040" cy="5368925"/>
            <wp:effectExtent l="0" t="0" r="3810" b="3175"/>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43"/>
                    <a:stretch>
                      <a:fillRect/>
                    </a:stretch>
                  </pic:blipFill>
                  <pic:spPr>
                    <a:xfrm>
                      <a:off x="0" y="0"/>
                      <a:ext cx="5273040" cy="5368925"/>
                    </a:xfrm>
                    <a:prstGeom prst="rect">
                      <a:avLst/>
                    </a:prstGeom>
                    <a:noFill/>
                    <a:ln>
                      <a:noFill/>
                    </a:ln>
                  </pic:spPr>
                </pic:pic>
              </a:graphicData>
            </a:graphic>
          </wp:inline>
        </w:drawing>
      </w:r>
      <w:r>
        <w:rPr>
          <w:b/>
          <w:color w:val="auto"/>
          <w:highlight w:val="none"/>
        </w:rPr>
        <w:t>图4.1-1</w:t>
      </w:r>
      <w:r>
        <w:rPr>
          <w:rFonts w:hint="eastAsia"/>
          <w:b/>
          <w:color w:val="auto"/>
          <w:highlight w:val="none"/>
          <w:lang w:val="en-US" w:eastAsia="zh-CN"/>
        </w:rPr>
        <w:t xml:space="preserve">    </w:t>
      </w:r>
      <w:r>
        <w:rPr>
          <w:b/>
          <w:color w:val="auto"/>
          <w:highlight w:val="none"/>
        </w:rPr>
        <w:t xml:space="preserve"> 多伦县水系图</w:t>
      </w:r>
    </w:p>
    <w:p w14:paraId="153E19B5">
      <w:pPr>
        <w:pStyle w:val="5"/>
        <w:rPr>
          <w:color w:val="auto"/>
          <w:highlight w:val="none"/>
        </w:rPr>
      </w:pPr>
      <w:r>
        <w:rPr>
          <w:color w:val="auto"/>
          <w:highlight w:val="none"/>
        </w:rPr>
        <w:t>矿产资源</w:t>
      </w:r>
    </w:p>
    <w:p w14:paraId="14CB6774">
      <w:pPr>
        <w:ind w:firstLine="480"/>
        <w:rPr>
          <w:rFonts w:hAnsi="宋体"/>
          <w:color w:val="auto"/>
          <w:highlight w:val="none"/>
        </w:rPr>
      </w:pPr>
      <w:r>
        <w:rPr>
          <w:rFonts w:hAnsi="宋体"/>
          <w:color w:val="auto"/>
          <w:highlight w:val="none"/>
          <w:lang w:val="en-US" w:eastAsia="zh-CN"/>
        </w:rPr>
        <w:t>多伦县矿产资源丰富、种类多、分布广、储藏大、品位高、易开采。非金属</w:t>
      </w:r>
      <w:r>
        <w:rPr>
          <w:rFonts w:hint="default" w:hAnsi="宋体"/>
          <w:color w:val="auto"/>
          <w:highlight w:val="none"/>
          <w:lang w:val="en-US" w:eastAsia="zh-CN"/>
        </w:rPr>
        <w:t>矿藏主要有18种，其中已探明储量的有优质褐煤8658万吨、石灰岩222.42万吨、珍珠岩2.23亿吨、沸石988.37万吨、玛瑙石8.49万吨、水云母815.68万吨、萤石11.87万吨，火山岩估算储量在4.91亿立方米左右。金属矿藏中铁矿探明储量为1321万吨，铅、锡、锰、银、金矿藏也均有发现并在进一步做地质工作。</w:t>
      </w:r>
    </w:p>
    <w:p w14:paraId="45B05EF6">
      <w:pPr>
        <w:pStyle w:val="5"/>
        <w:rPr>
          <w:color w:val="auto"/>
          <w:highlight w:val="none"/>
        </w:rPr>
      </w:pPr>
      <w:r>
        <w:rPr>
          <w:rFonts w:hint="eastAsia"/>
          <w:color w:val="auto"/>
          <w:highlight w:val="none"/>
        </w:rPr>
        <w:t>土壤</w:t>
      </w:r>
    </w:p>
    <w:p w14:paraId="7796C6C4">
      <w:pPr>
        <w:ind w:firstLine="480"/>
        <w:rPr>
          <w:rFonts w:hint="eastAsia"/>
          <w:color w:val="auto"/>
          <w:highlight w:val="none"/>
        </w:rPr>
      </w:pPr>
      <w:r>
        <w:rPr>
          <w:rFonts w:hint="eastAsia"/>
          <w:color w:val="auto"/>
          <w:highlight w:val="none"/>
        </w:rPr>
        <w:t>多伦县土壤分为7个土类，14个亚类，29个土属，59个土种。灰褐土主要分布在大北沟镇水泉沟山、大河口乡东山低山的杨、桦混交次生林区。黑钙土主要分布在南部山地垂直带上，包括大石砬村、小石砬村、平甸沟村、巴颜坤兑村、门家营子一带。栗钙土广泛分布于县境内。风沙土主要分布在东北部和县城南。</w:t>
      </w:r>
    </w:p>
    <w:p w14:paraId="32E7CD81">
      <w:pPr>
        <w:pStyle w:val="5"/>
        <w:rPr>
          <w:color w:val="auto"/>
          <w:highlight w:val="none"/>
        </w:rPr>
      </w:pPr>
      <w:r>
        <w:rPr>
          <w:rFonts w:hint="eastAsia"/>
          <w:color w:val="auto"/>
          <w:highlight w:val="none"/>
          <w:lang w:val="en-US" w:eastAsia="zh-CN"/>
        </w:rPr>
        <w:t>植被、动物</w:t>
      </w:r>
    </w:p>
    <w:p w14:paraId="79C8D00A">
      <w:pPr>
        <w:ind w:firstLine="480"/>
        <w:rPr>
          <w:rFonts w:hint="eastAsia"/>
          <w:color w:val="auto"/>
          <w:highlight w:val="none"/>
        </w:rPr>
      </w:pPr>
      <w:r>
        <w:rPr>
          <w:rFonts w:hint="eastAsia"/>
          <w:color w:val="auto"/>
          <w:highlight w:val="none"/>
        </w:rPr>
        <w:t>多伦县属典型的自然生态系统，以草原生态系统为主且分布面积桂昂，由于人类活动较多，原有的自然生态系统有退化的现象。</w:t>
      </w:r>
    </w:p>
    <w:p w14:paraId="4B516CFD">
      <w:pPr>
        <w:ind w:firstLine="480"/>
        <w:rPr>
          <w:rFonts w:hint="eastAsia"/>
          <w:color w:val="auto"/>
          <w:highlight w:val="none"/>
        </w:rPr>
      </w:pPr>
      <w:r>
        <w:rPr>
          <w:rFonts w:hint="eastAsia"/>
          <w:color w:val="auto"/>
          <w:highlight w:val="none"/>
        </w:rPr>
        <w:t>植被分区属欧亚草原区，蒙古高原草原省，蒙古高原东部草原植物州。地带性植被为草原植被，隐域性植被为草甸植被。本州植物区系以达乌里-蒙古草原成分为主，亚洲中部草原成分也占相当重要的地位，黑海-哈萨克斯坦-蒙古种、东古北极种、东亚种、世界种也是本州草原植被的一部分。</w:t>
      </w:r>
    </w:p>
    <w:p w14:paraId="61824698">
      <w:pPr>
        <w:ind w:firstLine="480"/>
        <w:rPr>
          <w:rFonts w:hint="eastAsia"/>
          <w:color w:val="auto"/>
          <w:highlight w:val="none"/>
        </w:rPr>
      </w:pPr>
      <w:r>
        <w:rPr>
          <w:rFonts w:hint="eastAsia"/>
          <w:color w:val="auto"/>
          <w:highlight w:val="none"/>
        </w:rPr>
        <w:t>项目所在区内植物区系资源主要为禾本科、藜科、豆科、菊科和百合科等植物。</w:t>
      </w:r>
    </w:p>
    <w:p w14:paraId="668B74D8">
      <w:pPr>
        <w:ind w:firstLine="480"/>
        <w:rPr>
          <w:rFonts w:hint="eastAsia"/>
          <w:color w:val="auto"/>
          <w:highlight w:val="none"/>
        </w:rPr>
      </w:pPr>
      <w:r>
        <w:rPr>
          <w:rFonts w:hint="eastAsia"/>
          <w:color w:val="auto"/>
          <w:highlight w:val="none"/>
        </w:rPr>
        <w:t>多伦县有各种鸟兽31科49种，主要有黄羊、狍子、狼、狐、獾、貉、野兔等；栖息的鸟类主要有天鹅、大鸨、大雁、喜鹊、沙鸡、乌鸦、苍鹰、百灵等，其中大河口乡红花山所产百灵鸟，以歪爪为特征，以噪音嘹亮，善学百鸟音而闻名。</w:t>
      </w:r>
    </w:p>
    <w:p w14:paraId="3B9EC205">
      <w:pPr>
        <w:pStyle w:val="4"/>
        <w:spacing w:before="120" w:after="120"/>
        <w:ind w:left="578" w:hanging="578"/>
        <w:rPr>
          <w:color w:val="auto"/>
          <w:highlight w:val="none"/>
        </w:rPr>
      </w:pPr>
      <w:bookmarkStart w:id="131" w:name="_Toc15259"/>
      <w:r>
        <w:rPr>
          <w:rFonts w:hint="eastAsia"/>
          <w:color w:val="auto"/>
          <w:highlight w:val="none"/>
        </w:rPr>
        <w:t>内蒙古锡林郭勒多伦经济开发区概况</w:t>
      </w:r>
      <w:bookmarkEnd w:id="131"/>
    </w:p>
    <w:p w14:paraId="1FB2322F">
      <w:pPr>
        <w:pStyle w:val="5"/>
        <w:rPr>
          <w:color w:val="auto"/>
          <w:highlight w:val="none"/>
        </w:rPr>
      </w:pPr>
      <w:bookmarkStart w:id="132" w:name="_Toc24447121"/>
      <w:r>
        <w:rPr>
          <w:rFonts w:hint="eastAsia"/>
          <w:color w:val="auto"/>
          <w:highlight w:val="none"/>
        </w:rPr>
        <w:t>开发区</w:t>
      </w:r>
      <w:bookmarkEnd w:id="132"/>
      <w:r>
        <w:rPr>
          <w:rFonts w:hint="eastAsia"/>
          <w:color w:val="auto"/>
          <w:highlight w:val="none"/>
          <w:lang w:val="en-US" w:eastAsia="zh-CN"/>
        </w:rPr>
        <w:t>发展概况</w:t>
      </w:r>
    </w:p>
    <w:p w14:paraId="6C06155F">
      <w:pPr>
        <w:ind w:firstLine="480"/>
        <w:rPr>
          <w:rFonts w:hint="eastAsia"/>
          <w:color w:val="auto"/>
          <w:highlight w:val="none"/>
        </w:rPr>
      </w:pPr>
      <w:bookmarkStart w:id="133" w:name="_Toc24447122"/>
      <w:r>
        <w:rPr>
          <w:rFonts w:hint="eastAsia"/>
          <w:color w:val="auto"/>
          <w:highlight w:val="none"/>
        </w:rPr>
        <w:t>多伦新型工业化化工区于2007年开始筹建，2008年11月经锡盟行政公署批复成立，2009年被列为自治区第三批循环经济试点示范化工区之一，2011年被列为自治区“双百亿工程”重点培育建设化工区，2012年12月，经自治区人民政府批准晋升为自治区级工业化工区。</w:t>
      </w:r>
    </w:p>
    <w:p w14:paraId="57F59B1E">
      <w:pPr>
        <w:ind w:firstLine="480"/>
        <w:rPr>
          <w:rFonts w:hint="eastAsia"/>
          <w:color w:val="auto"/>
          <w:highlight w:val="none"/>
        </w:rPr>
      </w:pPr>
      <w:r>
        <w:rPr>
          <w:rFonts w:hint="eastAsia"/>
          <w:color w:val="auto"/>
          <w:highlight w:val="none"/>
        </w:rPr>
        <w:t>多伦新型工业化化工区规划期限为2012-2030年，其中：规划近期：2012-2015年；规划中期：2016-2020年；规划远期：2021-2030年。规划面积为56.07km²,为“一园四区”的功能结构，分别为新型化工产业区、农畜产品加工区、配套综合产业区、高新产业孵化区。</w:t>
      </w:r>
    </w:p>
    <w:p w14:paraId="2CC1FF2B">
      <w:pPr>
        <w:ind w:firstLine="480"/>
        <w:rPr>
          <w:rFonts w:hint="eastAsia"/>
          <w:color w:val="auto"/>
          <w:highlight w:val="none"/>
        </w:rPr>
      </w:pPr>
      <w:r>
        <w:rPr>
          <w:rFonts w:hint="eastAsia"/>
          <w:color w:val="auto"/>
          <w:highlight w:val="none"/>
        </w:rPr>
        <w:t>《多伦新型工业化化工区总体规划》于2011年编制完成。2013年12月该规划环评报告书已经由内蒙古八思巴环境技术咨询有限公司编制完成并通过专家评审，2014年1月27日，通过了内蒙古自治区环境保护厅的审查（内环字[2014]8 号文）。</w:t>
      </w:r>
    </w:p>
    <w:p w14:paraId="187D517D">
      <w:pPr>
        <w:ind w:firstLine="480"/>
        <w:rPr>
          <w:rFonts w:hint="eastAsia"/>
          <w:color w:val="auto"/>
          <w:highlight w:val="none"/>
        </w:rPr>
      </w:pPr>
      <w:r>
        <w:rPr>
          <w:rFonts w:hint="eastAsia"/>
          <w:color w:val="auto"/>
          <w:highlight w:val="none"/>
        </w:rPr>
        <w:t>内蒙古多伦工业园区管理委员会2019年6月委托浙江大学城乡规划设计研究院有限公司编制《内蒙古多伦工业化园区总体规划（2019-2035）》。根据新版规划，规划期 限调整为：2019年-2035年。内蒙古多伦工业园区总体规划包括高新产业园、化工新材料循环产业园、大河口特色产业园三个园区，形成“一区三园”的整体格局，规划园区总用地规模为40.9km2。内蒙古多伦工业园区定位为：以煤制烯烃循环产业、绿色制造产业、现代农业三产融合产业和晶体纤维新材料产业为主导，力争把多伦工业园区打造为生态环境优美、产业集聚发展、生产安全环保的自治区级工业园区和京津冀承接产业转移示范区、产城融合示范区。</w:t>
      </w:r>
    </w:p>
    <w:p w14:paraId="40703AD1">
      <w:pPr>
        <w:ind w:firstLine="480"/>
        <w:rPr>
          <w:rFonts w:hint="eastAsia"/>
          <w:color w:val="auto"/>
          <w:highlight w:val="none"/>
        </w:rPr>
      </w:pPr>
      <w:r>
        <w:rPr>
          <w:rFonts w:hint="eastAsia"/>
          <w:color w:val="auto"/>
          <w:highlight w:val="none"/>
        </w:rPr>
        <w:t>2020年5月9日取得内蒙古自治区生态环境厅关于转发《内蒙古多伦工业化园区总体规划（2019-2035）环境影响报告书》审查意见的函（内环函[2020]219 号）。</w:t>
      </w:r>
    </w:p>
    <w:p w14:paraId="33CC9847">
      <w:pPr>
        <w:ind w:firstLine="480"/>
        <w:rPr>
          <w:rFonts w:hint="eastAsia"/>
          <w:color w:val="auto"/>
          <w:highlight w:val="none"/>
        </w:rPr>
      </w:pPr>
      <w:r>
        <w:rPr>
          <w:rFonts w:hint="eastAsia"/>
          <w:color w:val="auto"/>
          <w:highlight w:val="none"/>
        </w:rPr>
        <w:t>目前正在修编《锡林郭勒多伦经济开发区国土空间总体规划（2023-2035 年）》和《锡林郭勒多伦经济开发区国土空间总体规划（2023-2035 年）环境影响报告书》。内蒙古锡林郭勒多伦经济开发区管理委员会2022年委托浙江大学城乡规划设计研究院有限公司修编《锡林郭勒多伦经济开发区国土空间总体规划（2023-2035年）》，主要对主导产业和产业布局进行调整。根据正在修编的规划，规划期限调整为：2023年-2035年。内蒙古锡林郭勒多伦经济开发区包括高新产业园、化工新材料循环产业园、大河口特色产业园三个园区，形成“一区三园六板块”的整体格局。七板块为：化工循环产业板块、新能源产业板块、公铁联运物流板块、冶金及新材料产业板块、高新制造产业板块和农畜加工产业板块。</w:t>
      </w:r>
    </w:p>
    <w:p w14:paraId="35688A37">
      <w:pPr>
        <w:pStyle w:val="5"/>
        <w:rPr>
          <w:color w:val="auto"/>
          <w:highlight w:val="none"/>
        </w:rPr>
      </w:pPr>
      <w:r>
        <w:rPr>
          <w:rFonts w:hint="eastAsia"/>
          <w:color w:val="auto"/>
          <w:highlight w:val="none"/>
        </w:rPr>
        <w:t>开发区</w:t>
      </w:r>
      <w:r>
        <w:rPr>
          <w:rFonts w:hint="eastAsia"/>
          <w:color w:val="auto"/>
          <w:highlight w:val="none"/>
          <w:lang w:val="en-US" w:eastAsia="zh-CN"/>
        </w:rPr>
        <w:t>规划产业定位</w:t>
      </w:r>
    </w:p>
    <w:p w14:paraId="015BFE21">
      <w:pPr>
        <w:ind w:firstLine="480"/>
        <w:rPr>
          <w:rFonts w:hint="eastAsia"/>
          <w:color w:val="auto"/>
          <w:highlight w:val="none"/>
        </w:rPr>
      </w:pPr>
      <w:r>
        <w:rPr>
          <w:rFonts w:hint="eastAsia"/>
          <w:color w:val="auto"/>
          <w:highlight w:val="none"/>
        </w:rPr>
        <w:t>充分发挥毗邻京津冀经济圈的地缘优势和丰富多样的生态环境优势，大力发展绿色生态型工业产业，不断完善园区基础设施和载体功能，积极优化园区发展软环境，打造“四基地、两示范区”。</w:t>
      </w:r>
    </w:p>
    <w:p w14:paraId="454BE11B">
      <w:pPr>
        <w:ind w:firstLine="480"/>
        <w:rPr>
          <w:rFonts w:hint="eastAsia"/>
          <w:color w:val="auto"/>
          <w:highlight w:val="none"/>
        </w:rPr>
      </w:pPr>
      <w:r>
        <w:rPr>
          <w:rFonts w:hint="eastAsia"/>
          <w:color w:val="auto"/>
          <w:highlight w:val="none"/>
        </w:rPr>
        <w:t>1、煤制烯烃循环产业基地</w:t>
      </w:r>
    </w:p>
    <w:p w14:paraId="5F0C7EE0">
      <w:pPr>
        <w:ind w:firstLine="480"/>
        <w:rPr>
          <w:rFonts w:hint="eastAsia"/>
          <w:color w:val="auto"/>
          <w:highlight w:val="none"/>
        </w:rPr>
      </w:pPr>
      <w:r>
        <w:rPr>
          <w:rFonts w:hint="eastAsia"/>
          <w:color w:val="auto"/>
          <w:highlight w:val="none"/>
        </w:rPr>
        <w:t>围绕大唐煤制烯烃项目下游新兴材料开发和副产物综合利用，加快推动产业链延伸，大力发展以聚丙烯为原料的化工新材料产业，构建“丙烯—聚丙烯—改性塑料—塑料复合材料”产业链；加强副产业综合利用，着力构建“煤制烯烃—混合碳四—汽油调和剂/石油树脂等”、“煤制烯烃—混合芳烃/LPG—苯/甲苯/二甲苯等”、“煤制烯烃—粉煤 灰/煤泥—环保建材”等循环经济产业链，加快形成区域大循环格局，打造“吃干榨净、高效利用、绿色环保”的煤制烯烃循环产业基地。</w:t>
      </w:r>
    </w:p>
    <w:p w14:paraId="26E95A01">
      <w:pPr>
        <w:ind w:firstLine="480"/>
        <w:rPr>
          <w:rFonts w:hint="eastAsia"/>
          <w:color w:val="auto"/>
          <w:highlight w:val="none"/>
        </w:rPr>
      </w:pPr>
      <w:r>
        <w:rPr>
          <w:rFonts w:hint="eastAsia"/>
          <w:color w:val="auto"/>
          <w:highlight w:val="none"/>
        </w:rPr>
        <w:t>2、绿色制造产业基地</w:t>
      </w:r>
    </w:p>
    <w:p w14:paraId="381C9945">
      <w:pPr>
        <w:ind w:firstLine="480"/>
        <w:rPr>
          <w:rFonts w:hint="eastAsia"/>
          <w:color w:val="auto"/>
          <w:highlight w:val="none"/>
        </w:rPr>
      </w:pPr>
      <w:r>
        <w:rPr>
          <w:rFonts w:hint="eastAsia"/>
          <w:color w:val="auto"/>
          <w:highlight w:val="none"/>
        </w:rPr>
        <w:t>依托区域优势资源，以承接京津冀地区非资源型产业转移、对接高新技术外溢辐射为契机，充分结合多伦大数据产业的有利条件，着力引进和培育电子信息、交通运输装备、新能源装备、通用航空制造、高端智能装备等加工制造产业，积极实施“互联网+制造”战略，加快推进产品数字化、生产自动化、过程智能化，构建制造产业全流程智慧服务体系，积极延伸产业链，鼓励企业间形成相互配套、相互支撑的共同发展关系，推动加工制造产业集中集聚，打造具有区域竞争优势的绿色制造产业基地。</w:t>
      </w:r>
    </w:p>
    <w:p w14:paraId="438A7498">
      <w:pPr>
        <w:ind w:firstLine="480"/>
        <w:rPr>
          <w:rFonts w:hint="eastAsia"/>
          <w:color w:val="auto"/>
          <w:highlight w:val="none"/>
        </w:rPr>
      </w:pPr>
      <w:r>
        <w:rPr>
          <w:rFonts w:hint="eastAsia"/>
          <w:color w:val="auto"/>
          <w:highlight w:val="none"/>
        </w:rPr>
        <w:t>3、现代农业三产融合发展基地</w:t>
      </w:r>
    </w:p>
    <w:p w14:paraId="7DF7F714">
      <w:pPr>
        <w:ind w:firstLine="480"/>
        <w:rPr>
          <w:rFonts w:hint="eastAsia"/>
          <w:color w:val="auto"/>
          <w:highlight w:val="none"/>
        </w:rPr>
      </w:pPr>
      <w:r>
        <w:rPr>
          <w:rFonts w:hint="eastAsia"/>
          <w:color w:val="auto"/>
          <w:highlight w:val="none"/>
        </w:rPr>
        <w:t>依托多伦县多样化的生物资源和农业资源优势，规划发展马铃薯、蔬菜、青饲料、油料、中药材等农作物的精深加工，积极向下游绿色食品、营养食品及保健产品延伸，按照专业化、集群化发展要求，加快构建绿色健康食品、蒙中医药产业集群；积极推动农产品加工与上游农业种植业联合发展，加强农业与旅游服务相结合，加大多伦“坝上古城，草原水乡”品牌建设与推广，结合绿色健康食品、特色道地蒙中药材开发，创新发展以休闲康养为主题的农业体验旅游产品，构建农业种植-加工-展销-文旅综合型产业链，不断深化农业一二三产融合程度，打造具有地域特色的现代农业种植、农产品加工、文化旅游体验于一体的农业三产融合发展基地。</w:t>
      </w:r>
    </w:p>
    <w:p w14:paraId="65672770">
      <w:pPr>
        <w:ind w:firstLine="480"/>
        <w:rPr>
          <w:rFonts w:hint="eastAsia"/>
          <w:color w:val="auto"/>
          <w:highlight w:val="none"/>
        </w:rPr>
      </w:pPr>
      <w:r>
        <w:rPr>
          <w:rFonts w:hint="eastAsia"/>
          <w:color w:val="auto"/>
          <w:highlight w:val="none"/>
        </w:rPr>
        <w:t>4、晶体纤维新材料产业基地</w:t>
      </w:r>
    </w:p>
    <w:p w14:paraId="24F08357">
      <w:pPr>
        <w:ind w:firstLine="480"/>
        <w:rPr>
          <w:rFonts w:hint="eastAsia"/>
          <w:color w:val="auto"/>
          <w:highlight w:val="none"/>
        </w:rPr>
      </w:pPr>
      <w:r>
        <w:rPr>
          <w:rFonts w:hint="eastAsia"/>
          <w:color w:val="auto"/>
          <w:highlight w:val="none"/>
        </w:rPr>
        <w:t>围绕延伸产业链，培育新动能，积极发展晶体纤维材料、金属新材料、化工新材料、先进碳材料等新材料产业，重点鼓励发展晶体纤维材料，规划建设晶体纤维产业基地，坚持产业链延伸和高端项目引进，发展聚丙烯纤维、玻璃纤维、玄武岩纤维、蓝宝石晶体、人造石英晶体、激光晶体等晶体纤维材料产业，兼顾发展以聚丙烯为基体的改性化工新材料、多元复合材料，推动园区高技术含量新材料的横向拓展和煤制烯烃项目的高附加值纵深延伸；加强终端应用产品研发，加快推动园区由晶体纤维材料生产向上游材料生产和下游应用产品制造并重转变，建设上下游一体化、多领域共同发展的晶体纤维新材料产业基地。</w:t>
      </w:r>
    </w:p>
    <w:p w14:paraId="2355A207">
      <w:pPr>
        <w:ind w:firstLine="480"/>
        <w:rPr>
          <w:rFonts w:hint="eastAsia"/>
          <w:color w:val="auto"/>
          <w:highlight w:val="none"/>
        </w:rPr>
      </w:pPr>
      <w:r>
        <w:rPr>
          <w:rFonts w:hint="eastAsia"/>
          <w:color w:val="auto"/>
          <w:highlight w:val="none"/>
        </w:rPr>
        <w:t>5、京津冀区域产业转移合作示范区</w:t>
      </w:r>
    </w:p>
    <w:p w14:paraId="42814B27">
      <w:pPr>
        <w:ind w:firstLine="480"/>
        <w:rPr>
          <w:rFonts w:hint="eastAsia"/>
          <w:color w:val="auto"/>
          <w:highlight w:val="none"/>
        </w:rPr>
      </w:pPr>
      <w:r>
        <w:rPr>
          <w:rFonts w:hint="eastAsia"/>
          <w:color w:val="auto"/>
          <w:highlight w:val="none"/>
        </w:rPr>
        <w:t>发挥多伦县打造锡盟南部区域中心城市的有利契机，围绕承接京津冀产业转移，着力优化营商环境，加快完善园区基础设施建设，建立健全科技创新机制，集聚创新要素，完善技术产权交易、科技成果转化、技术咨询、创业服务、公共技术服务等科技创新服务体系；加快与京津冀主要城市建立产业合作关系，围绕装备制造、家居建材、新型材料、五金工具、纺织服装等产业展开跨区域产业合作，促进产业链式转移和整体承接，打造京津冀区域产业转移合作示范区。</w:t>
      </w:r>
    </w:p>
    <w:p w14:paraId="4C7B6E7E">
      <w:pPr>
        <w:ind w:firstLine="480"/>
        <w:rPr>
          <w:rFonts w:hint="eastAsia"/>
          <w:color w:val="auto"/>
          <w:highlight w:val="none"/>
        </w:rPr>
      </w:pPr>
      <w:r>
        <w:rPr>
          <w:rFonts w:hint="eastAsia"/>
          <w:color w:val="auto"/>
          <w:highlight w:val="none"/>
        </w:rPr>
        <w:t>6、区域中心城市产城融合示范区</w:t>
      </w:r>
    </w:p>
    <w:p w14:paraId="64EF13CB">
      <w:pPr>
        <w:ind w:firstLine="480"/>
        <w:rPr>
          <w:rFonts w:hint="eastAsia"/>
          <w:color w:val="auto"/>
          <w:highlight w:val="none"/>
        </w:rPr>
      </w:pPr>
      <w:r>
        <w:rPr>
          <w:rFonts w:hint="eastAsia"/>
          <w:color w:val="auto"/>
          <w:highlight w:val="none"/>
        </w:rPr>
        <w:t>充分发挥园区紧邻中心城区的地理条件优势，在高新产业园规划建设综合产业新城、大健康产业小镇和产学研科技小镇等特色板块，重点发展家居建材、五金配件、装备制造、医药食品等加工制造产业，大力培育城市物流、商务会展、信息服务、文化创意、科技创新、总部经济等现代服务业，不断推进工业与服务业深度融合；加快完善新型城镇功能，引入居住、教育、医疗、休闲、娱乐等城市功能，提升高端生产和生活性有效供给能力；加强生态环境和基础设施建设，打造生态特色景观，全面提升生态人文宜居品质，加速融入中心城区，打造“以产兴城、以城带产、产城一体”的 产城融合示范区。</w:t>
      </w:r>
    </w:p>
    <w:p w14:paraId="5999E41C">
      <w:pPr>
        <w:pStyle w:val="5"/>
        <w:rPr>
          <w:rFonts w:hint="eastAsia"/>
          <w:color w:val="auto"/>
          <w:highlight w:val="none"/>
        </w:rPr>
      </w:pPr>
      <w:r>
        <w:rPr>
          <w:rFonts w:hint="eastAsia"/>
          <w:color w:val="auto"/>
          <w:highlight w:val="none"/>
          <w:lang w:val="en-US" w:eastAsia="zh-CN"/>
        </w:rPr>
        <w:t>开发区</w:t>
      </w:r>
      <w:r>
        <w:rPr>
          <w:rFonts w:hint="eastAsia"/>
          <w:color w:val="auto"/>
          <w:highlight w:val="none"/>
        </w:rPr>
        <w:t>规划结构及产业布局</w:t>
      </w:r>
    </w:p>
    <w:p w14:paraId="06D3BCC0">
      <w:pPr>
        <w:ind w:firstLine="480"/>
        <w:rPr>
          <w:rFonts w:hint="eastAsia"/>
          <w:color w:val="auto"/>
          <w:highlight w:val="none"/>
        </w:rPr>
      </w:pPr>
      <w:r>
        <w:rPr>
          <w:rFonts w:hint="eastAsia"/>
          <w:color w:val="auto"/>
          <w:highlight w:val="none"/>
        </w:rPr>
        <w:t>多伦工业园区规划空间结构为“一区、三园、两轴、七板块”。</w:t>
      </w:r>
    </w:p>
    <w:p w14:paraId="093B894D">
      <w:pPr>
        <w:ind w:firstLine="480"/>
        <w:rPr>
          <w:rFonts w:hint="eastAsia"/>
          <w:color w:val="auto"/>
          <w:highlight w:val="none"/>
        </w:rPr>
      </w:pPr>
      <w:r>
        <w:rPr>
          <w:rFonts w:hint="eastAsia"/>
          <w:color w:val="auto"/>
          <w:highlight w:val="none"/>
        </w:rPr>
        <w:t>1、“一区”：即多伦工业园区。</w:t>
      </w:r>
    </w:p>
    <w:p w14:paraId="3FBB8D5D">
      <w:pPr>
        <w:ind w:firstLine="480"/>
        <w:rPr>
          <w:rFonts w:hint="eastAsia"/>
          <w:color w:val="auto"/>
          <w:highlight w:val="none"/>
        </w:rPr>
      </w:pPr>
      <w:r>
        <w:rPr>
          <w:rFonts w:hint="eastAsia"/>
          <w:color w:val="auto"/>
          <w:highlight w:val="none"/>
        </w:rPr>
        <w:t>2、“三园”：即高新产业园、化工新材料循环产业园及大河口特色产业园。</w:t>
      </w:r>
    </w:p>
    <w:p w14:paraId="37957416">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高新产业园</w:t>
      </w:r>
    </w:p>
    <w:p w14:paraId="1A9F6CC3">
      <w:pPr>
        <w:ind w:firstLine="480"/>
        <w:rPr>
          <w:rFonts w:hint="eastAsia"/>
          <w:color w:val="auto"/>
          <w:highlight w:val="none"/>
        </w:rPr>
      </w:pPr>
      <w:r>
        <w:rPr>
          <w:rFonts w:hint="eastAsia"/>
          <w:color w:val="auto"/>
          <w:highlight w:val="none"/>
        </w:rPr>
        <w:t>立足承接京津冀产业转移的大背景，以多伦中心城区完善的居住、商业、教育、医疗等配套设施为依托，创新产业发展空间，加快园区向综合产业新城的转变，为多伦打造区域南部中心城市建设提供产业支撑。</w:t>
      </w:r>
    </w:p>
    <w:p w14:paraId="73A4F185">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化工新材料循环产业园</w:t>
      </w:r>
    </w:p>
    <w:p w14:paraId="4FEACA1F">
      <w:pPr>
        <w:ind w:firstLine="480"/>
        <w:rPr>
          <w:rFonts w:hint="eastAsia"/>
          <w:color w:val="auto"/>
          <w:highlight w:val="none"/>
        </w:rPr>
      </w:pPr>
      <w:r>
        <w:rPr>
          <w:rFonts w:hint="eastAsia"/>
          <w:color w:val="auto"/>
          <w:highlight w:val="none"/>
        </w:rPr>
        <w:t>利用产业园现状大唐煤基烯烃、世腾芳构化工等项目资源，优化产业链分工布局，推动下游产业链延伸，上下游关联企业协同发展，实现化工新材料产业循环发展。</w:t>
      </w:r>
    </w:p>
    <w:p w14:paraId="2918F364">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大河口特色产业园</w:t>
      </w:r>
    </w:p>
    <w:p w14:paraId="3467DAA3">
      <w:pPr>
        <w:ind w:firstLine="480"/>
        <w:rPr>
          <w:rFonts w:hint="eastAsia"/>
          <w:color w:val="auto"/>
          <w:highlight w:val="none"/>
        </w:rPr>
      </w:pPr>
      <w:r>
        <w:rPr>
          <w:rFonts w:hint="eastAsia"/>
          <w:color w:val="auto"/>
          <w:highlight w:val="none"/>
        </w:rPr>
        <w:t>充分发挥多伦及周边地区优质的农畜资源，并结合滦源镇城镇化发展，围绕绿色农畜产品加工，通过引导返乡农民创业，积极培育发展本土中小企业发展；同时做好创新型产业载体和平台搭建，为本土化创新创业人员和企业提供政策、资金、技术成果转化等服务，加快引进农业科技型企业，打造农业全产业链双创示范基地。</w:t>
      </w:r>
    </w:p>
    <w:p w14:paraId="491BAF46">
      <w:pPr>
        <w:ind w:firstLine="480"/>
        <w:rPr>
          <w:rFonts w:hint="eastAsia"/>
          <w:color w:val="auto"/>
          <w:highlight w:val="none"/>
          <w:lang w:eastAsia="zh-CN"/>
        </w:rPr>
      </w:pPr>
      <w:r>
        <w:rPr>
          <w:rFonts w:hint="eastAsia"/>
          <w:color w:val="auto"/>
          <w:highlight w:val="none"/>
        </w:rPr>
        <w:t>3、“七板块”：即一个综合产业新城、两个特色产业小镇、四个产业板块</w:t>
      </w:r>
      <w:r>
        <w:rPr>
          <w:rFonts w:hint="eastAsia"/>
          <w:color w:val="auto"/>
          <w:highlight w:val="none"/>
          <w:lang w:eastAsia="zh-CN"/>
        </w:rPr>
        <w:t>：</w:t>
      </w:r>
    </w:p>
    <w:p w14:paraId="55100D36">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综合产业新城</w:t>
      </w:r>
    </w:p>
    <w:p w14:paraId="789A0436">
      <w:pPr>
        <w:ind w:firstLine="480"/>
        <w:rPr>
          <w:rFonts w:hint="eastAsia"/>
          <w:color w:val="auto"/>
          <w:highlight w:val="none"/>
        </w:rPr>
      </w:pPr>
      <w:r>
        <w:rPr>
          <w:rFonts w:hint="eastAsia"/>
          <w:color w:val="auto"/>
          <w:highlight w:val="none"/>
        </w:rPr>
        <w:t>位于高新产业园北部，北至德胜大街，南至西纬二街，东至东经一路，西至西经一街，用地面积约为746.45公顷，重点打造一个新城客厅，发展包括家居建材、五金零配件加工、塑料加工、电子信息制造、高端装备制造、新能源装备制造、城市物流等产业。</w:t>
      </w:r>
    </w:p>
    <w:p w14:paraId="5FF1E503">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两个特色产业小镇</w:t>
      </w:r>
    </w:p>
    <w:p w14:paraId="150C8A70">
      <w:pPr>
        <w:ind w:firstLine="480"/>
        <w:rPr>
          <w:rFonts w:hint="eastAsia"/>
          <w:color w:val="auto"/>
          <w:highlight w:val="none"/>
        </w:rPr>
      </w:pPr>
      <w:r>
        <w:rPr>
          <w:rFonts w:hint="eastAsia"/>
          <w:color w:val="auto"/>
          <w:highlight w:val="none"/>
        </w:rPr>
        <w:t>①大健康产业小镇</w:t>
      </w:r>
    </w:p>
    <w:p w14:paraId="08D96AFC">
      <w:pPr>
        <w:ind w:firstLine="480"/>
        <w:rPr>
          <w:rFonts w:hint="eastAsia"/>
          <w:color w:val="auto"/>
          <w:highlight w:val="none"/>
        </w:rPr>
      </w:pPr>
      <w:r>
        <w:rPr>
          <w:rFonts w:hint="eastAsia"/>
          <w:color w:val="auto"/>
          <w:highlight w:val="none"/>
        </w:rPr>
        <w:t>位于高新产业园中南部，北至西纬二街，东南至国道G510，西至紫薇湖东侧，用地面积约为302.04公顷，重点打造一个小镇配套服务中心，发展包括生物医药、营养食品等产业。</w:t>
      </w:r>
    </w:p>
    <w:p w14:paraId="0F6C9469">
      <w:pPr>
        <w:ind w:firstLine="480"/>
        <w:rPr>
          <w:rFonts w:hint="eastAsia"/>
          <w:color w:val="auto"/>
          <w:highlight w:val="none"/>
        </w:rPr>
      </w:pPr>
      <w:r>
        <w:rPr>
          <w:rFonts w:hint="eastAsia"/>
          <w:color w:val="auto"/>
          <w:highlight w:val="none"/>
        </w:rPr>
        <w:t>②产学研科技小镇</w:t>
      </w:r>
    </w:p>
    <w:p w14:paraId="0C6BEB8C">
      <w:pPr>
        <w:ind w:firstLine="480"/>
        <w:rPr>
          <w:rFonts w:hint="eastAsia"/>
          <w:color w:val="auto"/>
          <w:highlight w:val="none"/>
        </w:rPr>
      </w:pPr>
      <w:r>
        <w:rPr>
          <w:rFonts w:hint="eastAsia"/>
          <w:color w:val="auto"/>
          <w:highlight w:val="none"/>
        </w:rPr>
        <w:t>位于高新产业园南部，北至国道G510，其他三面均为山地，用地面积约为365.98 公顷，重点打造一个小镇配套服务中心，发展包括科技信息交流、技术咨询与孵化、专利服务、科技展览、标准认证、质量检测、科技评估等产业。</w:t>
      </w:r>
    </w:p>
    <w:p w14:paraId="4ACC9009">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四个产业板块</w:t>
      </w:r>
    </w:p>
    <w:p w14:paraId="0FB750EB">
      <w:pPr>
        <w:ind w:firstLine="480"/>
        <w:rPr>
          <w:rFonts w:hint="eastAsia"/>
          <w:color w:val="auto"/>
          <w:highlight w:val="none"/>
        </w:rPr>
      </w:pPr>
      <w:r>
        <w:rPr>
          <w:rFonts w:hint="eastAsia"/>
          <w:color w:val="auto"/>
          <w:highlight w:val="none"/>
        </w:rPr>
        <w:t>①大唐煤化工产业板块</w:t>
      </w:r>
    </w:p>
    <w:p w14:paraId="11C68722">
      <w:pPr>
        <w:ind w:firstLine="480"/>
        <w:rPr>
          <w:rFonts w:hint="eastAsia"/>
          <w:color w:val="auto"/>
          <w:highlight w:val="none"/>
        </w:rPr>
      </w:pPr>
      <w:r>
        <w:rPr>
          <w:rFonts w:hint="eastAsia"/>
          <w:color w:val="auto"/>
          <w:highlight w:val="none"/>
        </w:rPr>
        <w:t>位于化工新材料循环产业园北部，北至沈河驿街以北，南至国道G510，东至联邦物流东侧，西至东经一路，用地面积约为1142.37公顷，重点围绕大唐煤化工，发展煤化工下游、大宗物流等产业。</w:t>
      </w:r>
    </w:p>
    <w:p w14:paraId="64AAB96A">
      <w:pPr>
        <w:ind w:firstLine="480"/>
        <w:rPr>
          <w:rFonts w:hint="eastAsia"/>
          <w:color w:val="auto"/>
          <w:highlight w:val="none"/>
        </w:rPr>
      </w:pPr>
      <w:r>
        <w:rPr>
          <w:rFonts w:hint="eastAsia"/>
          <w:color w:val="auto"/>
          <w:highlight w:val="none"/>
        </w:rPr>
        <w:t>②晶体纤维产业板块</w:t>
      </w:r>
    </w:p>
    <w:p w14:paraId="19353B65">
      <w:pPr>
        <w:ind w:firstLine="480"/>
        <w:rPr>
          <w:rFonts w:hint="eastAsia"/>
          <w:color w:val="auto"/>
          <w:highlight w:val="none"/>
        </w:rPr>
      </w:pPr>
      <w:r>
        <w:rPr>
          <w:rFonts w:hint="eastAsia"/>
          <w:color w:val="auto"/>
          <w:highlight w:val="none"/>
        </w:rPr>
        <w:t>位于化工新材料循环产业园南部，北至国道G510，南至大唐工业废渣填埋厂南部山地，东至南经四路，西至工业危险废弃物处置厂，用地面积约为838.37公顷，重点发展包括晶体纤维新材料、节能环保、复合材料及金属加工等产业。</w:t>
      </w:r>
    </w:p>
    <w:p w14:paraId="51803A7A">
      <w:pPr>
        <w:ind w:firstLine="480"/>
        <w:rPr>
          <w:rFonts w:hint="eastAsia"/>
          <w:color w:val="auto"/>
          <w:highlight w:val="none"/>
        </w:rPr>
      </w:pPr>
      <w:r>
        <w:rPr>
          <w:rFonts w:hint="eastAsia"/>
          <w:color w:val="auto"/>
          <w:highlight w:val="none"/>
        </w:rPr>
        <w:t>③农畜产品加工产业板块</w:t>
      </w:r>
    </w:p>
    <w:p w14:paraId="4145EF33">
      <w:pPr>
        <w:ind w:firstLine="480"/>
        <w:rPr>
          <w:rFonts w:hint="eastAsia"/>
          <w:color w:val="auto"/>
          <w:highlight w:val="none"/>
        </w:rPr>
      </w:pPr>
      <w:r>
        <w:rPr>
          <w:rFonts w:hint="eastAsia"/>
          <w:color w:val="auto"/>
          <w:highlight w:val="none"/>
        </w:rPr>
        <w:t>位于滦源镇东部、国道G510北侧，大经四路西侧，用地面积约为292.44公顷，重点打造生态农业全产业链组团，发展包括绿色食品加工及绒毛加工等产业。</w:t>
      </w:r>
    </w:p>
    <w:p w14:paraId="0547FA8A">
      <w:pPr>
        <w:ind w:firstLine="480"/>
        <w:rPr>
          <w:rFonts w:hint="eastAsia"/>
          <w:color w:val="auto"/>
          <w:highlight w:val="none"/>
        </w:rPr>
      </w:pPr>
      <w:r>
        <w:rPr>
          <w:rFonts w:hint="eastAsia"/>
          <w:color w:val="auto"/>
          <w:highlight w:val="none"/>
        </w:rPr>
        <w:t>④蒙中医药产业化板块</w:t>
      </w:r>
    </w:p>
    <w:p w14:paraId="68213AC4">
      <w:pPr>
        <w:ind w:firstLine="480"/>
        <w:rPr>
          <w:rFonts w:hint="eastAsia"/>
          <w:color w:val="auto"/>
          <w:highlight w:val="none"/>
        </w:rPr>
      </w:pPr>
      <w:r>
        <w:rPr>
          <w:rFonts w:hint="eastAsia"/>
          <w:color w:val="auto"/>
          <w:highlight w:val="none"/>
        </w:rPr>
        <w:t>位于国道G510北侧，大经四路东侧，外环路南侧，用地面积约为313.37公顷，规划充分发挥多伦县特色蒙中药材资源优势，以“蒙中医药全产业链”的发展思路，重点打造基地产业配套服务点，发展包括蒙中医药、综合物流及农民返乡创业相关等产业。</w:t>
      </w:r>
    </w:p>
    <w:p w14:paraId="7D4B2E49">
      <w:pPr>
        <w:ind w:firstLine="480"/>
        <w:rPr>
          <w:rFonts w:hint="eastAsia"/>
          <w:color w:val="auto"/>
          <w:highlight w:val="none"/>
        </w:rPr>
      </w:pPr>
      <w:r>
        <w:rPr>
          <w:rFonts w:hint="eastAsia"/>
          <w:color w:val="auto"/>
          <w:highlight w:val="none"/>
        </w:rPr>
        <w:t>4、“两轴”：即科技发展轴和旅游发展轴</w:t>
      </w:r>
    </w:p>
    <w:p w14:paraId="37A5C01A">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科技发展轴</w:t>
      </w:r>
    </w:p>
    <w:p w14:paraId="12D62F7B">
      <w:pPr>
        <w:ind w:firstLine="480"/>
        <w:rPr>
          <w:rFonts w:hint="eastAsia"/>
          <w:color w:val="auto"/>
          <w:highlight w:val="none"/>
        </w:rPr>
      </w:pPr>
      <w:r>
        <w:rPr>
          <w:rFonts w:hint="eastAsia"/>
          <w:color w:val="auto"/>
          <w:highlight w:val="none"/>
        </w:rPr>
        <w:t>以多伦大街与国道G510作为园区与中心城区的快速交通联系通道，强化园区与中心城区在科技孵化、总部办公、金融服务等生产要素的衔接，实现工业与城镇化、信息化的有机融合。</w:t>
      </w:r>
    </w:p>
    <w:p w14:paraId="194416F3">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旅游发展轴</w:t>
      </w:r>
    </w:p>
    <w:p w14:paraId="0C691D34">
      <w:pPr>
        <w:ind w:firstLine="480"/>
        <w:rPr>
          <w:rFonts w:hint="eastAsia"/>
          <w:color w:val="auto"/>
          <w:highlight w:val="none"/>
        </w:rPr>
      </w:pPr>
      <w:r>
        <w:rPr>
          <w:rFonts w:hint="eastAsia"/>
          <w:color w:val="auto"/>
          <w:highlight w:val="none"/>
        </w:rPr>
        <w:t>围绕“坝上古城”、“草原水乡”、“健康科技”三大旅游主题，以园区“景区化”为发展目标，串联“云计算大数据产业园——多伦古城——森林小镇——生态湿地公园——产业新城客厅——大健康产业小镇——产学研科技小镇——大唐园区——大河口水库、西山湾水库——滦源殿旅游度假村”，打造多伦旅游发展轴。</w:t>
      </w:r>
    </w:p>
    <w:p w14:paraId="6EE03343">
      <w:pPr>
        <w:pStyle w:val="5"/>
        <w:rPr>
          <w:color w:val="auto"/>
          <w:highlight w:val="none"/>
        </w:rPr>
      </w:pPr>
      <w:r>
        <w:rPr>
          <w:rFonts w:hint="eastAsia"/>
          <w:color w:val="auto"/>
          <w:highlight w:val="none"/>
          <w:lang w:val="en-US" w:eastAsia="zh-CN"/>
        </w:rPr>
        <w:t>开发区</w:t>
      </w:r>
      <w:r>
        <w:rPr>
          <w:rFonts w:hint="eastAsia"/>
          <w:color w:val="auto"/>
          <w:highlight w:val="none"/>
        </w:rPr>
        <w:t>最新修编产业布局规划调整情况</w:t>
      </w:r>
    </w:p>
    <w:p w14:paraId="728E789B">
      <w:pPr>
        <w:ind w:firstLine="480"/>
        <w:rPr>
          <w:rFonts w:hint="eastAsia"/>
          <w:color w:val="auto"/>
          <w:highlight w:val="none"/>
        </w:rPr>
      </w:pPr>
      <w:r>
        <w:rPr>
          <w:rFonts w:hint="eastAsia"/>
          <w:color w:val="auto"/>
          <w:highlight w:val="none"/>
        </w:rPr>
        <w:t>内蒙古锡林郭勒多伦经济开发区管理委员会2022年委托浙江大学城乡规划设计研究院有限公司修编《锡林郭勒多伦经济开发区国土空间总体规划（2023-2035年）》，主要对主导产业和产业布局进行调整。根据正在修编的规划，规划期限调整为：2023年-2035年。内蒙古锡林郭勒多伦经济开发区包括高新产业园、化工新材料循环产业园、大河口特色产业园三个园区，形成“一区三园六板块”的整体格局。七板块为：化工循环产业板块、新能源产业板块、公铁联运物流板块、冶金及新材料产业板块、高新制造产业板块和农畜加工产业板块。本项目属于新能源产业板块软磁材料子产业。</w:t>
      </w:r>
    </w:p>
    <w:p w14:paraId="2DA67615">
      <w:pPr>
        <w:ind w:firstLine="480"/>
        <w:rPr>
          <w:rFonts w:hint="eastAsia"/>
          <w:color w:val="auto"/>
          <w:highlight w:val="none"/>
        </w:rPr>
      </w:pPr>
      <w:r>
        <w:rPr>
          <w:rFonts w:hint="eastAsia"/>
          <w:color w:val="auto"/>
          <w:highlight w:val="none"/>
          <w:lang w:val="en-US" w:eastAsia="zh-CN"/>
        </w:rPr>
        <w:t>调整后产业布局情况</w:t>
      </w:r>
      <w:r>
        <w:rPr>
          <w:rFonts w:hint="eastAsia"/>
          <w:color w:val="auto"/>
          <w:highlight w:val="none"/>
        </w:rPr>
        <w:t>详见表</w:t>
      </w:r>
      <w:r>
        <w:rPr>
          <w:rFonts w:hint="eastAsia"/>
          <w:color w:val="auto"/>
          <w:highlight w:val="none"/>
          <w:lang w:val="en-US" w:eastAsia="zh-CN"/>
        </w:rPr>
        <w:t>4.2-1</w:t>
      </w:r>
      <w:r>
        <w:rPr>
          <w:rFonts w:hint="eastAsia"/>
          <w:color w:val="auto"/>
          <w:highlight w:val="none"/>
        </w:rPr>
        <w:t>和图</w:t>
      </w:r>
      <w:r>
        <w:rPr>
          <w:rFonts w:hint="eastAsia"/>
          <w:color w:val="auto"/>
          <w:highlight w:val="none"/>
          <w:lang w:val="en-US" w:eastAsia="zh-CN"/>
        </w:rPr>
        <w:t>1.3-1</w:t>
      </w:r>
      <w:r>
        <w:rPr>
          <w:rFonts w:hint="eastAsia"/>
          <w:color w:val="auto"/>
          <w:highlight w:val="none"/>
        </w:rPr>
        <w:t>。</w:t>
      </w:r>
    </w:p>
    <w:p w14:paraId="3F2ADD5E">
      <w:pPr>
        <w:pStyle w:val="40"/>
        <w:rPr>
          <w:rFonts w:hint="eastAsia"/>
          <w:color w:val="auto"/>
          <w:highlight w:val="none"/>
        </w:rPr>
      </w:pPr>
    </w:p>
    <w:p w14:paraId="6FD33A22">
      <w:pPr>
        <w:pStyle w:val="17"/>
        <w:rPr>
          <w:rFonts w:hint="eastAsia"/>
          <w:color w:val="auto"/>
          <w:highlight w:val="none"/>
        </w:rPr>
      </w:pPr>
    </w:p>
    <w:p w14:paraId="48ED3DBD">
      <w:pPr>
        <w:rPr>
          <w:rFonts w:hint="eastAsia"/>
          <w:color w:val="auto"/>
          <w:highlight w:val="none"/>
        </w:rPr>
      </w:pPr>
    </w:p>
    <w:p w14:paraId="74901CCA">
      <w:pPr>
        <w:pStyle w:val="40"/>
        <w:rPr>
          <w:rFonts w:hint="eastAsia"/>
          <w:color w:val="auto"/>
          <w:highlight w:val="none"/>
        </w:rPr>
      </w:pPr>
    </w:p>
    <w:p w14:paraId="0D774646">
      <w:pPr>
        <w:pStyle w:val="199"/>
        <w:spacing w:before="120"/>
        <w:ind w:firstLine="420" w:firstLineChars="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表4.2-1调整后园区产业布局规划表</w:t>
      </w:r>
    </w:p>
    <w:tbl>
      <w:tblPr>
        <w:tblStyle w:val="297"/>
        <w:tblW w:w="9080" w:type="dxa"/>
        <w:tblInd w:w="23"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7"/>
        <w:gridCol w:w="851"/>
        <w:gridCol w:w="1135"/>
        <w:gridCol w:w="4391"/>
        <w:gridCol w:w="1996"/>
      </w:tblGrid>
      <w:tr w14:paraId="66A180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tcBorders>
              <w:tl2br w:val="nil"/>
              <w:tr2bl w:val="nil"/>
            </w:tcBorders>
            <w:noWrap w:val="0"/>
            <w:vAlign w:val="center"/>
          </w:tcPr>
          <w:p w14:paraId="6E4A0BC9">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序号</w:t>
            </w:r>
          </w:p>
        </w:tc>
        <w:tc>
          <w:tcPr>
            <w:tcW w:w="851" w:type="dxa"/>
            <w:tcBorders>
              <w:tl2br w:val="nil"/>
              <w:tr2bl w:val="nil"/>
            </w:tcBorders>
            <w:noWrap w:val="0"/>
            <w:vAlign w:val="center"/>
          </w:tcPr>
          <w:p w14:paraId="6F7636A7">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产业园</w:t>
            </w:r>
          </w:p>
        </w:tc>
        <w:tc>
          <w:tcPr>
            <w:tcW w:w="1135" w:type="dxa"/>
            <w:tcBorders>
              <w:tl2br w:val="nil"/>
              <w:tr2bl w:val="nil"/>
            </w:tcBorders>
            <w:noWrap w:val="0"/>
            <w:vAlign w:val="center"/>
          </w:tcPr>
          <w:p w14:paraId="4E368F6F">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产业板块</w:t>
            </w:r>
          </w:p>
        </w:tc>
        <w:tc>
          <w:tcPr>
            <w:tcW w:w="4391" w:type="dxa"/>
            <w:tcBorders>
              <w:tl2br w:val="nil"/>
              <w:tr2bl w:val="nil"/>
            </w:tcBorders>
            <w:noWrap w:val="0"/>
            <w:vAlign w:val="center"/>
          </w:tcPr>
          <w:p w14:paraId="5A427322">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项目类型</w:t>
            </w:r>
          </w:p>
        </w:tc>
        <w:tc>
          <w:tcPr>
            <w:tcW w:w="1996" w:type="dxa"/>
            <w:tcBorders>
              <w:tl2br w:val="nil"/>
              <w:tr2bl w:val="nil"/>
            </w:tcBorders>
            <w:noWrap w:val="0"/>
            <w:vAlign w:val="center"/>
          </w:tcPr>
          <w:p w14:paraId="12DF6B7D">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产业类型</w:t>
            </w:r>
          </w:p>
        </w:tc>
      </w:tr>
      <w:tr w14:paraId="0FA3A0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restart"/>
            <w:tcBorders>
              <w:tl2br w:val="nil"/>
              <w:tr2bl w:val="nil"/>
            </w:tcBorders>
            <w:noWrap w:val="0"/>
            <w:vAlign w:val="center"/>
          </w:tcPr>
          <w:p w14:paraId="27968CD7">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1</w:t>
            </w:r>
          </w:p>
        </w:tc>
        <w:tc>
          <w:tcPr>
            <w:tcW w:w="851" w:type="dxa"/>
            <w:vMerge w:val="restart"/>
            <w:tcBorders>
              <w:tl2br w:val="nil"/>
              <w:tr2bl w:val="nil"/>
            </w:tcBorders>
            <w:noWrap w:val="0"/>
            <w:vAlign w:val="center"/>
          </w:tcPr>
          <w:p w14:paraId="0B89298F">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高新技术产业园</w:t>
            </w:r>
          </w:p>
        </w:tc>
        <w:tc>
          <w:tcPr>
            <w:tcW w:w="1135" w:type="dxa"/>
            <w:vMerge w:val="restart"/>
            <w:tcBorders>
              <w:tl2br w:val="nil"/>
              <w:tr2bl w:val="nil"/>
            </w:tcBorders>
            <w:noWrap w:val="0"/>
            <w:vAlign w:val="center"/>
          </w:tcPr>
          <w:p w14:paraId="2D923671">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高新制造产业板块</w:t>
            </w:r>
          </w:p>
        </w:tc>
        <w:tc>
          <w:tcPr>
            <w:tcW w:w="4391" w:type="dxa"/>
            <w:tcBorders>
              <w:tl2br w:val="nil"/>
              <w:tr2bl w:val="nil"/>
            </w:tcBorders>
            <w:noWrap w:val="0"/>
            <w:vAlign w:val="center"/>
          </w:tcPr>
          <w:p w14:paraId="405015D7">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新能源及电力装备、现代农牧业装备、机械零部件等子产业</w:t>
            </w:r>
          </w:p>
        </w:tc>
        <w:tc>
          <w:tcPr>
            <w:tcW w:w="1996" w:type="dxa"/>
            <w:tcBorders>
              <w:tl2br w:val="nil"/>
              <w:tr2bl w:val="nil"/>
            </w:tcBorders>
            <w:noWrap w:val="0"/>
            <w:vAlign w:val="center"/>
          </w:tcPr>
          <w:p w14:paraId="3B476354">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装备制造</w:t>
            </w:r>
          </w:p>
        </w:tc>
      </w:tr>
      <w:tr w14:paraId="268FED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continue"/>
            <w:tcBorders>
              <w:tl2br w:val="nil"/>
              <w:tr2bl w:val="nil"/>
            </w:tcBorders>
            <w:noWrap w:val="0"/>
            <w:vAlign w:val="center"/>
          </w:tcPr>
          <w:p w14:paraId="3FEF3137">
            <w:pPr>
              <w:pStyle w:val="245"/>
              <w:autoSpaceDN w:val="0"/>
              <w:spacing w:line="240" w:lineRule="auto"/>
              <w:jc w:val="center"/>
              <w:rPr>
                <w:rFonts w:hint="eastAsia" w:ascii="Times New Roman" w:hAnsi="Times New Roman" w:cs="Times New Roman"/>
                <w:color w:val="auto"/>
                <w:highlight w:val="none"/>
              </w:rPr>
            </w:pPr>
          </w:p>
        </w:tc>
        <w:tc>
          <w:tcPr>
            <w:tcW w:w="851" w:type="dxa"/>
            <w:vMerge w:val="continue"/>
            <w:tcBorders>
              <w:tl2br w:val="nil"/>
              <w:tr2bl w:val="nil"/>
            </w:tcBorders>
            <w:noWrap w:val="0"/>
            <w:vAlign w:val="center"/>
          </w:tcPr>
          <w:p w14:paraId="36DF8AE4">
            <w:pPr>
              <w:pStyle w:val="245"/>
              <w:autoSpaceDN w:val="0"/>
              <w:spacing w:line="240" w:lineRule="auto"/>
              <w:jc w:val="center"/>
              <w:rPr>
                <w:rFonts w:hint="eastAsia" w:ascii="Times New Roman" w:hAnsi="Times New Roman" w:cs="Times New Roman"/>
                <w:color w:val="auto"/>
                <w:highlight w:val="none"/>
              </w:rPr>
            </w:pPr>
          </w:p>
        </w:tc>
        <w:tc>
          <w:tcPr>
            <w:tcW w:w="1135" w:type="dxa"/>
            <w:vMerge w:val="continue"/>
            <w:tcBorders>
              <w:tl2br w:val="nil"/>
              <w:tr2bl w:val="nil"/>
            </w:tcBorders>
            <w:noWrap w:val="0"/>
            <w:vAlign w:val="center"/>
          </w:tcPr>
          <w:p w14:paraId="04681372">
            <w:pPr>
              <w:pStyle w:val="245"/>
              <w:autoSpaceDN w:val="0"/>
              <w:spacing w:line="240" w:lineRule="auto"/>
              <w:jc w:val="center"/>
              <w:rPr>
                <w:rFonts w:hint="eastAsia" w:ascii="Times New Roman" w:hAnsi="Times New Roman" w:cs="Times New Roman"/>
                <w:color w:val="auto"/>
                <w:highlight w:val="none"/>
              </w:rPr>
            </w:pPr>
          </w:p>
        </w:tc>
        <w:tc>
          <w:tcPr>
            <w:tcW w:w="4391" w:type="dxa"/>
            <w:tcBorders>
              <w:tl2br w:val="nil"/>
              <w:tr2bl w:val="nil"/>
            </w:tcBorders>
            <w:noWrap w:val="0"/>
            <w:vAlign w:val="center"/>
          </w:tcPr>
          <w:p w14:paraId="7D87E9A0">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软件与信息服务、大数据云计算、人工智能等子产业</w:t>
            </w:r>
          </w:p>
        </w:tc>
        <w:tc>
          <w:tcPr>
            <w:tcW w:w="1996" w:type="dxa"/>
            <w:tcBorders>
              <w:tl2br w:val="nil"/>
              <w:tr2bl w:val="nil"/>
            </w:tcBorders>
            <w:noWrap w:val="0"/>
            <w:vAlign w:val="center"/>
          </w:tcPr>
          <w:p w14:paraId="5686527F">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数字信息</w:t>
            </w:r>
          </w:p>
        </w:tc>
      </w:tr>
      <w:tr w14:paraId="4922AF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continue"/>
            <w:tcBorders>
              <w:tl2br w:val="nil"/>
              <w:tr2bl w:val="nil"/>
            </w:tcBorders>
            <w:noWrap w:val="0"/>
            <w:vAlign w:val="center"/>
          </w:tcPr>
          <w:p w14:paraId="7C05A074">
            <w:pPr>
              <w:pStyle w:val="245"/>
              <w:autoSpaceDN w:val="0"/>
              <w:spacing w:line="240" w:lineRule="auto"/>
              <w:jc w:val="center"/>
              <w:rPr>
                <w:rFonts w:hint="eastAsia" w:ascii="Times New Roman" w:hAnsi="Times New Roman" w:cs="Times New Roman"/>
                <w:color w:val="auto"/>
                <w:highlight w:val="none"/>
              </w:rPr>
            </w:pPr>
          </w:p>
        </w:tc>
        <w:tc>
          <w:tcPr>
            <w:tcW w:w="851" w:type="dxa"/>
            <w:vMerge w:val="continue"/>
            <w:tcBorders>
              <w:tl2br w:val="nil"/>
              <w:tr2bl w:val="nil"/>
            </w:tcBorders>
            <w:noWrap w:val="0"/>
            <w:vAlign w:val="center"/>
          </w:tcPr>
          <w:p w14:paraId="0288372A">
            <w:pPr>
              <w:pStyle w:val="245"/>
              <w:autoSpaceDN w:val="0"/>
              <w:spacing w:line="240" w:lineRule="auto"/>
              <w:jc w:val="center"/>
              <w:rPr>
                <w:rFonts w:hint="eastAsia" w:ascii="Times New Roman" w:hAnsi="Times New Roman" w:cs="Times New Roman"/>
                <w:color w:val="auto"/>
                <w:highlight w:val="none"/>
              </w:rPr>
            </w:pPr>
          </w:p>
        </w:tc>
        <w:tc>
          <w:tcPr>
            <w:tcW w:w="1135" w:type="dxa"/>
            <w:vMerge w:val="continue"/>
            <w:tcBorders>
              <w:tl2br w:val="nil"/>
              <w:tr2bl w:val="nil"/>
            </w:tcBorders>
            <w:noWrap w:val="0"/>
            <w:vAlign w:val="center"/>
          </w:tcPr>
          <w:p w14:paraId="0CCD3895">
            <w:pPr>
              <w:pStyle w:val="245"/>
              <w:autoSpaceDN w:val="0"/>
              <w:spacing w:line="240" w:lineRule="auto"/>
              <w:jc w:val="center"/>
              <w:rPr>
                <w:rFonts w:hint="eastAsia" w:ascii="Times New Roman" w:hAnsi="Times New Roman" w:cs="Times New Roman"/>
                <w:color w:val="auto"/>
                <w:highlight w:val="none"/>
              </w:rPr>
            </w:pPr>
          </w:p>
        </w:tc>
        <w:tc>
          <w:tcPr>
            <w:tcW w:w="4391" w:type="dxa"/>
            <w:tcBorders>
              <w:tl2br w:val="nil"/>
              <w:tr2bl w:val="nil"/>
            </w:tcBorders>
            <w:noWrap w:val="0"/>
            <w:vAlign w:val="center"/>
          </w:tcPr>
          <w:p w14:paraId="2377B921">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高档家具、服装服饰、塑料加工、五金工具等子产业</w:t>
            </w:r>
          </w:p>
        </w:tc>
        <w:tc>
          <w:tcPr>
            <w:tcW w:w="1996" w:type="dxa"/>
            <w:tcBorders>
              <w:tl2br w:val="nil"/>
              <w:tr2bl w:val="nil"/>
            </w:tcBorders>
            <w:noWrap w:val="0"/>
            <w:vAlign w:val="center"/>
          </w:tcPr>
          <w:p w14:paraId="68C86B81">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轻工制造</w:t>
            </w:r>
          </w:p>
        </w:tc>
      </w:tr>
      <w:tr w14:paraId="751EEA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continue"/>
            <w:tcBorders>
              <w:tl2br w:val="nil"/>
              <w:tr2bl w:val="nil"/>
            </w:tcBorders>
            <w:noWrap w:val="0"/>
            <w:vAlign w:val="center"/>
          </w:tcPr>
          <w:p w14:paraId="37E7EE0D">
            <w:pPr>
              <w:pStyle w:val="245"/>
              <w:autoSpaceDN w:val="0"/>
              <w:spacing w:line="240" w:lineRule="auto"/>
              <w:jc w:val="center"/>
              <w:rPr>
                <w:rFonts w:hint="eastAsia" w:ascii="Times New Roman" w:hAnsi="Times New Roman" w:cs="Times New Roman"/>
                <w:color w:val="auto"/>
                <w:highlight w:val="none"/>
              </w:rPr>
            </w:pPr>
          </w:p>
        </w:tc>
        <w:tc>
          <w:tcPr>
            <w:tcW w:w="851" w:type="dxa"/>
            <w:vMerge w:val="continue"/>
            <w:tcBorders>
              <w:tl2br w:val="nil"/>
              <w:tr2bl w:val="nil"/>
            </w:tcBorders>
            <w:noWrap w:val="0"/>
            <w:vAlign w:val="center"/>
          </w:tcPr>
          <w:p w14:paraId="194B372B">
            <w:pPr>
              <w:pStyle w:val="245"/>
              <w:autoSpaceDN w:val="0"/>
              <w:spacing w:line="240" w:lineRule="auto"/>
              <w:jc w:val="center"/>
              <w:rPr>
                <w:rFonts w:hint="eastAsia" w:ascii="Times New Roman" w:hAnsi="Times New Roman" w:cs="Times New Roman"/>
                <w:color w:val="auto"/>
                <w:highlight w:val="none"/>
              </w:rPr>
            </w:pPr>
          </w:p>
        </w:tc>
        <w:tc>
          <w:tcPr>
            <w:tcW w:w="1135" w:type="dxa"/>
            <w:vMerge w:val="continue"/>
            <w:tcBorders>
              <w:tl2br w:val="nil"/>
              <w:tr2bl w:val="nil"/>
            </w:tcBorders>
            <w:noWrap w:val="0"/>
            <w:vAlign w:val="center"/>
          </w:tcPr>
          <w:p w14:paraId="1E042917">
            <w:pPr>
              <w:pStyle w:val="245"/>
              <w:autoSpaceDN w:val="0"/>
              <w:spacing w:line="240" w:lineRule="auto"/>
              <w:jc w:val="center"/>
              <w:rPr>
                <w:rFonts w:hint="eastAsia" w:ascii="Times New Roman" w:hAnsi="Times New Roman" w:cs="Times New Roman"/>
                <w:color w:val="auto"/>
                <w:highlight w:val="none"/>
              </w:rPr>
            </w:pPr>
          </w:p>
        </w:tc>
        <w:tc>
          <w:tcPr>
            <w:tcW w:w="4391" w:type="dxa"/>
            <w:tcBorders>
              <w:tl2br w:val="nil"/>
              <w:tr2bl w:val="nil"/>
            </w:tcBorders>
            <w:noWrap w:val="0"/>
            <w:vAlign w:val="center"/>
          </w:tcPr>
          <w:p w14:paraId="0E91353E">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中蒙医药、生物科技、康养服务等子产业粮油加工、蔬菜加工、饲料加工、绿色乳肉加工、营养健康产品等子产业</w:t>
            </w:r>
          </w:p>
        </w:tc>
        <w:tc>
          <w:tcPr>
            <w:tcW w:w="1996" w:type="dxa"/>
            <w:tcBorders>
              <w:tl2br w:val="nil"/>
              <w:tr2bl w:val="nil"/>
            </w:tcBorders>
            <w:noWrap w:val="0"/>
            <w:vAlign w:val="center"/>
          </w:tcPr>
          <w:p w14:paraId="38E42CC2">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农畜产品、生命健康</w:t>
            </w:r>
          </w:p>
        </w:tc>
      </w:tr>
      <w:tr w14:paraId="4D933F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tcBorders>
              <w:tl2br w:val="nil"/>
              <w:tr2bl w:val="nil"/>
            </w:tcBorders>
            <w:noWrap w:val="0"/>
            <w:vAlign w:val="center"/>
          </w:tcPr>
          <w:p w14:paraId="51B1CA13">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2</w:t>
            </w:r>
          </w:p>
        </w:tc>
        <w:tc>
          <w:tcPr>
            <w:tcW w:w="851" w:type="dxa"/>
            <w:vMerge w:val="restart"/>
            <w:tcBorders>
              <w:tl2br w:val="nil"/>
              <w:tr2bl w:val="nil"/>
            </w:tcBorders>
            <w:noWrap w:val="0"/>
            <w:vAlign w:val="center"/>
          </w:tcPr>
          <w:p w14:paraId="55A2BF16">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化工新材料循环产业园</w:t>
            </w:r>
          </w:p>
        </w:tc>
        <w:tc>
          <w:tcPr>
            <w:tcW w:w="1135" w:type="dxa"/>
            <w:tcBorders>
              <w:tl2br w:val="nil"/>
              <w:tr2bl w:val="nil"/>
            </w:tcBorders>
            <w:noWrap w:val="0"/>
            <w:vAlign w:val="center"/>
          </w:tcPr>
          <w:p w14:paraId="3A845AC2">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化工循环产业板块</w:t>
            </w:r>
          </w:p>
        </w:tc>
        <w:tc>
          <w:tcPr>
            <w:tcW w:w="4391" w:type="dxa"/>
            <w:tcBorders>
              <w:tl2br w:val="nil"/>
              <w:tr2bl w:val="nil"/>
            </w:tcBorders>
            <w:noWrap w:val="0"/>
            <w:vAlign w:val="center"/>
          </w:tcPr>
          <w:p w14:paraId="710B4BAC">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煤制烯烃、化工副产物综合利用、固废综合利用等子产业</w:t>
            </w:r>
          </w:p>
        </w:tc>
        <w:tc>
          <w:tcPr>
            <w:tcW w:w="1996" w:type="dxa"/>
            <w:tcBorders>
              <w:tl2br w:val="nil"/>
              <w:tr2bl w:val="nil"/>
            </w:tcBorders>
            <w:noWrap w:val="0"/>
            <w:vAlign w:val="center"/>
          </w:tcPr>
          <w:p w14:paraId="0E711C18">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煤制烯烃及循环产业、高端精细化工</w:t>
            </w:r>
          </w:p>
        </w:tc>
      </w:tr>
      <w:tr w14:paraId="2A73E2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tcBorders>
              <w:tl2br w:val="nil"/>
              <w:tr2bl w:val="nil"/>
            </w:tcBorders>
            <w:noWrap w:val="0"/>
            <w:vAlign w:val="center"/>
          </w:tcPr>
          <w:p w14:paraId="795FBF5B">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3</w:t>
            </w:r>
          </w:p>
        </w:tc>
        <w:tc>
          <w:tcPr>
            <w:tcW w:w="851" w:type="dxa"/>
            <w:vMerge w:val="continue"/>
            <w:tcBorders>
              <w:tl2br w:val="nil"/>
              <w:tr2bl w:val="nil"/>
            </w:tcBorders>
            <w:noWrap w:val="0"/>
            <w:vAlign w:val="center"/>
          </w:tcPr>
          <w:p w14:paraId="1822C533">
            <w:pPr>
              <w:pStyle w:val="245"/>
              <w:autoSpaceDN w:val="0"/>
              <w:spacing w:line="240" w:lineRule="auto"/>
              <w:jc w:val="center"/>
              <w:rPr>
                <w:rFonts w:hint="eastAsia" w:ascii="Times New Roman" w:hAnsi="Times New Roman" w:cs="Times New Roman"/>
                <w:color w:val="auto"/>
                <w:highlight w:val="none"/>
              </w:rPr>
            </w:pPr>
          </w:p>
        </w:tc>
        <w:tc>
          <w:tcPr>
            <w:tcW w:w="1135" w:type="dxa"/>
            <w:tcBorders>
              <w:tl2br w:val="nil"/>
              <w:tr2bl w:val="nil"/>
            </w:tcBorders>
            <w:noWrap w:val="0"/>
            <w:vAlign w:val="center"/>
          </w:tcPr>
          <w:p w14:paraId="012575A8">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新能源产业板块</w:t>
            </w:r>
          </w:p>
        </w:tc>
        <w:tc>
          <w:tcPr>
            <w:tcW w:w="4391" w:type="dxa"/>
            <w:tcBorders>
              <w:tl2br w:val="nil"/>
              <w:tr2bl w:val="nil"/>
            </w:tcBorders>
            <w:noWrap w:val="0"/>
            <w:vAlign w:val="center"/>
          </w:tcPr>
          <w:p w14:paraId="4692AFBC">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风光新能源及转化、氢能产业、储能产业、绿氢制氨、绿氢制醇、新能源电池材料、软磁材料等子产业</w:t>
            </w:r>
          </w:p>
        </w:tc>
        <w:tc>
          <w:tcPr>
            <w:tcW w:w="1996" w:type="dxa"/>
            <w:tcBorders>
              <w:tl2br w:val="nil"/>
              <w:tr2bl w:val="nil"/>
            </w:tcBorders>
            <w:noWrap w:val="0"/>
            <w:vAlign w:val="center"/>
          </w:tcPr>
          <w:p w14:paraId="5A2840FE">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风光氢氨新能源及冶金产业</w:t>
            </w:r>
          </w:p>
        </w:tc>
      </w:tr>
      <w:tr w14:paraId="56A0A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restart"/>
            <w:tcBorders>
              <w:tl2br w:val="nil"/>
              <w:tr2bl w:val="nil"/>
            </w:tcBorders>
            <w:noWrap w:val="0"/>
            <w:vAlign w:val="center"/>
          </w:tcPr>
          <w:p w14:paraId="70048F21">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4</w:t>
            </w:r>
          </w:p>
        </w:tc>
        <w:tc>
          <w:tcPr>
            <w:tcW w:w="851" w:type="dxa"/>
            <w:vMerge w:val="continue"/>
            <w:tcBorders>
              <w:tl2br w:val="nil"/>
              <w:tr2bl w:val="nil"/>
            </w:tcBorders>
            <w:noWrap w:val="0"/>
            <w:vAlign w:val="center"/>
          </w:tcPr>
          <w:p w14:paraId="325331CE">
            <w:pPr>
              <w:pStyle w:val="245"/>
              <w:autoSpaceDN w:val="0"/>
              <w:spacing w:line="240" w:lineRule="auto"/>
              <w:jc w:val="center"/>
              <w:rPr>
                <w:rFonts w:hint="eastAsia" w:ascii="Times New Roman" w:hAnsi="Times New Roman" w:cs="Times New Roman"/>
                <w:color w:val="auto"/>
                <w:highlight w:val="none"/>
              </w:rPr>
            </w:pPr>
          </w:p>
        </w:tc>
        <w:tc>
          <w:tcPr>
            <w:tcW w:w="1135" w:type="dxa"/>
            <w:vMerge w:val="restart"/>
            <w:tcBorders>
              <w:tl2br w:val="nil"/>
              <w:tr2bl w:val="nil"/>
            </w:tcBorders>
            <w:noWrap w:val="0"/>
            <w:vAlign w:val="center"/>
          </w:tcPr>
          <w:p w14:paraId="08004CC8">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冶金及新材料产业板块</w:t>
            </w:r>
          </w:p>
        </w:tc>
        <w:tc>
          <w:tcPr>
            <w:tcW w:w="4391" w:type="dxa"/>
            <w:tcBorders>
              <w:tl2br w:val="nil"/>
              <w:tr2bl w:val="nil"/>
            </w:tcBorders>
            <w:noWrap w:val="0"/>
            <w:vAlign w:val="center"/>
          </w:tcPr>
          <w:p w14:paraId="3AD06E77">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金属冶炼及加工</w:t>
            </w:r>
          </w:p>
        </w:tc>
        <w:tc>
          <w:tcPr>
            <w:tcW w:w="1996" w:type="dxa"/>
            <w:tcBorders>
              <w:tl2br w:val="nil"/>
              <w:tr2bl w:val="nil"/>
            </w:tcBorders>
            <w:noWrap w:val="0"/>
            <w:vAlign w:val="center"/>
          </w:tcPr>
          <w:p w14:paraId="2D758D66">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风光氢氨新能源及冶金产业</w:t>
            </w:r>
          </w:p>
        </w:tc>
      </w:tr>
      <w:tr w14:paraId="11C997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vMerge w:val="continue"/>
            <w:tcBorders>
              <w:tl2br w:val="nil"/>
              <w:tr2bl w:val="nil"/>
            </w:tcBorders>
            <w:noWrap w:val="0"/>
            <w:vAlign w:val="center"/>
          </w:tcPr>
          <w:p w14:paraId="4ABC0A0D">
            <w:pPr>
              <w:pStyle w:val="245"/>
              <w:autoSpaceDN w:val="0"/>
              <w:spacing w:line="240" w:lineRule="auto"/>
              <w:jc w:val="center"/>
              <w:rPr>
                <w:rFonts w:hint="eastAsia" w:ascii="Times New Roman" w:hAnsi="Times New Roman" w:cs="Times New Roman"/>
                <w:color w:val="auto"/>
                <w:highlight w:val="none"/>
              </w:rPr>
            </w:pPr>
          </w:p>
        </w:tc>
        <w:tc>
          <w:tcPr>
            <w:tcW w:w="851" w:type="dxa"/>
            <w:vMerge w:val="continue"/>
            <w:tcBorders>
              <w:tl2br w:val="nil"/>
              <w:tr2bl w:val="nil"/>
            </w:tcBorders>
            <w:noWrap w:val="0"/>
            <w:vAlign w:val="center"/>
          </w:tcPr>
          <w:p w14:paraId="0735CC9A">
            <w:pPr>
              <w:pStyle w:val="245"/>
              <w:autoSpaceDN w:val="0"/>
              <w:spacing w:line="240" w:lineRule="auto"/>
              <w:jc w:val="center"/>
              <w:rPr>
                <w:rFonts w:hint="eastAsia" w:ascii="Times New Roman" w:hAnsi="Times New Roman" w:cs="Times New Roman"/>
                <w:color w:val="auto"/>
                <w:highlight w:val="none"/>
              </w:rPr>
            </w:pPr>
          </w:p>
        </w:tc>
        <w:tc>
          <w:tcPr>
            <w:tcW w:w="1135" w:type="dxa"/>
            <w:vMerge w:val="continue"/>
            <w:tcBorders>
              <w:tl2br w:val="nil"/>
              <w:tr2bl w:val="nil"/>
            </w:tcBorders>
            <w:noWrap w:val="0"/>
            <w:vAlign w:val="center"/>
          </w:tcPr>
          <w:p w14:paraId="3BAF3423">
            <w:pPr>
              <w:pStyle w:val="245"/>
              <w:autoSpaceDN w:val="0"/>
              <w:spacing w:line="240" w:lineRule="auto"/>
              <w:jc w:val="center"/>
              <w:rPr>
                <w:rFonts w:hint="eastAsia" w:ascii="Times New Roman" w:hAnsi="Times New Roman" w:cs="Times New Roman"/>
                <w:color w:val="auto"/>
                <w:highlight w:val="none"/>
              </w:rPr>
            </w:pPr>
          </w:p>
        </w:tc>
        <w:tc>
          <w:tcPr>
            <w:tcW w:w="4391" w:type="dxa"/>
            <w:tcBorders>
              <w:tl2br w:val="nil"/>
              <w:tr2bl w:val="nil"/>
            </w:tcBorders>
            <w:noWrap w:val="0"/>
            <w:vAlign w:val="center"/>
          </w:tcPr>
          <w:p w14:paraId="4849D2CE">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高分子化工材料、氟化工及材料、电子信息化学品、专用化学品、固废综合利用等子产业</w:t>
            </w:r>
          </w:p>
        </w:tc>
        <w:tc>
          <w:tcPr>
            <w:tcW w:w="1996" w:type="dxa"/>
            <w:tcBorders>
              <w:tl2br w:val="nil"/>
              <w:tr2bl w:val="nil"/>
            </w:tcBorders>
            <w:noWrap w:val="0"/>
            <w:vAlign w:val="center"/>
          </w:tcPr>
          <w:p w14:paraId="032B54F0">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高端精细化工及新材料</w:t>
            </w:r>
          </w:p>
        </w:tc>
      </w:tr>
      <w:tr w14:paraId="4A38DA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tcBorders>
              <w:tl2br w:val="nil"/>
              <w:tr2bl w:val="nil"/>
            </w:tcBorders>
            <w:noWrap w:val="0"/>
            <w:vAlign w:val="center"/>
          </w:tcPr>
          <w:p w14:paraId="679BC93A">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5</w:t>
            </w:r>
          </w:p>
        </w:tc>
        <w:tc>
          <w:tcPr>
            <w:tcW w:w="851" w:type="dxa"/>
            <w:vMerge w:val="continue"/>
            <w:tcBorders>
              <w:tl2br w:val="nil"/>
              <w:tr2bl w:val="nil"/>
            </w:tcBorders>
            <w:noWrap w:val="0"/>
            <w:vAlign w:val="center"/>
          </w:tcPr>
          <w:p w14:paraId="639AA6D6">
            <w:pPr>
              <w:pStyle w:val="245"/>
              <w:autoSpaceDN w:val="0"/>
              <w:spacing w:line="240" w:lineRule="auto"/>
              <w:jc w:val="center"/>
              <w:rPr>
                <w:rFonts w:hint="eastAsia" w:ascii="Times New Roman" w:hAnsi="Times New Roman" w:cs="Times New Roman"/>
                <w:color w:val="auto"/>
                <w:highlight w:val="none"/>
              </w:rPr>
            </w:pPr>
          </w:p>
        </w:tc>
        <w:tc>
          <w:tcPr>
            <w:tcW w:w="1135" w:type="dxa"/>
            <w:tcBorders>
              <w:tl2br w:val="nil"/>
              <w:tr2bl w:val="nil"/>
            </w:tcBorders>
            <w:noWrap w:val="0"/>
            <w:vAlign w:val="center"/>
          </w:tcPr>
          <w:p w14:paraId="091818FB">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公铁联运物流板块</w:t>
            </w:r>
          </w:p>
        </w:tc>
        <w:tc>
          <w:tcPr>
            <w:tcW w:w="4391" w:type="dxa"/>
            <w:tcBorders>
              <w:tl2br w:val="nil"/>
              <w:tr2bl w:val="nil"/>
            </w:tcBorders>
            <w:noWrap w:val="0"/>
            <w:vAlign w:val="center"/>
          </w:tcPr>
          <w:p w14:paraId="3A223169">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大宗物流、工业品专业物流、资源流通加工、农副产品及冷链物流、保税及国际物流服务等子产业</w:t>
            </w:r>
          </w:p>
        </w:tc>
        <w:tc>
          <w:tcPr>
            <w:tcW w:w="1996" w:type="dxa"/>
            <w:tcBorders>
              <w:tl2br w:val="nil"/>
              <w:tr2bl w:val="nil"/>
            </w:tcBorders>
            <w:noWrap w:val="0"/>
            <w:vAlign w:val="center"/>
          </w:tcPr>
          <w:p w14:paraId="7C5A909E">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现代物流</w:t>
            </w:r>
          </w:p>
        </w:tc>
      </w:tr>
      <w:tr w14:paraId="5412F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07" w:type="dxa"/>
            <w:tcBorders>
              <w:tl2br w:val="nil"/>
              <w:tr2bl w:val="nil"/>
            </w:tcBorders>
            <w:noWrap w:val="0"/>
            <w:vAlign w:val="center"/>
          </w:tcPr>
          <w:p w14:paraId="23E2C7EF">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6</w:t>
            </w:r>
          </w:p>
        </w:tc>
        <w:tc>
          <w:tcPr>
            <w:tcW w:w="851" w:type="dxa"/>
            <w:tcBorders>
              <w:tl2br w:val="nil"/>
              <w:tr2bl w:val="nil"/>
            </w:tcBorders>
            <w:noWrap w:val="0"/>
            <w:vAlign w:val="center"/>
          </w:tcPr>
          <w:p w14:paraId="36B13D33">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大河口特色产业园</w:t>
            </w:r>
          </w:p>
        </w:tc>
        <w:tc>
          <w:tcPr>
            <w:tcW w:w="1135" w:type="dxa"/>
            <w:tcBorders>
              <w:tl2br w:val="nil"/>
              <w:tr2bl w:val="nil"/>
            </w:tcBorders>
            <w:noWrap w:val="0"/>
            <w:vAlign w:val="center"/>
          </w:tcPr>
          <w:p w14:paraId="62D3C2B1">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农畜加工产业板块</w:t>
            </w:r>
          </w:p>
        </w:tc>
        <w:tc>
          <w:tcPr>
            <w:tcW w:w="4391" w:type="dxa"/>
            <w:tcBorders>
              <w:tl2br w:val="nil"/>
              <w:tr2bl w:val="nil"/>
            </w:tcBorders>
            <w:noWrap w:val="0"/>
            <w:vAlign w:val="center"/>
          </w:tcPr>
          <w:p w14:paraId="0AA22BB1">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粮油加工、蔬菜加工、饲料加工、乳肉加工、营养健康产品、骨血脏器回收利用等子产业</w:t>
            </w:r>
            <w:r>
              <w:rPr>
                <w:rFonts w:hint="eastAsia" w:cs="Times New Roman"/>
                <w:color w:val="auto"/>
                <w:highlight w:val="none"/>
                <w:lang w:eastAsia="zh-CN"/>
              </w:rPr>
              <w:t>，</w:t>
            </w:r>
            <w:r>
              <w:rPr>
                <w:rFonts w:hint="eastAsia" w:ascii="Times New Roman" w:hAnsi="Times New Roman" w:cs="Times New Roman"/>
                <w:color w:val="auto"/>
                <w:highlight w:val="none"/>
              </w:rPr>
              <w:t>中蒙医药、生物科技、康养服务等子产业</w:t>
            </w:r>
          </w:p>
        </w:tc>
        <w:tc>
          <w:tcPr>
            <w:tcW w:w="1996" w:type="dxa"/>
            <w:tcBorders>
              <w:tl2br w:val="nil"/>
              <w:tr2bl w:val="nil"/>
            </w:tcBorders>
            <w:noWrap w:val="0"/>
            <w:vAlign w:val="center"/>
          </w:tcPr>
          <w:p w14:paraId="76189B42">
            <w:pPr>
              <w:pStyle w:val="245"/>
              <w:autoSpaceDN w:val="0"/>
              <w:spacing w:line="240" w:lineRule="auto"/>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农畜产品、生命健康</w:t>
            </w:r>
          </w:p>
        </w:tc>
      </w:tr>
    </w:tbl>
    <w:p w14:paraId="6BDDE383">
      <w:pPr>
        <w:pStyle w:val="5"/>
        <w:rPr>
          <w:color w:val="auto"/>
          <w:highlight w:val="none"/>
        </w:rPr>
      </w:pPr>
      <w:r>
        <w:rPr>
          <w:rFonts w:hint="eastAsia"/>
          <w:color w:val="auto"/>
          <w:highlight w:val="none"/>
        </w:rPr>
        <w:t>开发区</w:t>
      </w:r>
      <w:bookmarkEnd w:id="133"/>
      <w:r>
        <w:rPr>
          <w:rFonts w:hint="eastAsia"/>
          <w:color w:val="auto"/>
          <w:highlight w:val="none"/>
          <w:lang w:val="en-US" w:eastAsia="zh-CN"/>
        </w:rPr>
        <w:t>基础设施</w:t>
      </w:r>
    </w:p>
    <w:p w14:paraId="71830FD6">
      <w:pPr>
        <w:pStyle w:val="6"/>
        <w:bidi w:val="0"/>
        <w:rPr>
          <w:rFonts w:hint="eastAsia"/>
          <w:color w:val="auto"/>
          <w:highlight w:val="none"/>
        </w:rPr>
      </w:pPr>
      <w:r>
        <w:rPr>
          <w:rFonts w:hint="eastAsia"/>
          <w:color w:val="auto"/>
          <w:highlight w:val="none"/>
        </w:rPr>
        <w:t xml:space="preserve"> 燃气工程规划</w:t>
      </w:r>
    </w:p>
    <w:p w14:paraId="4C558824">
      <w:pPr>
        <w:ind w:firstLine="480"/>
        <w:rPr>
          <w:rFonts w:hint="eastAsia"/>
          <w:color w:val="auto"/>
          <w:highlight w:val="none"/>
        </w:rPr>
      </w:pPr>
      <w:r>
        <w:rPr>
          <w:rFonts w:hint="eastAsia"/>
          <w:color w:val="auto"/>
          <w:highlight w:val="none"/>
        </w:rPr>
        <w:t>1、气源、门站及调压站规划</w:t>
      </w:r>
    </w:p>
    <w:p w14:paraId="588C63BA">
      <w:pPr>
        <w:ind w:firstLine="480"/>
        <w:rPr>
          <w:rFonts w:hint="eastAsia"/>
          <w:color w:val="auto"/>
          <w:highlight w:val="none"/>
        </w:rPr>
      </w:pPr>
      <w:r>
        <w:rPr>
          <w:rFonts w:hint="eastAsia"/>
          <w:color w:val="auto"/>
          <w:highlight w:val="none"/>
        </w:rPr>
        <w:t>规划近期园区气源采用集中式人工煤气供应；远期考虑天然气的全面普及，气源为内蒙古大唐国际克旗煤制天然气项目。</w:t>
      </w:r>
    </w:p>
    <w:p w14:paraId="333A58B2">
      <w:pPr>
        <w:ind w:firstLine="480"/>
        <w:rPr>
          <w:rFonts w:hint="eastAsia"/>
          <w:color w:val="auto"/>
          <w:highlight w:val="none"/>
        </w:rPr>
      </w:pPr>
      <w:r>
        <w:rPr>
          <w:rFonts w:hint="eastAsia"/>
          <w:color w:val="auto"/>
          <w:highlight w:val="none"/>
        </w:rPr>
        <w:t>规划保留现状燃气门站一处，位于多伦大街与国道510交叉口绿化带内，用地面积约为1.44公顷。</w:t>
      </w:r>
    </w:p>
    <w:p w14:paraId="37123C46">
      <w:pPr>
        <w:ind w:firstLine="480"/>
        <w:rPr>
          <w:rFonts w:hint="eastAsia"/>
          <w:color w:val="auto"/>
          <w:highlight w:val="none"/>
        </w:rPr>
      </w:pPr>
      <w:r>
        <w:rPr>
          <w:rFonts w:hint="eastAsia"/>
          <w:color w:val="auto"/>
          <w:highlight w:val="none"/>
        </w:rPr>
        <w:t>规划新建两处天然气调压站，一处位于南纬一街北侧，用地面积约0.87公顷；一处位于滦源镇镇区西侧，用地面积由滦源镇总规确定。</w:t>
      </w:r>
    </w:p>
    <w:p w14:paraId="26E82E41">
      <w:pPr>
        <w:ind w:firstLine="480"/>
        <w:rPr>
          <w:rFonts w:hint="eastAsia"/>
          <w:color w:val="auto"/>
          <w:highlight w:val="none"/>
        </w:rPr>
      </w:pPr>
      <w:r>
        <w:rPr>
          <w:rFonts w:hint="eastAsia"/>
          <w:color w:val="auto"/>
          <w:highlight w:val="none"/>
        </w:rPr>
        <w:t>2、用气量</w:t>
      </w:r>
    </w:p>
    <w:p w14:paraId="76453EEE">
      <w:pPr>
        <w:ind w:firstLine="480"/>
        <w:rPr>
          <w:rFonts w:hint="eastAsia"/>
          <w:color w:val="auto"/>
          <w:highlight w:val="none"/>
        </w:rPr>
      </w:pPr>
      <w:r>
        <w:rPr>
          <w:rFonts w:hint="eastAsia"/>
          <w:color w:val="auto"/>
          <w:highlight w:val="none"/>
        </w:rPr>
        <w:t>近期至2025年园区年总用气量为2875万Nm³</w:t>
      </w:r>
      <w:r>
        <w:rPr>
          <w:rFonts w:hint="eastAsia"/>
          <w:color w:val="auto"/>
          <w:highlight w:val="none"/>
          <w:lang w:eastAsia="zh-CN"/>
        </w:rPr>
        <w:t>，</w:t>
      </w:r>
      <w:r>
        <w:rPr>
          <w:rFonts w:hint="eastAsia"/>
          <w:color w:val="auto"/>
          <w:highlight w:val="none"/>
        </w:rPr>
        <w:t>远期至2035年园区年总用气量为7356万Nm³。</w:t>
      </w:r>
    </w:p>
    <w:p w14:paraId="40B8553F">
      <w:pPr>
        <w:ind w:firstLine="480"/>
        <w:rPr>
          <w:rFonts w:hint="eastAsia"/>
          <w:color w:val="auto"/>
          <w:highlight w:val="none"/>
        </w:rPr>
      </w:pPr>
      <w:r>
        <w:rPr>
          <w:rFonts w:hint="eastAsia"/>
          <w:color w:val="auto"/>
          <w:highlight w:val="none"/>
        </w:rPr>
        <w:t>3、输配系统</w:t>
      </w:r>
    </w:p>
    <w:p w14:paraId="709F4364">
      <w:pPr>
        <w:ind w:firstLine="480"/>
        <w:rPr>
          <w:rFonts w:hint="eastAsia"/>
          <w:color w:val="auto"/>
          <w:highlight w:val="none"/>
        </w:rPr>
      </w:pPr>
      <w:r>
        <w:rPr>
          <w:rFonts w:hint="eastAsia"/>
          <w:color w:val="auto"/>
          <w:highlight w:val="none"/>
        </w:rPr>
        <w:t>工业园区采用次高压管道供气，管道设计压力为1.6MPa，运行压力为0.8MPa。</w:t>
      </w:r>
    </w:p>
    <w:p w14:paraId="42036B82">
      <w:pPr>
        <w:ind w:firstLine="480"/>
        <w:rPr>
          <w:rFonts w:hint="eastAsia"/>
          <w:color w:val="auto"/>
          <w:highlight w:val="none"/>
        </w:rPr>
      </w:pPr>
      <w:r>
        <w:rPr>
          <w:rFonts w:hint="eastAsia"/>
          <w:color w:val="auto"/>
          <w:highlight w:val="none"/>
        </w:rPr>
        <w:t>天然气自门站接出后由次高压管道通向各个企业，经专用调压站降压后供给用气设备使用，结合门站设高中压调压站，门站选址结合输气管道确定。为了提高供气可靠性，远期将次高压管道逐步联成环状。</w:t>
      </w:r>
    </w:p>
    <w:p w14:paraId="1ADC35D6">
      <w:pPr>
        <w:ind w:firstLine="480"/>
        <w:rPr>
          <w:rFonts w:hint="eastAsia"/>
          <w:color w:val="auto"/>
          <w:highlight w:val="none"/>
        </w:rPr>
      </w:pPr>
      <w:r>
        <w:rPr>
          <w:rFonts w:hint="eastAsia"/>
          <w:color w:val="auto"/>
          <w:highlight w:val="none"/>
        </w:rPr>
        <w:t>4、管网布置</w:t>
      </w:r>
    </w:p>
    <w:p w14:paraId="183B99B9">
      <w:pPr>
        <w:ind w:firstLine="480"/>
        <w:rPr>
          <w:rFonts w:hint="eastAsia"/>
          <w:color w:val="auto"/>
          <w:highlight w:val="none"/>
        </w:rPr>
      </w:pPr>
      <w:r>
        <w:rPr>
          <w:rFonts w:hint="eastAsia"/>
          <w:color w:val="auto"/>
          <w:highlight w:val="none"/>
        </w:rPr>
        <w:t>燃气管网采用以环状和枝状管网相结合的方式布置，燃气干管靠近用气大户。</w:t>
      </w:r>
    </w:p>
    <w:p w14:paraId="25AA7E9A">
      <w:pPr>
        <w:ind w:firstLine="480"/>
        <w:rPr>
          <w:rFonts w:hint="eastAsia"/>
          <w:color w:val="auto"/>
          <w:highlight w:val="none"/>
        </w:rPr>
      </w:pPr>
      <w:r>
        <w:rPr>
          <w:rFonts w:hint="eastAsia"/>
          <w:color w:val="auto"/>
          <w:highlight w:val="none"/>
        </w:rPr>
        <w:t>5、加气站规划</w:t>
      </w:r>
    </w:p>
    <w:p w14:paraId="2F5D118D">
      <w:pPr>
        <w:ind w:firstLine="480"/>
        <w:rPr>
          <w:rFonts w:hint="eastAsia"/>
          <w:color w:val="auto"/>
          <w:highlight w:val="none"/>
        </w:rPr>
      </w:pPr>
      <w:r>
        <w:rPr>
          <w:rFonts w:hint="eastAsia"/>
          <w:color w:val="auto"/>
          <w:highlight w:val="none"/>
        </w:rPr>
        <w:t>为满足汽车用气量需求，规划至2035年，在园区化工新材料循环产业园新建1座加气站，位于国道510和东经六路交叉口东北角，占地面积1.13公顷。</w:t>
      </w:r>
    </w:p>
    <w:p w14:paraId="56C647FD">
      <w:pPr>
        <w:ind w:firstLine="480"/>
        <w:rPr>
          <w:rFonts w:hint="eastAsia"/>
          <w:color w:val="auto"/>
          <w:highlight w:val="none"/>
        </w:rPr>
      </w:pPr>
      <w:r>
        <w:rPr>
          <w:rFonts w:hint="eastAsia"/>
          <w:color w:val="auto"/>
          <w:highlight w:val="none"/>
        </w:rPr>
        <w:t>加气站应尽可能从压力较高的管道接气，以减少压缩机能耗，降低加气站运行费用。</w:t>
      </w:r>
    </w:p>
    <w:p w14:paraId="0523E0CE">
      <w:pPr>
        <w:pStyle w:val="6"/>
        <w:bidi w:val="0"/>
        <w:rPr>
          <w:rFonts w:hint="eastAsia"/>
          <w:color w:val="auto"/>
          <w:highlight w:val="none"/>
        </w:rPr>
      </w:pPr>
      <w:r>
        <w:rPr>
          <w:rFonts w:hint="eastAsia"/>
          <w:color w:val="auto"/>
          <w:highlight w:val="none"/>
        </w:rPr>
        <w:t xml:space="preserve"> 供热工程规划</w:t>
      </w:r>
    </w:p>
    <w:p w14:paraId="3CB6B817">
      <w:pPr>
        <w:ind w:firstLine="480"/>
        <w:rPr>
          <w:rFonts w:hint="eastAsia"/>
          <w:color w:val="auto"/>
          <w:highlight w:val="none"/>
        </w:rPr>
      </w:pPr>
      <w:r>
        <w:rPr>
          <w:rFonts w:hint="eastAsia"/>
          <w:color w:val="auto"/>
          <w:highlight w:val="none"/>
        </w:rPr>
        <w:t>一、供热现状</w:t>
      </w:r>
    </w:p>
    <w:p w14:paraId="32DB152C">
      <w:pPr>
        <w:ind w:firstLine="480"/>
        <w:rPr>
          <w:rFonts w:hint="eastAsia"/>
          <w:color w:val="auto"/>
          <w:highlight w:val="none"/>
        </w:rPr>
      </w:pPr>
      <w:r>
        <w:rPr>
          <w:rFonts w:hint="eastAsia"/>
          <w:color w:val="auto"/>
          <w:highlight w:val="none"/>
        </w:rPr>
        <w:t>目前，多伦县有3家热力公司，共四个热源厂，其中蓝天热力公司两个热源厂与天宇热力公司的热源厂位于城区主要为城区供热；丰华热力公司位于园区和康路东侧现有供热能力4×14MW循环流化床热水锅炉，主要负责城区东侧与园区供热。园区企业供热现状为自己解决，小企业一般为电锅炉，还有部分企业自建燃煤小锅炉。</w:t>
      </w:r>
    </w:p>
    <w:p w14:paraId="233173E5">
      <w:pPr>
        <w:ind w:firstLine="480"/>
        <w:rPr>
          <w:rFonts w:hint="eastAsia"/>
          <w:color w:val="auto"/>
          <w:highlight w:val="none"/>
        </w:rPr>
      </w:pPr>
      <w:r>
        <w:rPr>
          <w:rFonts w:hint="eastAsia"/>
          <w:color w:val="auto"/>
          <w:highlight w:val="none"/>
        </w:rPr>
        <w:t>二、供热规划</w:t>
      </w:r>
    </w:p>
    <w:p w14:paraId="32CA8AAF">
      <w:pPr>
        <w:ind w:firstLine="480"/>
        <w:rPr>
          <w:rFonts w:hint="eastAsia"/>
          <w:color w:val="auto"/>
          <w:highlight w:val="none"/>
        </w:rPr>
      </w:pPr>
      <w:r>
        <w:rPr>
          <w:rFonts w:hint="eastAsia"/>
          <w:color w:val="auto"/>
          <w:highlight w:val="none"/>
        </w:rPr>
        <w:t>1、热负荷预测</w:t>
      </w:r>
    </w:p>
    <w:p w14:paraId="6623C553">
      <w:pPr>
        <w:ind w:firstLine="480"/>
        <w:rPr>
          <w:rFonts w:hint="eastAsia"/>
          <w:color w:val="auto"/>
          <w:highlight w:val="none"/>
        </w:rPr>
      </w:pPr>
      <w:r>
        <w:rPr>
          <w:rFonts w:hint="eastAsia"/>
          <w:color w:val="auto"/>
          <w:highlight w:val="none"/>
        </w:rPr>
        <w:t>近期（2025 年）多伦工业园区各类建筑热负荷为245.63MW；远期（2035年）多伦工业园区片区各类建筑热负荷为641.27MW。</w:t>
      </w:r>
    </w:p>
    <w:p w14:paraId="37E8A3BC">
      <w:pPr>
        <w:ind w:firstLine="480"/>
        <w:rPr>
          <w:rFonts w:hint="eastAsia"/>
          <w:color w:val="auto"/>
          <w:highlight w:val="none"/>
        </w:rPr>
      </w:pPr>
      <w:r>
        <w:rPr>
          <w:rFonts w:hint="eastAsia"/>
          <w:color w:val="auto"/>
          <w:highlight w:val="none"/>
        </w:rPr>
        <w:t>2、热源规划</w:t>
      </w:r>
    </w:p>
    <w:p w14:paraId="5BFE14CF">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多伦背压式热电联产机组项目（拟建）</w:t>
      </w:r>
    </w:p>
    <w:p w14:paraId="1D13B048">
      <w:pPr>
        <w:ind w:firstLine="480"/>
        <w:rPr>
          <w:rFonts w:hint="eastAsia"/>
          <w:color w:val="auto"/>
          <w:highlight w:val="none"/>
        </w:rPr>
      </w:pPr>
      <w:r>
        <w:rPr>
          <w:rFonts w:hint="eastAsia"/>
          <w:color w:val="auto"/>
          <w:highlight w:val="none"/>
        </w:rPr>
        <w:t>项目总占地18.93公顷，位于高新产业园，工程规划建设2×15MW背压式汽轮发电机组+2×150t/h次高压循环流化床锅炉，配套2×116MW循环流化床热水锅炉。多伦背压式热电联产机组项目建成后可供热面积为600万m</w:t>
      </w:r>
      <w:r>
        <w:rPr>
          <w:rFonts w:hint="eastAsia"/>
          <w:color w:val="auto"/>
          <w:highlight w:val="none"/>
          <w:vertAlign w:val="superscript"/>
        </w:rPr>
        <w:t>2</w:t>
      </w:r>
      <w:r>
        <w:rPr>
          <w:rFonts w:hint="eastAsia"/>
          <w:color w:val="auto"/>
          <w:highlight w:val="none"/>
        </w:rPr>
        <w:t>。2021年一期建设完成（1×15MW背压式汽轮发电机组+1×150t/h次高压循环流化床锅炉，配套2×116MW循环流化床热水锅炉），完成供热面积188万m</w:t>
      </w:r>
      <w:r>
        <w:rPr>
          <w:rFonts w:hint="eastAsia"/>
          <w:color w:val="auto"/>
          <w:highlight w:val="none"/>
          <w:vertAlign w:val="superscript"/>
        </w:rPr>
        <w:t>2</w:t>
      </w:r>
      <w:r>
        <w:rPr>
          <w:rFonts w:hint="eastAsia"/>
          <w:color w:val="auto"/>
          <w:highlight w:val="none"/>
        </w:rPr>
        <w:t>。主要为园区高新产业园和化工新材料循环产业园内企业供热及蒸汽。</w:t>
      </w:r>
    </w:p>
    <w:p w14:paraId="20766F90">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丰华热力公司（现状）</w:t>
      </w:r>
    </w:p>
    <w:p w14:paraId="2AF4DEAA">
      <w:pPr>
        <w:ind w:firstLine="480"/>
        <w:rPr>
          <w:rFonts w:hint="eastAsia"/>
          <w:color w:val="auto"/>
          <w:highlight w:val="none"/>
        </w:rPr>
      </w:pPr>
      <w:r>
        <w:rPr>
          <w:rFonts w:hint="eastAsia"/>
          <w:color w:val="auto"/>
          <w:highlight w:val="none"/>
        </w:rPr>
        <w:t>丰华热力公司位于园区和康路东侧，现有供热能力4×14MW循环流化床热水锅炉，主要负责城区东侧与西部区块园区供热。目前园区高新技术产业园内供热管网已全部建成，高新产业园内企业全部采用集中供暖。</w:t>
      </w:r>
    </w:p>
    <w:p w14:paraId="34A499A3">
      <w:pPr>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大河口特色产业园热源厂（规划）</w:t>
      </w:r>
    </w:p>
    <w:p w14:paraId="3CA90A22">
      <w:pPr>
        <w:ind w:firstLine="480"/>
        <w:rPr>
          <w:rFonts w:hint="eastAsia"/>
          <w:color w:val="auto"/>
          <w:highlight w:val="none"/>
        </w:rPr>
      </w:pPr>
      <w:r>
        <w:rPr>
          <w:rFonts w:hint="eastAsia"/>
          <w:color w:val="auto"/>
          <w:highlight w:val="none"/>
        </w:rPr>
        <w:t>大河口特色产业园现状无热源厂，本次规划建设热源厂一处。位于大经六路和大纬三街交叉西北角，占地面积1.8公顷。近期大河口企业供热由电锅炉、燃气锅炉或者生物质锅炉自行解决，远期达到一定规模后新建热源厂，供热负荷需达到55.82MW。</w:t>
      </w:r>
    </w:p>
    <w:p w14:paraId="0729FD3A">
      <w:pPr>
        <w:ind w:firstLine="480"/>
        <w:rPr>
          <w:rFonts w:hint="eastAsia"/>
          <w:color w:val="auto"/>
          <w:highlight w:val="none"/>
        </w:rPr>
      </w:pPr>
      <w:r>
        <w:rPr>
          <w:rFonts w:hint="eastAsia"/>
          <w:color w:val="auto"/>
          <w:highlight w:val="none"/>
        </w:rPr>
        <w:t>3、供热管网规划</w:t>
      </w:r>
    </w:p>
    <w:p w14:paraId="44C03BC8">
      <w:pPr>
        <w:ind w:firstLine="480"/>
        <w:rPr>
          <w:rFonts w:hint="eastAsia"/>
          <w:color w:val="auto"/>
          <w:highlight w:val="none"/>
        </w:rPr>
      </w:pPr>
      <w:r>
        <w:rPr>
          <w:rFonts w:hint="eastAsia"/>
          <w:color w:val="auto"/>
          <w:highlight w:val="none"/>
        </w:rPr>
        <w:t>供热管网采用枝状布置，根据园区土壤情况采用直埋敷设方式，供热管道采用无缝钢管或焊接钢管。</w:t>
      </w:r>
    </w:p>
    <w:p w14:paraId="1B848EFC">
      <w:pPr>
        <w:ind w:firstLine="480"/>
        <w:rPr>
          <w:rFonts w:hint="eastAsia"/>
          <w:color w:val="auto"/>
          <w:highlight w:val="none"/>
        </w:rPr>
      </w:pPr>
      <w:r>
        <w:rPr>
          <w:rFonts w:hint="eastAsia"/>
          <w:color w:val="auto"/>
          <w:highlight w:val="none"/>
        </w:rPr>
        <w:t>沿园区主要道路敷设热力管网，供热主干管一般沿主干道布设，管径为DN400—DN600，主要干管应该靠近大型用户和热负荷集中的地区。次干管沿次干道和支路布设，管径为DN200—DN400。</w:t>
      </w:r>
    </w:p>
    <w:p w14:paraId="025FD05F">
      <w:pPr>
        <w:ind w:firstLine="480"/>
        <w:rPr>
          <w:rFonts w:hint="eastAsia"/>
          <w:color w:val="auto"/>
          <w:highlight w:val="none"/>
        </w:rPr>
      </w:pPr>
      <w:r>
        <w:rPr>
          <w:rFonts w:hint="eastAsia"/>
          <w:color w:val="auto"/>
          <w:highlight w:val="none"/>
        </w:rPr>
        <w:t>热网建设采取分期、分段施工，避开复杂交通干道，尽量与新建及改扩建的道路工程相配合，同步施工。</w:t>
      </w:r>
    </w:p>
    <w:p w14:paraId="72DA3C2B">
      <w:pPr>
        <w:ind w:firstLine="480"/>
        <w:rPr>
          <w:rFonts w:hint="eastAsia"/>
          <w:color w:val="auto"/>
          <w:highlight w:val="none"/>
        </w:rPr>
      </w:pPr>
      <w:r>
        <w:rPr>
          <w:rFonts w:hint="eastAsia"/>
          <w:color w:val="auto"/>
          <w:highlight w:val="none"/>
        </w:rPr>
        <w:t>4、工业蒸汽</w:t>
      </w:r>
    </w:p>
    <w:p w14:paraId="7CC511F2">
      <w:pPr>
        <w:ind w:firstLine="480"/>
        <w:rPr>
          <w:rFonts w:hint="eastAsia"/>
          <w:color w:val="auto"/>
          <w:highlight w:val="none"/>
        </w:rPr>
      </w:pPr>
      <w:r>
        <w:rPr>
          <w:rFonts w:hint="eastAsia"/>
          <w:color w:val="auto"/>
          <w:highlight w:val="none"/>
        </w:rPr>
        <w:t>高新产业园和化工新材料产业园区工业用蒸汽由丰华热力1台1×150t/h次高压循环流化床蒸汽锅炉提供；大河口产业园由于企业较少，由自建燃气锅炉、生物质锅炉或者电锅炉自行解决。</w:t>
      </w:r>
    </w:p>
    <w:p w14:paraId="1FF94B17">
      <w:pPr>
        <w:pStyle w:val="6"/>
        <w:bidi w:val="0"/>
        <w:rPr>
          <w:rFonts w:hint="eastAsia"/>
          <w:color w:val="auto"/>
          <w:highlight w:val="none"/>
        </w:rPr>
      </w:pPr>
      <w:r>
        <w:rPr>
          <w:rFonts w:hint="eastAsia"/>
          <w:color w:val="auto"/>
          <w:highlight w:val="none"/>
        </w:rPr>
        <w:t xml:space="preserve"> 固废处理设施规划</w:t>
      </w:r>
    </w:p>
    <w:p w14:paraId="21F530B1">
      <w:pPr>
        <w:ind w:firstLine="480"/>
        <w:rPr>
          <w:rFonts w:hint="eastAsia"/>
          <w:color w:val="auto"/>
          <w:highlight w:val="none"/>
        </w:rPr>
      </w:pPr>
      <w:r>
        <w:rPr>
          <w:rFonts w:hint="eastAsia"/>
          <w:color w:val="auto"/>
          <w:highlight w:val="none"/>
        </w:rPr>
        <w:t>1、垃圾转运站</w:t>
      </w:r>
    </w:p>
    <w:p w14:paraId="3931EE1F">
      <w:pPr>
        <w:ind w:firstLine="480"/>
        <w:rPr>
          <w:rFonts w:hint="eastAsia"/>
          <w:color w:val="auto"/>
          <w:highlight w:val="none"/>
        </w:rPr>
      </w:pPr>
      <w:r>
        <w:rPr>
          <w:rFonts w:hint="eastAsia"/>
          <w:color w:val="auto"/>
          <w:highlight w:val="none"/>
        </w:rPr>
        <w:t>多伦工业园区规划垃圾中转站5座，其中，近期规划垃圾中转站2座，远期规划垃圾中转站2座。</w:t>
      </w:r>
    </w:p>
    <w:p w14:paraId="018B7534">
      <w:pPr>
        <w:ind w:firstLine="480"/>
        <w:rPr>
          <w:rFonts w:hint="eastAsia"/>
          <w:color w:val="auto"/>
          <w:highlight w:val="none"/>
        </w:rPr>
      </w:pPr>
      <w:r>
        <w:rPr>
          <w:rFonts w:hint="eastAsia"/>
          <w:color w:val="auto"/>
          <w:highlight w:val="none"/>
        </w:rPr>
        <w:t>2 、生活垃圾处理厂</w:t>
      </w:r>
    </w:p>
    <w:p w14:paraId="52FBF3FC">
      <w:pPr>
        <w:ind w:firstLine="480"/>
        <w:rPr>
          <w:rFonts w:hint="eastAsia"/>
          <w:color w:val="auto"/>
          <w:highlight w:val="none"/>
        </w:rPr>
      </w:pPr>
      <w:r>
        <w:rPr>
          <w:rFonts w:hint="eastAsia"/>
          <w:color w:val="auto"/>
          <w:highlight w:val="none"/>
        </w:rPr>
        <w:t>多伦工业园区内现有生活垃圾处理厂1座，位于化工新材料循环产业园南部，用地面积18.2公顷。</w:t>
      </w:r>
    </w:p>
    <w:p w14:paraId="7E1E5FF1">
      <w:pPr>
        <w:ind w:firstLine="480"/>
        <w:rPr>
          <w:rFonts w:hint="eastAsia"/>
          <w:color w:val="auto"/>
          <w:highlight w:val="none"/>
        </w:rPr>
      </w:pPr>
      <w:r>
        <w:rPr>
          <w:rFonts w:hint="eastAsia"/>
          <w:color w:val="auto"/>
          <w:highlight w:val="none"/>
        </w:rPr>
        <w:t>3、一般工业废物处置</w:t>
      </w:r>
    </w:p>
    <w:p w14:paraId="7C98CBED">
      <w:pPr>
        <w:ind w:firstLine="480"/>
        <w:rPr>
          <w:rFonts w:hint="eastAsia"/>
          <w:color w:val="auto"/>
          <w:highlight w:val="none"/>
        </w:rPr>
      </w:pPr>
      <w:r>
        <w:rPr>
          <w:rFonts w:hint="eastAsia"/>
          <w:color w:val="auto"/>
          <w:highlight w:val="none"/>
        </w:rPr>
        <w:t>多伦县固体废弃物处置利用项目由多伦县春实固废填埋有限公司承建，位于内蒙古多伦县诺尔镇坝筒梁东梁，所在地理位置中心坐标为东经116°32'52.23"，北纬42°10'49.57"。本项目填埋场填埋固废为Ⅱ类一般工业固体废弃物，填埋场属于Ⅱ类场，占地内相关建设均按照Ⅱ类场进行设计。项目规划占地面积174766.522m</w:t>
      </w:r>
      <w:r>
        <w:rPr>
          <w:rFonts w:hint="eastAsia"/>
          <w:color w:val="auto"/>
          <w:highlight w:val="none"/>
          <w:vertAlign w:val="superscript"/>
        </w:rPr>
        <w:t>2</w:t>
      </w:r>
      <w:r>
        <w:rPr>
          <w:rFonts w:hint="eastAsia"/>
          <w:color w:val="auto"/>
          <w:highlight w:val="none"/>
        </w:rPr>
        <w:t>（262.15亩），根据项目总体发展规划，为满足固废处理（除危废）需求，新建填埋场占地为157233.083m</w:t>
      </w:r>
      <w:r>
        <w:rPr>
          <w:rFonts w:hint="eastAsia"/>
          <w:color w:val="auto"/>
          <w:highlight w:val="none"/>
          <w:vertAlign w:val="superscript"/>
        </w:rPr>
        <w:t>2</w:t>
      </w:r>
      <w:r>
        <w:rPr>
          <w:rFonts w:hint="eastAsia"/>
          <w:color w:val="auto"/>
          <w:highlight w:val="none"/>
        </w:rPr>
        <w:t>，基底库容为945337.35m</w:t>
      </w:r>
      <w:r>
        <w:rPr>
          <w:rFonts w:hint="eastAsia"/>
          <w:color w:val="auto"/>
          <w:highlight w:val="none"/>
          <w:vertAlign w:val="superscript"/>
        </w:rPr>
        <w:t>3</w:t>
      </w:r>
      <w:r>
        <w:rPr>
          <w:rFonts w:hint="eastAsia"/>
          <w:color w:val="auto"/>
          <w:highlight w:val="none"/>
        </w:rPr>
        <w:t>，库容约为177.6 万m</w:t>
      </w:r>
      <w:r>
        <w:rPr>
          <w:rFonts w:hint="eastAsia"/>
          <w:color w:val="auto"/>
          <w:highlight w:val="none"/>
          <w:vertAlign w:val="superscript"/>
        </w:rPr>
        <w:t>3</w:t>
      </w:r>
      <w:r>
        <w:rPr>
          <w:rFonts w:hint="eastAsia"/>
          <w:color w:val="auto"/>
          <w:highlight w:val="none"/>
        </w:rPr>
        <w:t>，采用收集、贮存方式处置工业固体废物，处置方式为无害化填埋。平均日处理废渣规模为3043.67t/d，日处理废渣体积为2646.67m³。填埋场分2个区进行运营，一区为填埋区，年总容量为123.9万m</w:t>
      </w:r>
      <w:r>
        <w:rPr>
          <w:rFonts w:hint="eastAsia"/>
          <w:color w:val="auto"/>
          <w:highlight w:val="none"/>
          <w:vertAlign w:val="superscript"/>
        </w:rPr>
        <w:t>3</w:t>
      </w:r>
      <w:r>
        <w:rPr>
          <w:rFonts w:hint="eastAsia"/>
          <w:color w:val="auto"/>
          <w:highlight w:val="none"/>
        </w:rPr>
        <w:t>，共分为4个小区，服务年限为10年，二区为综合利用区，年总容量为52.6万m</w:t>
      </w:r>
      <w:r>
        <w:rPr>
          <w:rFonts w:hint="eastAsia"/>
          <w:color w:val="auto"/>
          <w:highlight w:val="none"/>
          <w:vertAlign w:val="superscript"/>
        </w:rPr>
        <w:t>3</w:t>
      </w:r>
      <w:r>
        <w:rPr>
          <w:rFonts w:hint="eastAsia"/>
          <w:color w:val="auto"/>
          <w:highlight w:val="none"/>
        </w:rPr>
        <w:t>，共分为2个小区，服务年限为3年；项目利用粉煤灰进行制砖，配套新建1座隧道窑占地面积为3888.265m</w:t>
      </w:r>
      <w:r>
        <w:rPr>
          <w:rFonts w:hint="eastAsia"/>
          <w:color w:val="auto"/>
          <w:highlight w:val="none"/>
          <w:vertAlign w:val="superscript"/>
        </w:rPr>
        <w:t>2</w:t>
      </w:r>
      <w:r>
        <w:rPr>
          <w:rFonts w:hint="eastAsia"/>
          <w:color w:val="auto"/>
          <w:highlight w:val="none"/>
        </w:rPr>
        <w:t>，内设1条制砖生产线；新建原料预处理车间占地面积为957.781m</w:t>
      </w:r>
      <w:r>
        <w:rPr>
          <w:rFonts w:hint="eastAsia"/>
          <w:color w:val="auto"/>
          <w:highlight w:val="none"/>
          <w:vertAlign w:val="superscript"/>
        </w:rPr>
        <w:t>2</w:t>
      </w:r>
      <w:r>
        <w:rPr>
          <w:rFonts w:hint="eastAsia"/>
          <w:color w:val="auto"/>
          <w:highlight w:val="none"/>
        </w:rPr>
        <w:t>；新建养护大棚占地面积为300m</w:t>
      </w:r>
      <w:r>
        <w:rPr>
          <w:rFonts w:hint="eastAsia"/>
          <w:color w:val="auto"/>
          <w:highlight w:val="none"/>
          <w:vertAlign w:val="superscript"/>
        </w:rPr>
        <w:t>2</w:t>
      </w:r>
      <w:r>
        <w:rPr>
          <w:rFonts w:hint="eastAsia"/>
          <w:color w:val="auto"/>
          <w:highlight w:val="none"/>
        </w:rPr>
        <w:t>；新建砖厂灰渣库占地面积为1050m</w:t>
      </w:r>
      <w:r>
        <w:rPr>
          <w:rFonts w:hint="eastAsia"/>
          <w:color w:val="auto"/>
          <w:highlight w:val="none"/>
          <w:vertAlign w:val="superscript"/>
        </w:rPr>
        <w:t>2</w:t>
      </w:r>
      <w:r>
        <w:rPr>
          <w:rFonts w:hint="eastAsia"/>
          <w:color w:val="auto"/>
          <w:highlight w:val="none"/>
        </w:rPr>
        <w:t>；新建砖厂备料库占地面积为550m</w:t>
      </w:r>
      <w:r>
        <w:rPr>
          <w:rFonts w:hint="eastAsia"/>
          <w:color w:val="auto"/>
          <w:highlight w:val="none"/>
          <w:vertAlign w:val="superscript"/>
        </w:rPr>
        <w:t>2</w:t>
      </w:r>
      <w:r>
        <w:rPr>
          <w:rFonts w:hint="eastAsia"/>
          <w:color w:val="auto"/>
          <w:highlight w:val="none"/>
        </w:rPr>
        <w:t>。项目建成达产后，实现年一般固体废弃物（除危险固体废弃物外）处理量达到100万吨/年，利用粉煤灰及页岩年产烧结砖8000万块。</w:t>
      </w:r>
    </w:p>
    <w:p w14:paraId="3AA8A0A2">
      <w:pPr>
        <w:ind w:firstLine="480"/>
        <w:rPr>
          <w:rFonts w:hint="eastAsia"/>
          <w:color w:val="auto"/>
          <w:highlight w:val="none"/>
        </w:rPr>
      </w:pPr>
      <w:r>
        <w:rPr>
          <w:rFonts w:hint="eastAsia"/>
          <w:color w:val="auto"/>
          <w:highlight w:val="none"/>
        </w:rPr>
        <w:t>本次规划本着减少污染、节省占地、便于管理的原则，建议园区内入驻企业合用一座贮灰场。</w:t>
      </w:r>
    </w:p>
    <w:p w14:paraId="3C20865C">
      <w:pPr>
        <w:ind w:firstLine="480"/>
        <w:rPr>
          <w:rFonts w:hint="eastAsia"/>
          <w:color w:val="auto"/>
          <w:highlight w:val="none"/>
        </w:rPr>
      </w:pPr>
      <w:r>
        <w:rPr>
          <w:rFonts w:hint="eastAsia"/>
          <w:color w:val="auto"/>
          <w:highlight w:val="none"/>
        </w:rPr>
        <w:t>4、危险固体废物处理厂</w:t>
      </w:r>
    </w:p>
    <w:p w14:paraId="1461C767">
      <w:pPr>
        <w:ind w:firstLine="480"/>
        <w:rPr>
          <w:rFonts w:hint="eastAsia"/>
          <w:color w:val="auto"/>
          <w:highlight w:val="none"/>
        </w:rPr>
      </w:pPr>
      <w:r>
        <w:rPr>
          <w:rFonts w:hint="eastAsia"/>
          <w:color w:val="auto"/>
          <w:highlight w:val="none"/>
        </w:rPr>
        <w:t>规划园区新建1座危险固体废物处理厂，位于化工新材料循环产业园南侧，目前正在建设中，环评已由原多伦县环境保护局于2019年5月27日以“多环审书[2019]3号”出具了批复。总占地面积12.34hm</w:t>
      </w:r>
      <w:r>
        <w:rPr>
          <w:rFonts w:hint="eastAsia"/>
          <w:color w:val="auto"/>
          <w:highlight w:val="none"/>
          <w:vertAlign w:val="superscript"/>
        </w:rPr>
        <w:t>2</w:t>
      </w:r>
      <w:r>
        <w:rPr>
          <w:rFonts w:hint="eastAsia"/>
          <w:color w:val="auto"/>
          <w:highlight w:val="none"/>
        </w:rPr>
        <w:t>，采用焚烧和安全填埋的方式，对危险废物进行资源化、无害化处理，年处理各类危废总量9.3万t，其中安全填埋库容为138.49万m</w:t>
      </w:r>
      <w:r>
        <w:rPr>
          <w:rFonts w:hint="eastAsia"/>
          <w:color w:val="auto"/>
          <w:highlight w:val="none"/>
          <w:vertAlign w:val="superscript"/>
        </w:rPr>
        <w:t>3</w:t>
      </w:r>
      <w:r>
        <w:rPr>
          <w:rFonts w:hint="eastAsia"/>
          <w:color w:val="auto"/>
          <w:highlight w:val="none"/>
        </w:rPr>
        <w:t>。</w:t>
      </w:r>
    </w:p>
    <w:p w14:paraId="318B3AF3">
      <w:pPr>
        <w:ind w:firstLine="480"/>
        <w:rPr>
          <w:rFonts w:hint="eastAsia"/>
          <w:color w:val="auto"/>
          <w:highlight w:val="none"/>
        </w:rPr>
      </w:pPr>
      <w:r>
        <w:rPr>
          <w:rFonts w:hint="eastAsia"/>
          <w:color w:val="auto"/>
          <w:highlight w:val="none"/>
        </w:rPr>
        <w:t>拟建危险固体废物处理厂危险废物主要来源为多伦县、锡林郭勒盟以及锡林郭勒盟周边产废单位，收集园区企业危废。</w:t>
      </w:r>
    </w:p>
    <w:p w14:paraId="0483C379">
      <w:pPr>
        <w:pStyle w:val="5"/>
        <w:rPr>
          <w:color w:val="auto"/>
          <w:highlight w:val="none"/>
        </w:rPr>
      </w:pPr>
      <w:r>
        <w:rPr>
          <w:rFonts w:hint="eastAsia"/>
          <w:color w:val="auto"/>
          <w:highlight w:val="none"/>
        </w:rPr>
        <w:t>开发区</w:t>
      </w:r>
      <w:r>
        <w:rPr>
          <w:rFonts w:hint="eastAsia"/>
          <w:color w:val="auto"/>
          <w:highlight w:val="none"/>
          <w:lang w:val="en-US" w:eastAsia="zh-CN"/>
        </w:rPr>
        <w:t>规划环评手续执行情况</w:t>
      </w:r>
    </w:p>
    <w:p w14:paraId="6CD0FBA1">
      <w:pPr>
        <w:ind w:firstLine="480"/>
        <w:rPr>
          <w:color w:val="auto"/>
          <w:highlight w:val="none"/>
        </w:rPr>
      </w:pPr>
      <w:r>
        <w:rPr>
          <w:color w:val="auto"/>
          <w:highlight w:val="none"/>
        </w:rPr>
        <w:t>2020年5月9日取得内蒙古自治区生态环境厅关于转发《内蒙古多伦工业化园区总体规划（2019-2035）环境影响报告书》审查意见的函（内环函[2020]219号）。《内蒙古多伦工业园区园区总体规划(2019-2035)环境影响报告书》审查意见如下：</w:t>
      </w:r>
    </w:p>
    <w:p w14:paraId="3403D28C">
      <w:pPr>
        <w:ind w:firstLine="480"/>
        <w:rPr>
          <w:color w:val="auto"/>
          <w:highlight w:val="none"/>
        </w:rPr>
      </w:pPr>
      <w:r>
        <w:rPr>
          <w:color w:val="auto"/>
          <w:highlight w:val="none"/>
        </w:rPr>
        <w:t>（一）园区总体规划必须纳入多伦县城市总体规划，并要与当地其它专项规划相协调，下一步应按要求纳入当地国土空间规划。按照《内蒙古自治区党委自治区人民政府关于全面加强生态环境保护坚决打好污染防治攻坚战的实施意见》及《内蒙古自治区人民政府办公厅关于进一步加强全区自治区级及以上工业园区环境保护工作的通 知》等文件要求，指导园区建设。</w:t>
      </w:r>
    </w:p>
    <w:p w14:paraId="1A45516F">
      <w:pPr>
        <w:ind w:firstLine="480"/>
        <w:rPr>
          <w:color w:val="auto"/>
          <w:highlight w:val="none"/>
        </w:rPr>
      </w:pPr>
      <w:r>
        <w:rPr>
          <w:color w:val="auto"/>
          <w:highlight w:val="none"/>
        </w:rPr>
        <w:t>（二）园区应主动对标绿色高质量发展要求，结合园区区位资源优势、环境敏感特征及生态功能定位，合理发展新兴产业、化工循环经济产业、地方特色产业和现代服务业。</w:t>
      </w:r>
    </w:p>
    <w:p w14:paraId="6E48B7A6">
      <w:pPr>
        <w:ind w:firstLine="480"/>
        <w:rPr>
          <w:color w:val="auto"/>
          <w:highlight w:val="none"/>
        </w:rPr>
      </w:pPr>
      <w:r>
        <w:rPr>
          <w:color w:val="auto"/>
          <w:highlight w:val="none"/>
        </w:rPr>
        <w:t>（三）坚持生态优先、绿色发展理念，将区域生态环境保护作为首要任务，保护生态空间，控制开发强度，严格环境准入，进一步优化空间布局、开发任务和建设时序。园区各产业区与中心城区、地表水体等环境敏感区之间应设置合理的防护隔离区， 有效防范环境污染和事故风险，确保区域生态安全。</w:t>
      </w:r>
    </w:p>
    <w:p w14:paraId="6E36D64E">
      <w:pPr>
        <w:ind w:firstLine="480"/>
        <w:rPr>
          <w:color w:val="auto"/>
          <w:highlight w:val="none"/>
        </w:rPr>
      </w:pPr>
      <w:r>
        <w:rPr>
          <w:color w:val="auto"/>
          <w:highlight w:val="none"/>
        </w:rPr>
        <w:t>（四）结合污染防治攻坚战的安排部署，统筹推进区域大气环境综合整治。深化工业企业污染治理，做好重点行业污染防治。严控扬尘污染，加强道路、建筑工地、裸露地面等扬尘污染防治。确保规划期内区域生态环境质量总体改善。</w:t>
      </w:r>
    </w:p>
    <w:p w14:paraId="27698298">
      <w:pPr>
        <w:ind w:firstLine="480"/>
        <w:rPr>
          <w:color w:val="auto"/>
          <w:highlight w:val="none"/>
        </w:rPr>
      </w:pPr>
      <w:r>
        <w:rPr>
          <w:color w:val="auto"/>
          <w:highlight w:val="none"/>
        </w:rPr>
        <w:t>（五）园区应采取自建或依托现有设施等方式，科学合理设置污水处理厂。优先利用再生水等作为生产水源。合理确定园区热源建设方案，采用集中供热或因地制宜利用清洁能源实现供热、供汽。规范处置固体废物，统筹建设固体废物贮存场所并规 范管理。</w:t>
      </w:r>
    </w:p>
    <w:p w14:paraId="13341FF1">
      <w:pPr>
        <w:ind w:firstLine="480"/>
        <w:rPr>
          <w:color w:val="auto"/>
          <w:highlight w:val="none"/>
        </w:rPr>
      </w:pPr>
      <w:r>
        <w:rPr>
          <w:color w:val="auto"/>
          <w:highlight w:val="none"/>
        </w:rPr>
        <w:t>（六）严格落实《报告书》提出的各项环境风险防范措施，建立和不断完善环境风险防范机制和应急体系，最大限度降低环境风险。</w:t>
      </w:r>
    </w:p>
    <w:p w14:paraId="1DF62A67">
      <w:pPr>
        <w:ind w:firstLine="480"/>
        <w:rPr>
          <w:color w:val="auto"/>
          <w:highlight w:val="none"/>
        </w:rPr>
      </w:pPr>
      <w:r>
        <w:rPr>
          <w:color w:val="auto"/>
          <w:highlight w:val="none"/>
        </w:rPr>
        <w:t>（七）加强环境监管及日常环境质量监测。重点企业排污口要设置在线监测系统并与环保部门联网，确保园区各企业污染物长期稳定达标排放。加强对区域大气、地表水、地下水、土壤、生态等的跟踪监测，对常规污染物和特征污染物实施有效监测 和长期监控，防止发生环境污染事件。</w:t>
      </w:r>
    </w:p>
    <w:p w14:paraId="3A0F1B71">
      <w:pPr>
        <w:ind w:firstLine="480"/>
        <w:rPr>
          <w:color w:val="auto"/>
          <w:highlight w:val="none"/>
        </w:rPr>
      </w:pPr>
      <w:r>
        <w:rPr>
          <w:color w:val="auto"/>
          <w:highlight w:val="none"/>
        </w:rPr>
        <w:t>（八）全面排查和梳理现有企业污染防治和环境风险情况，综合考虑拟引进项目的环境影响，在项目环评审批及事中事后监管中严格落实规划环评成果，推动园区实 现经济高质量发展和生态环境高水平保护。</w:t>
      </w:r>
    </w:p>
    <w:p w14:paraId="54F3445C">
      <w:pPr>
        <w:ind w:firstLine="480"/>
        <w:rPr>
          <w:color w:val="auto"/>
          <w:highlight w:val="none"/>
        </w:rPr>
      </w:pPr>
      <w:r>
        <w:rPr>
          <w:color w:val="auto"/>
          <w:highlight w:val="none"/>
        </w:rPr>
        <w:t>（九）总体规划实施对环境产生重大影响时，应当及时组织环境影响的跟踪评价。规划修编时应重新编制环境影响报告书。对规划所包含的建设项目，在开展环境影响评价时，应重点分析污染防治措施和环境风险防范措施的可行性、可靠性，环境质量现状等工作内容可以适当简化。</w:t>
      </w:r>
    </w:p>
    <w:p w14:paraId="00A9B3B4">
      <w:pPr>
        <w:pStyle w:val="4"/>
        <w:spacing w:before="120" w:after="120"/>
        <w:rPr>
          <w:color w:val="auto"/>
          <w:highlight w:val="none"/>
        </w:rPr>
      </w:pPr>
      <w:bookmarkStart w:id="134" w:name="_Toc3116"/>
      <w:r>
        <w:rPr>
          <w:rFonts w:hint="eastAsia"/>
          <w:color w:val="auto"/>
          <w:highlight w:val="none"/>
        </w:rPr>
        <w:t>环境质量现状调查与评价</w:t>
      </w:r>
      <w:bookmarkEnd w:id="134"/>
    </w:p>
    <w:p w14:paraId="07039FBA">
      <w:pPr>
        <w:pStyle w:val="5"/>
        <w:rPr>
          <w:color w:val="auto"/>
          <w:highlight w:val="none"/>
        </w:rPr>
      </w:pPr>
      <w:r>
        <w:rPr>
          <w:rFonts w:hint="eastAsia"/>
          <w:color w:val="auto"/>
          <w:highlight w:val="none"/>
        </w:rPr>
        <w:t>环境空气质量现状</w:t>
      </w:r>
    </w:p>
    <w:p w14:paraId="4AE5940E">
      <w:pPr>
        <w:pStyle w:val="6"/>
        <w:rPr>
          <w:color w:val="auto"/>
          <w:highlight w:val="none"/>
        </w:rPr>
      </w:pPr>
      <w:r>
        <w:rPr>
          <w:rFonts w:hint="eastAsia"/>
          <w:color w:val="auto"/>
          <w:highlight w:val="none"/>
          <w:lang w:val="en-US" w:eastAsia="zh-CN"/>
        </w:rPr>
        <w:t xml:space="preserve"> </w:t>
      </w:r>
      <w:r>
        <w:rPr>
          <w:rFonts w:hint="eastAsia"/>
          <w:color w:val="auto"/>
          <w:highlight w:val="none"/>
        </w:rPr>
        <w:t>区域空气环境达标区判定</w:t>
      </w:r>
    </w:p>
    <w:p w14:paraId="307AEA86">
      <w:pPr>
        <w:ind w:firstLine="480"/>
        <w:jc w:val="left"/>
        <w:rPr>
          <w:color w:val="auto"/>
          <w:highlight w:val="none"/>
        </w:rPr>
      </w:pPr>
      <w:r>
        <w:rPr>
          <w:color w:val="auto"/>
          <w:highlight w:val="none"/>
        </w:rPr>
        <w:t>根据《环境影响评价技术导则—大气环境》（HJ2.2-2018）中6.4.1.1中的内容“城市环境空气质量达标评价指标为SO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、PM</w:t>
      </w:r>
      <w:r>
        <w:rPr>
          <w:color w:val="auto"/>
          <w:highlight w:val="none"/>
          <w:vertAlign w:val="subscript"/>
        </w:rPr>
        <w:t>10</w:t>
      </w:r>
      <w:r>
        <w:rPr>
          <w:color w:val="auto"/>
          <w:highlight w:val="none"/>
        </w:rPr>
        <w:t>、PM</w:t>
      </w:r>
      <w:r>
        <w:rPr>
          <w:color w:val="auto"/>
          <w:highlight w:val="none"/>
          <w:vertAlign w:val="subscript"/>
        </w:rPr>
        <w:t>2.5</w:t>
      </w:r>
      <w:r>
        <w:rPr>
          <w:color w:val="auto"/>
          <w:highlight w:val="none"/>
        </w:rPr>
        <w:t>、CO和O</w:t>
      </w:r>
      <w:r>
        <w:rPr>
          <w:color w:val="auto"/>
          <w:highlight w:val="none"/>
          <w:vertAlign w:val="subscript"/>
        </w:rPr>
        <w:t>3</w:t>
      </w:r>
      <w:r>
        <w:rPr>
          <w:color w:val="auto"/>
          <w:highlight w:val="none"/>
        </w:rPr>
        <w:t>，六项污染物全部达标即为城市环境空气质量达标”。</w:t>
      </w:r>
    </w:p>
    <w:p w14:paraId="673527D5">
      <w:pPr>
        <w:ind w:firstLine="480"/>
        <w:jc w:val="left"/>
        <w:rPr>
          <w:color w:val="auto"/>
          <w:highlight w:val="none"/>
        </w:rPr>
      </w:pPr>
      <w:r>
        <w:rPr>
          <w:color w:val="auto"/>
          <w:highlight w:val="none"/>
        </w:rPr>
        <w:t>根据《环境影响评价技术导则—大气环境》（HJ2.2-2018）的规定，项目所在区域环境空气质量达标判定，优先采用国家或地方生态环境主管部门公开发布的评价基准年环境质量公告或环境质量报告中的数据或结论。</w:t>
      </w:r>
    </w:p>
    <w:p w14:paraId="58A540DE">
      <w:pPr>
        <w:ind w:firstLine="480"/>
        <w:jc w:val="left"/>
        <w:rPr>
          <w:rFonts w:hint="eastAsia"/>
          <w:color w:val="auto"/>
          <w:highlight w:val="none"/>
          <w:lang w:val="en-US" w:eastAsia="zh-CN"/>
        </w:rPr>
      </w:pPr>
      <w:r>
        <w:rPr>
          <w:rFonts w:hint="eastAsia"/>
          <w:color w:val="auto"/>
          <w:highlight w:val="none"/>
          <w:lang w:val="en-US" w:eastAsia="zh-CN"/>
        </w:rPr>
        <w:t>本项目区达标判定采用2024年6月3日发布的《2023内蒙古自治区生态环境状况公报》，2023年全区城市环境空气各项污染物年均浓度均达标。各盟市中除乌海市可吸入颗粒物不达标外其他盟市其他各项污染物均达标。</w:t>
      </w:r>
    </w:p>
    <w:p w14:paraId="3D1856F4">
      <w:pPr>
        <w:ind w:firstLine="480"/>
        <w:jc w:val="left"/>
        <w:rPr>
          <w:color w:val="auto"/>
          <w:highlight w:val="none"/>
        </w:rPr>
      </w:pPr>
      <w:r>
        <w:rPr>
          <w:rFonts w:hint="eastAsia"/>
          <w:color w:val="auto"/>
          <w:highlight w:val="none"/>
          <w:lang w:val="en-US" w:eastAsia="zh-CN"/>
        </w:rPr>
        <w:t>本项目选址位于锡林郭勒盟，各项指标全部符合《环境空气质量标准》（GB3095-2012）中二级标准。因此，锡林郭勒盟环境空气质量属于达标区。</w:t>
      </w:r>
    </w:p>
    <w:p w14:paraId="125F30C9">
      <w:pPr>
        <w:pStyle w:val="6"/>
        <w:rPr>
          <w:color w:val="auto"/>
          <w:highlight w:val="none"/>
        </w:rPr>
      </w:pPr>
      <w:r>
        <w:rPr>
          <w:rFonts w:hint="eastAsia"/>
          <w:color w:val="auto"/>
          <w:highlight w:val="none"/>
          <w:lang w:val="en-US" w:eastAsia="zh-CN"/>
        </w:rPr>
        <w:t xml:space="preserve"> </w:t>
      </w:r>
      <w:r>
        <w:rPr>
          <w:rFonts w:hint="eastAsia"/>
          <w:color w:val="auto"/>
          <w:highlight w:val="none"/>
        </w:rPr>
        <w:t>环境质量现状</w:t>
      </w:r>
      <w:r>
        <w:rPr>
          <w:rFonts w:hint="eastAsia"/>
          <w:color w:val="auto"/>
          <w:highlight w:val="none"/>
          <w:lang w:val="en-US" w:eastAsia="zh-CN"/>
        </w:rPr>
        <w:t>补充监测</w:t>
      </w:r>
    </w:p>
    <w:p w14:paraId="63C08122">
      <w:pPr>
        <w:overflowPunct w:val="0"/>
        <w:ind w:firstLine="480"/>
        <w:rPr>
          <w:rFonts w:hint="eastAsia"/>
          <w:color w:val="auto"/>
          <w:highlight w:val="none"/>
        </w:rPr>
      </w:pPr>
      <w:r>
        <w:rPr>
          <w:rFonts w:hint="eastAsia"/>
          <w:color w:val="auto"/>
          <w:highlight w:val="none"/>
        </w:rPr>
        <w:t>根据《环境影响评价技术导则大气环境》（HJ2.2-2018）6.3条要求，本次评价需对其他污染物</w:t>
      </w:r>
      <w:r>
        <w:rPr>
          <w:rFonts w:hint="eastAsia"/>
          <w:color w:val="auto"/>
          <w:highlight w:val="none"/>
          <w:lang w:val="en-US" w:eastAsia="zh-CN"/>
        </w:rPr>
        <w:t>TSP</w:t>
      </w:r>
      <w:r>
        <w:rPr>
          <w:rFonts w:hint="eastAsia"/>
          <w:color w:val="auto"/>
          <w:highlight w:val="none"/>
        </w:rPr>
        <w:t>进行补充监测，由</w:t>
      </w:r>
      <w:r>
        <w:rPr>
          <w:rFonts w:hint="eastAsia"/>
          <w:color w:val="auto"/>
          <w:highlight w:val="none"/>
          <w:lang w:val="en-US" w:eastAsia="zh-CN"/>
        </w:rPr>
        <w:t>内蒙古奥博森环保科技服务有限公司</w:t>
      </w:r>
      <w:r>
        <w:rPr>
          <w:rFonts w:hint="eastAsia"/>
          <w:color w:val="auto"/>
          <w:highlight w:val="none"/>
        </w:rPr>
        <w:t>负责完成，</w:t>
      </w:r>
      <w:r>
        <w:rPr>
          <w:rFonts w:hint="eastAsia"/>
          <w:color w:val="auto"/>
          <w:highlight w:val="none"/>
          <w:lang w:val="en-US" w:eastAsia="zh-CN"/>
        </w:rPr>
        <w:t>具</w:t>
      </w:r>
      <w:r>
        <w:rPr>
          <w:rFonts w:hint="eastAsia"/>
          <w:color w:val="auto"/>
          <w:highlight w:val="none"/>
        </w:rPr>
        <w:t>有CMA计量认证资质，</w:t>
      </w:r>
      <w:r>
        <w:rPr>
          <w:rFonts w:hint="eastAsia"/>
          <w:color w:val="auto"/>
          <w:highlight w:val="none"/>
          <w:lang w:val="en-US" w:eastAsia="zh-CN"/>
        </w:rPr>
        <w:t>检测采样</w:t>
      </w:r>
      <w:r>
        <w:rPr>
          <w:rFonts w:hint="eastAsia"/>
          <w:color w:val="auto"/>
          <w:highlight w:val="none"/>
        </w:rPr>
        <w:t>时间为</w:t>
      </w:r>
      <w:r>
        <w:rPr>
          <w:rFonts w:hint="eastAsia"/>
          <w:color w:val="auto"/>
          <w:highlight w:val="none"/>
          <w:lang w:val="en-US" w:eastAsia="zh-CN"/>
        </w:rPr>
        <w:t>2024年6月20日至26日</w:t>
      </w:r>
      <w:r>
        <w:rPr>
          <w:rFonts w:hint="eastAsia"/>
          <w:color w:val="auto"/>
          <w:highlight w:val="none"/>
        </w:rPr>
        <w:t>，</w:t>
      </w:r>
      <w:r>
        <w:rPr>
          <w:rFonts w:hint="eastAsia"/>
          <w:color w:val="auto"/>
          <w:highlight w:val="none"/>
          <w:lang w:val="en-US" w:eastAsia="zh-CN"/>
        </w:rPr>
        <w:t>满足7天</w:t>
      </w:r>
      <w:r>
        <w:rPr>
          <w:rFonts w:hint="eastAsia"/>
          <w:color w:val="auto"/>
          <w:highlight w:val="none"/>
        </w:rPr>
        <w:t>数据有效</w:t>
      </w:r>
      <w:r>
        <w:rPr>
          <w:rFonts w:hint="eastAsia"/>
          <w:color w:val="auto"/>
          <w:highlight w:val="none"/>
          <w:lang w:val="en-US" w:eastAsia="zh-CN"/>
        </w:rPr>
        <w:t>性要求</w:t>
      </w:r>
      <w:r>
        <w:rPr>
          <w:rFonts w:hint="eastAsia"/>
          <w:color w:val="auto"/>
          <w:highlight w:val="none"/>
        </w:rPr>
        <w:t>。</w:t>
      </w:r>
    </w:p>
    <w:p w14:paraId="43AD0C66">
      <w:pPr>
        <w:pStyle w:val="17"/>
        <w:spacing w:line="360" w:lineRule="auto"/>
        <w:ind w:firstLine="504" w:firstLineChars="200"/>
        <w:rPr>
          <w:rFonts w:ascii="Times New Roman"/>
          <w:color w:val="auto"/>
          <w:spacing w:val="6"/>
          <w:highlight w:val="none"/>
        </w:rPr>
      </w:pPr>
      <w:r>
        <w:rPr>
          <w:rFonts w:hint="eastAsia" w:ascii="Times New Roman"/>
          <w:color w:val="auto"/>
          <w:spacing w:val="6"/>
          <w:highlight w:val="none"/>
        </w:rPr>
        <w:t>（</w:t>
      </w:r>
      <w:r>
        <w:rPr>
          <w:rFonts w:ascii="Times New Roman"/>
          <w:color w:val="auto"/>
          <w:spacing w:val="6"/>
          <w:highlight w:val="none"/>
        </w:rPr>
        <w:t>1</w:t>
      </w:r>
      <w:r>
        <w:rPr>
          <w:rFonts w:hint="eastAsia" w:ascii="Times New Roman"/>
          <w:color w:val="auto"/>
          <w:spacing w:val="6"/>
          <w:highlight w:val="none"/>
        </w:rPr>
        <w:t>）监测点位</w:t>
      </w:r>
    </w:p>
    <w:p w14:paraId="3AD267BC">
      <w:pPr>
        <w:pStyle w:val="17"/>
        <w:spacing w:line="360" w:lineRule="auto"/>
        <w:ind w:firstLine="504" w:firstLineChars="200"/>
        <w:rPr>
          <w:rFonts w:ascii="Times New Roman"/>
          <w:color w:val="auto"/>
          <w:spacing w:val="6"/>
          <w:highlight w:val="none"/>
        </w:rPr>
      </w:pPr>
      <w:r>
        <w:rPr>
          <w:rFonts w:hint="eastAsia" w:ascii="Times New Roman"/>
          <w:color w:val="auto"/>
          <w:spacing w:val="6"/>
          <w:highlight w:val="none"/>
          <w:lang w:val="en-US" w:eastAsia="zh-CN"/>
        </w:rPr>
        <w:t>本项目环境空气质量补充</w:t>
      </w:r>
      <w:r>
        <w:rPr>
          <w:rFonts w:hint="eastAsia" w:ascii="Times New Roman"/>
          <w:color w:val="auto"/>
          <w:spacing w:val="6"/>
          <w:highlight w:val="none"/>
        </w:rPr>
        <w:t>监测项目相关信息见表</w:t>
      </w:r>
      <w:r>
        <w:rPr>
          <w:rFonts w:ascii="Times New Roman"/>
          <w:color w:val="auto"/>
          <w:spacing w:val="6"/>
          <w:highlight w:val="none"/>
        </w:rPr>
        <w:t>4.3</w:t>
      </w:r>
      <w:r>
        <w:rPr>
          <w:rFonts w:hint="eastAsia" w:ascii="Times New Roman"/>
          <w:color w:val="auto"/>
          <w:spacing w:val="6"/>
          <w:highlight w:val="none"/>
        </w:rPr>
        <w:t>-</w:t>
      </w:r>
      <w:r>
        <w:rPr>
          <w:rFonts w:hint="eastAsia" w:ascii="Times New Roman"/>
          <w:color w:val="auto"/>
          <w:spacing w:val="6"/>
          <w:highlight w:val="none"/>
          <w:lang w:val="en-US" w:eastAsia="zh-CN"/>
        </w:rPr>
        <w:t>1</w:t>
      </w:r>
      <w:r>
        <w:rPr>
          <w:rFonts w:hint="eastAsia" w:ascii="Times New Roman"/>
          <w:color w:val="auto"/>
          <w:spacing w:val="6"/>
          <w:highlight w:val="none"/>
        </w:rPr>
        <w:t>，监测点位分布见图</w:t>
      </w:r>
      <w:r>
        <w:rPr>
          <w:rFonts w:ascii="Times New Roman"/>
          <w:color w:val="auto"/>
          <w:spacing w:val="6"/>
          <w:highlight w:val="none"/>
        </w:rPr>
        <w:t>4.3-1</w:t>
      </w:r>
      <w:r>
        <w:rPr>
          <w:rFonts w:hint="eastAsia" w:ascii="Times New Roman"/>
          <w:color w:val="auto"/>
          <w:spacing w:val="6"/>
          <w:highlight w:val="none"/>
        </w:rPr>
        <w:t>。</w:t>
      </w:r>
    </w:p>
    <w:p w14:paraId="6814216E">
      <w:pPr>
        <w:pStyle w:val="199"/>
        <w:spacing w:before="120"/>
        <w:rPr>
          <w:bCs/>
          <w:snapToGrid w:val="0"/>
          <w:color w:val="auto"/>
          <w:sz w:val="24"/>
          <w:szCs w:val="28"/>
          <w:highlight w:val="none"/>
        </w:rPr>
      </w:pPr>
      <w:r>
        <w:rPr>
          <w:rFonts w:hint="eastAsia"/>
          <w:bCs/>
          <w:snapToGrid w:val="0"/>
          <w:color w:val="auto"/>
          <w:sz w:val="24"/>
          <w:szCs w:val="28"/>
          <w:highlight w:val="none"/>
        </w:rPr>
        <w:t>表</w:t>
      </w:r>
      <w:r>
        <w:rPr>
          <w:bCs/>
          <w:snapToGrid w:val="0"/>
          <w:color w:val="auto"/>
          <w:sz w:val="24"/>
          <w:szCs w:val="28"/>
          <w:highlight w:val="none"/>
        </w:rPr>
        <w:t>4.3-</w:t>
      </w:r>
      <w:r>
        <w:rPr>
          <w:rFonts w:hint="eastAsia"/>
          <w:bCs/>
          <w:snapToGrid w:val="0"/>
          <w:color w:val="auto"/>
          <w:sz w:val="24"/>
          <w:szCs w:val="28"/>
          <w:highlight w:val="none"/>
          <w:lang w:val="en-US" w:eastAsia="zh-CN"/>
        </w:rPr>
        <w:t>1</w:t>
      </w:r>
      <w:r>
        <w:rPr>
          <w:rFonts w:hint="eastAsia"/>
          <w:bCs/>
          <w:snapToGrid w:val="0"/>
          <w:color w:val="auto"/>
          <w:sz w:val="24"/>
          <w:szCs w:val="28"/>
          <w:highlight w:val="none"/>
        </w:rPr>
        <w:t xml:space="preserve"> </w:t>
      </w:r>
      <w:r>
        <w:rPr>
          <w:bCs/>
          <w:snapToGrid w:val="0"/>
          <w:color w:val="auto"/>
          <w:sz w:val="24"/>
          <w:szCs w:val="28"/>
          <w:highlight w:val="none"/>
        </w:rPr>
        <w:t xml:space="preserve">  </w:t>
      </w:r>
      <w:r>
        <w:rPr>
          <w:rFonts w:hint="eastAsia"/>
          <w:bCs/>
          <w:snapToGrid w:val="0"/>
          <w:color w:val="auto"/>
          <w:sz w:val="24"/>
          <w:szCs w:val="28"/>
          <w:highlight w:val="none"/>
        </w:rPr>
        <w:t>环境空气质量现状补充监测布点表</w:t>
      </w:r>
    </w:p>
    <w:tbl>
      <w:tblPr>
        <w:tblStyle w:val="239"/>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2"/>
        <w:gridCol w:w="2197"/>
        <w:gridCol w:w="2238"/>
        <w:gridCol w:w="1118"/>
        <w:gridCol w:w="1118"/>
        <w:gridCol w:w="1364"/>
      </w:tblGrid>
      <w:tr w14:paraId="33971D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82" w:type="dxa"/>
            <w:noWrap w:val="0"/>
            <w:vAlign w:val="center"/>
          </w:tcPr>
          <w:p w14:paraId="3DE42D08">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序号</w:t>
            </w:r>
          </w:p>
        </w:tc>
        <w:tc>
          <w:tcPr>
            <w:tcW w:w="2200" w:type="dxa"/>
            <w:noWrap w:val="0"/>
            <w:vAlign w:val="center"/>
          </w:tcPr>
          <w:p w14:paraId="3913152B">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监测点位名称</w:t>
            </w:r>
          </w:p>
        </w:tc>
        <w:tc>
          <w:tcPr>
            <w:tcW w:w="2241" w:type="dxa"/>
            <w:noWrap w:val="0"/>
            <w:vAlign w:val="center"/>
          </w:tcPr>
          <w:p w14:paraId="0A0A216A">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监测点坐标</w:t>
            </w:r>
            <w:r>
              <w:rPr>
                <w:color w:val="auto"/>
                <w:kern w:val="0"/>
                <w:sz w:val="21"/>
                <w:szCs w:val="21"/>
                <w:highlight w:val="none"/>
              </w:rPr>
              <w:t>/m</w:t>
            </w:r>
          </w:p>
        </w:tc>
        <w:tc>
          <w:tcPr>
            <w:tcW w:w="1120" w:type="dxa"/>
            <w:noWrap w:val="0"/>
            <w:vAlign w:val="center"/>
          </w:tcPr>
          <w:p w14:paraId="78E10287">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监测</w:t>
            </w:r>
          </w:p>
          <w:p w14:paraId="67216425">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因子</w:t>
            </w:r>
          </w:p>
        </w:tc>
        <w:tc>
          <w:tcPr>
            <w:tcW w:w="1120" w:type="dxa"/>
            <w:noWrap w:val="0"/>
            <w:vAlign w:val="center"/>
          </w:tcPr>
          <w:p w14:paraId="2ED189B4">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相对厂址方位</w:t>
            </w:r>
          </w:p>
        </w:tc>
        <w:tc>
          <w:tcPr>
            <w:tcW w:w="1366" w:type="dxa"/>
            <w:noWrap w:val="0"/>
            <w:vAlign w:val="center"/>
          </w:tcPr>
          <w:p w14:paraId="2DD7D359">
            <w:pPr>
              <w:spacing w:line="240" w:lineRule="auto"/>
              <w:ind w:firstLine="0" w:firstLineChars="0"/>
              <w:jc w:val="center"/>
              <w:rPr>
                <w:color w:val="auto"/>
                <w:kern w:val="0"/>
                <w:sz w:val="21"/>
                <w:szCs w:val="21"/>
                <w:highlight w:val="none"/>
              </w:rPr>
            </w:pPr>
            <w:r>
              <w:rPr>
                <w:rFonts w:hint="eastAsia"/>
                <w:color w:val="auto"/>
                <w:kern w:val="0"/>
                <w:sz w:val="21"/>
                <w:szCs w:val="21"/>
                <w:highlight w:val="none"/>
              </w:rPr>
              <w:t>相对厂界距离</w:t>
            </w:r>
            <w:r>
              <w:rPr>
                <w:color w:val="auto"/>
                <w:kern w:val="0"/>
                <w:sz w:val="21"/>
                <w:szCs w:val="21"/>
                <w:highlight w:val="none"/>
              </w:rPr>
              <w:t>/m</w:t>
            </w:r>
          </w:p>
        </w:tc>
      </w:tr>
      <w:tr w14:paraId="303E59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82" w:type="dxa"/>
            <w:noWrap w:val="0"/>
            <w:vAlign w:val="center"/>
          </w:tcPr>
          <w:p w14:paraId="3D3D4A75">
            <w:pPr>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G1</w:t>
            </w:r>
          </w:p>
        </w:tc>
        <w:tc>
          <w:tcPr>
            <w:tcW w:w="2200" w:type="dxa"/>
            <w:noWrap w:val="0"/>
            <w:vAlign w:val="center"/>
          </w:tcPr>
          <w:p w14:paraId="3E94355C">
            <w:pPr>
              <w:spacing w:line="240" w:lineRule="auto"/>
              <w:ind w:firstLine="0" w:firstLineChars="0"/>
              <w:jc w:val="center"/>
              <w:rPr>
                <w:rFonts w:hint="default" w:eastAsia="宋体"/>
                <w:color w:val="auto"/>
                <w:kern w:val="0"/>
                <w:sz w:val="21"/>
                <w:szCs w:val="21"/>
                <w:highlight w:val="none"/>
                <w:lang w:val="en-US" w:eastAsia="zh-CN"/>
              </w:rPr>
            </w:pPr>
            <w:r>
              <w:rPr>
                <w:rFonts w:hint="eastAsia" w:hAnsi="宋体"/>
                <w:color w:val="auto"/>
                <w:kern w:val="0"/>
                <w:sz w:val="21"/>
                <w:szCs w:val="21"/>
                <w:highlight w:val="none"/>
                <w:lang w:val="en-US" w:eastAsia="zh-CN"/>
              </w:rPr>
              <w:t>厂区下风向</w:t>
            </w:r>
          </w:p>
        </w:tc>
        <w:tc>
          <w:tcPr>
            <w:tcW w:w="2241" w:type="dxa"/>
            <w:noWrap w:val="0"/>
            <w:vAlign w:val="center"/>
          </w:tcPr>
          <w:p w14:paraId="68DC3D5F">
            <w:pPr>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N 42°11′12″</w:t>
            </w:r>
          </w:p>
          <w:p w14:paraId="6B11FE5A">
            <w:pPr>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E 116°35′00″</w:t>
            </w:r>
          </w:p>
        </w:tc>
        <w:tc>
          <w:tcPr>
            <w:tcW w:w="1120" w:type="dxa"/>
            <w:noWrap w:val="0"/>
            <w:vAlign w:val="center"/>
          </w:tcPr>
          <w:p w14:paraId="7136FECE">
            <w:pPr>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TSP</w:t>
            </w:r>
          </w:p>
        </w:tc>
        <w:tc>
          <w:tcPr>
            <w:tcW w:w="1120" w:type="dxa"/>
            <w:noWrap w:val="0"/>
            <w:vAlign w:val="center"/>
          </w:tcPr>
          <w:p w14:paraId="7386B4E3">
            <w:pPr>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ESE</w:t>
            </w:r>
          </w:p>
        </w:tc>
        <w:tc>
          <w:tcPr>
            <w:tcW w:w="1366" w:type="dxa"/>
            <w:noWrap w:val="0"/>
            <w:vAlign w:val="center"/>
          </w:tcPr>
          <w:p w14:paraId="1685026C">
            <w:pPr>
              <w:spacing w:line="240" w:lineRule="auto"/>
              <w:ind w:firstLine="0" w:firstLineChars="0"/>
              <w:jc w:val="center"/>
              <w:rPr>
                <w:rFonts w:hint="default" w:eastAsia="宋体"/>
                <w:color w:val="auto"/>
                <w:kern w:val="0"/>
                <w:sz w:val="21"/>
                <w:szCs w:val="21"/>
                <w:highlight w:val="none"/>
                <w:lang w:val="en-US" w:eastAsia="zh-CN"/>
              </w:rPr>
            </w:pPr>
            <w:r>
              <w:rPr>
                <w:rFonts w:hint="eastAsia" w:hAnsi="宋体"/>
                <w:color w:val="auto"/>
                <w:kern w:val="0"/>
                <w:sz w:val="21"/>
                <w:szCs w:val="21"/>
                <w:highlight w:val="none"/>
                <w:lang w:val="en-US" w:eastAsia="zh-CN"/>
              </w:rPr>
              <w:t>505</w:t>
            </w:r>
          </w:p>
        </w:tc>
      </w:tr>
    </w:tbl>
    <w:p w14:paraId="252009C9">
      <w:pPr>
        <w:spacing w:line="240" w:lineRule="auto"/>
        <w:ind w:firstLine="0" w:firstLineChars="0"/>
        <w:rPr>
          <w:color w:val="auto"/>
          <w:highlight w:val="none"/>
        </w:rPr>
        <w:sectPr>
          <w:pgSz w:w="11907" w:h="16840"/>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26" w:charSpace="0"/>
        </w:sectPr>
      </w:pPr>
    </w:p>
    <w:p w14:paraId="4CDCB392">
      <w:pPr>
        <w:spacing w:line="240" w:lineRule="auto"/>
        <w:ind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7679690" cy="5028565"/>
            <wp:effectExtent l="0" t="0" r="16510" b="635"/>
            <wp:docPr id="13" name="图片 40" descr="大气、地下水补充监测点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descr="大气、地下水补充监测点位分布图"/>
                    <pic:cNvPicPr>
                      <a:picLocks noChangeAspect="1"/>
                    </pic:cNvPicPr>
                  </pic:nvPicPr>
                  <pic:blipFill>
                    <a:blip r:embed="rId44"/>
                    <a:stretch>
                      <a:fillRect/>
                    </a:stretch>
                  </pic:blipFill>
                  <pic:spPr>
                    <a:xfrm>
                      <a:off x="0" y="0"/>
                      <a:ext cx="7679690" cy="5028565"/>
                    </a:xfrm>
                    <a:prstGeom prst="rect">
                      <a:avLst/>
                    </a:prstGeom>
                    <a:noFill/>
                    <a:ln>
                      <a:noFill/>
                    </a:ln>
                  </pic:spPr>
                </pic:pic>
              </a:graphicData>
            </a:graphic>
          </wp:inline>
        </w:drawing>
      </w:r>
    </w:p>
    <w:p w14:paraId="257C3675">
      <w:pPr>
        <w:spacing w:line="240" w:lineRule="auto"/>
        <w:ind w:firstLine="0" w:firstLineChars="0"/>
        <w:jc w:val="center"/>
        <w:rPr>
          <w:color w:val="auto"/>
          <w:highlight w:val="none"/>
        </w:rPr>
      </w:pPr>
      <w:r>
        <w:rPr>
          <w:rFonts w:hint="eastAsia"/>
          <w:b/>
          <w:bCs/>
          <w:color w:val="auto"/>
          <w:spacing w:val="6"/>
          <w:highlight w:val="none"/>
        </w:rPr>
        <w:t>图</w:t>
      </w:r>
      <w:r>
        <w:rPr>
          <w:b/>
          <w:bCs/>
          <w:color w:val="auto"/>
          <w:spacing w:val="6"/>
          <w:highlight w:val="none"/>
        </w:rPr>
        <w:t xml:space="preserve">4.3-1  </w:t>
      </w:r>
      <w:r>
        <w:rPr>
          <w:rFonts w:hint="eastAsia"/>
          <w:b/>
          <w:bCs/>
          <w:color w:val="auto"/>
          <w:spacing w:val="6"/>
          <w:highlight w:val="none"/>
        </w:rPr>
        <w:t>本项目环境空气质量</w:t>
      </w:r>
      <w:r>
        <w:rPr>
          <w:rFonts w:hint="eastAsia"/>
          <w:b/>
          <w:bCs/>
          <w:color w:val="auto"/>
          <w:spacing w:val="6"/>
          <w:highlight w:val="none"/>
          <w:lang w:val="en-US" w:eastAsia="zh-CN"/>
        </w:rPr>
        <w:t>和地下水质量</w:t>
      </w:r>
      <w:r>
        <w:rPr>
          <w:rFonts w:hint="eastAsia"/>
          <w:b/>
          <w:bCs/>
          <w:color w:val="auto"/>
          <w:spacing w:val="6"/>
          <w:highlight w:val="none"/>
        </w:rPr>
        <w:t>现状监测</w:t>
      </w:r>
      <w:r>
        <w:rPr>
          <w:rFonts w:hint="eastAsia"/>
          <w:b/>
          <w:bCs/>
          <w:color w:val="auto"/>
          <w:spacing w:val="6"/>
          <w:highlight w:val="none"/>
          <w:lang w:val="en-US" w:eastAsia="zh-CN"/>
        </w:rPr>
        <w:t>补充监测</w:t>
      </w:r>
      <w:r>
        <w:rPr>
          <w:rFonts w:hint="eastAsia"/>
          <w:b/>
          <w:bCs/>
          <w:color w:val="auto"/>
          <w:spacing w:val="6"/>
          <w:highlight w:val="none"/>
        </w:rPr>
        <w:t>点位布点图</w:t>
      </w:r>
    </w:p>
    <w:p w14:paraId="4C5DB1F7">
      <w:pPr>
        <w:spacing w:line="240" w:lineRule="auto"/>
        <w:ind w:firstLine="0" w:firstLineChars="0"/>
        <w:rPr>
          <w:color w:val="auto"/>
          <w:highlight w:val="none"/>
        </w:rPr>
        <w:sectPr>
          <w:pgSz w:w="16840" w:h="11907"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26" w:charSpace="0"/>
        </w:sectPr>
      </w:pPr>
    </w:p>
    <w:p w14:paraId="73B15D60">
      <w:pPr>
        <w:spacing w:line="500" w:lineRule="exact"/>
        <w:ind w:firstLine="480"/>
        <w:rPr>
          <w:rFonts w:ascii="宋体" w:hAnsi="宋体" w:cs="Calibri"/>
          <w:color w:val="auto"/>
          <w:kern w:val="0"/>
          <w:szCs w:val="20"/>
          <w:highlight w:val="none"/>
        </w:rPr>
      </w:pPr>
      <w:r>
        <w:rPr>
          <w:rFonts w:hint="eastAsia"/>
          <w:color w:val="auto"/>
          <w:highlight w:val="none"/>
        </w:rPr>
        <w:t>（</w:t>
      </w:r>
      <w:r>
        <w:rPr>
          <w:color w:val="auto"/>
          <w:highlight w:val="none"/>
        </w:rPr>
        <w:t>2</w:t>
      </w:r>
      <w:r>
        <w:rPr>
          <w:rFonts w:hint="eastAsia"/>
          <w:color w:val="auto"/>
          <w:highlight w:val="none"/>
        </w:rPr>
        <w:t>）</w:t>
      </w:r>
      <w:r>
        <w:rPr>
          <w:rFonts w:hint="eastAsia" w:ascii="宋体" w:hAnsi="宋体" w:cs="Calibri"/>
          <w:color w:val="auto"/>
          <w:kern w:val="0"/>
          <w:szCs w:val="20"/>
          <w:highlight w:val="none"/>
        </w:rPr>
        <w:t>监测及采样方法</w:t>
      </w:r>
    </w:p>
    <w:p w14:paraId="78136003">
      <w:pPr>
        <w:pStyle w:val="199"/>
        <w:spacing w:before="120"/>
        <w:rPr>
          <w:bCs/>
          <w:snapToGrid w:val="0"/>
          <w:color w:val="auto"/>
          <w:sz w:val="24"/>
          <w:szCs w:val="28"/>
          <w:highlight w:val="none"/>
        </w:rPr>
      </w:pPr>
      <w:r>
        <w:rPr>
          <w:rFonts w:hint="eastAsia"/>
          <w:bCs/>
          <w:snapToGrid w:val="0"/>
          <w:color w:val="auto"/>
          <w:sz w:val="24"/>
          <w:szCs w:val="28"/>
          <w:highlight w:val="none"/>
        </w:rPr>
        <w:t>表</w:t>
      </w:r>
      <w:r>
        <w:rPr>
          <w:bCs/>
          <w:snapToGrid w:val="0"/>
          <w:color w:val="auto"/>
          <w:sz w:val="24"/>
          <w:szCs w:val="28"/>
          <w:highlight w:val="none"/>
        </w:rPr>
        <w:t>4.3-</w:t>
      </w:r>
      <w:r>
        <w:rPr>
          <w:rFonts w:hint="eastAsia"/>
          <w:bCs/>
          <w:snapToGrid w:val="0"/>
          <w:color w:val="auto"/>
          <w:sz w:val="24"/>
          <w:szCs w:val="28"/>
          <w:highlight w:val="none"/>
          <w:lang w:val="en-US" w:eastAsia="zh-CN"/>
        </w:rPr>
        <w:t>2</w:t>
      </w:r>
      <w:r>
        <w:rPr>
          <w:bCs/>
          <w:snapToGrid w:val="0"/>
          <w:color w:val="auto"/>
          <w:sz w:val="24"/>
          <w:szCs w:val="28"/>
          <w:highlight w:val="none"/>
        </w:rPr>
        <w:t xml:space="preserve">  </w:t>
      </w:r>
      <w:r>
        <w:rPr>
          <w:rFonts w:hint="eastAsia"/>
          <w:bCs/>
          <w:snapToGrid w:val="0"/>
          <w:color w:val="auto"/>
          <w:sz w:val="24"/>
          <w:szCs w:val="28"/>
          <w:highlight w:val="none"/>
        </w:rPr>
        <w:t>环境空气检测采样及分析方法</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02"/>
        <w:gridCol w:w="820"/>
        <w:gridCol w:w="2743"/>
        <w:gridCol w:w="2743"/>
        <w:gridCol w:w="644"/>
        <w:gridCol w:w="1391"/>
      </w:tblGrid>
      <w:tr w14:paraId="77522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1936A8CF">
            <w:pPr>
              <w:spacing w:line="0" w:lineRule="atLeas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0" w:type="auto"/>
            <w:tcBorders>
              <w:tl2br w:val="nil"/>
              <w:tr2bl w:val="nil"/>
            </w:tcBorders>
            <w:noWrap w:val="0"/>
            <w:vAlign w:val="center"/>
          </w:tcPr>
          <w:p w14:paraId="1A23CDD8">
            <w:pPr>
              <w:spacing w:line="0" w:lineRule="atLeast"/>
              <w:ind w:left="0" w:leftChars="0" w:right="-120" w:rightChars="-5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0" w:type="auto"/>
            <w:tcBorders>
              <w:tl2br w:val="nil"/>
              <w:tr2bl w:val="nil"/>
            </w:tcBorders>
            <w:noWrap w:val="0"/>
            <w:vAlign w:val="center"/>
          </w:tcPr>
          <w:p w14:paraId="19B5FEB5">
            <w:pPr>
              <w:spacing w:line="0" w:lineRule="atLeas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分析方法</w:t>
            </w:r>
          </w:p>
        </w:tc>
        <w:tc>
          <w:tcPr>
            <w:tcW w:w="0" w:type="auto"/>
            <w:tcBorders>
              <w:tl2br w:val="nil"/>
              <w:tr2bl w:val="nil"/>
            </w:tcBorders>
            <w:noWrap w:val="0"/>
            <w:vAlign w:val="center"/>
          </w:tcPr>
          <w:p w14:paraId="7154AAC0">
            <w:pPr>
              <w:spacing w:line="0" w:lineRule="atLeas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方法来源</w:t>
            </w:r>
          </w:p>
        </w:tc>
        <w:tc>
          <w:tcPr>
            <w:tcW w:w="0" w:type="auto"/>
            <w:tcBorders>
              <w:tl2br w:val="nil"/>
              <w:tr2bl w:val="nil"/>
            </w:tcBorders>
            <w:noWrap w:val="0"/>
            <w:vAlign w:val="center"/>
          </w:tcPr>
          <w:p w14:paraId="27B8C34D">
            <w:pPr>
              <w:spacing w:line="0" w:lineRule="atLeas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0" w:type="auto"/>
            <w:tcBorders>
              <w:tl2br w:val="nil"/>
              <w:tr2bl w:val="nil"/>
            </w:tcBorders>
            <w:noWrap w:val="0"/>
            <w:vAlign w:val="center"/>
          </w:tcPr>
          <w:p w14:paraId="2363A992">
            <w:pPr>
              <w:spacing w:line="0" w:lineRule="atLeas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最低检出浓度</w:t>
            </w:r>
          </w:p>
        </w:tc>
      </w:tr>
      <w:tr w14:paraId="260AE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l2br w:val="nil"/>
              <w:tr2bl w:val="nil"/>
            </w:tcBorders>
            <w:noWrap w:val="0"/>
            <w:vAlign w:val="center"/>
          </w:tcPr>
          <w:p w14:paraId="01B7D828">
            <w:pPr>
              <w:spacing w:line="0" w:lineRule="atLeast"/>
              <w:ind w:left="0" w:leftChars="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0" w:type="auto"/>
            <w:tcBorders>
              <w:tl2br w:val="nil"/>
              <w:tr2bl w:val="nil"/>
            </w:tcBorders>
            <w:noWrap w:val="0"/>
            <w:vAlign w:val="center"/>
          </w:tcPr>
          <w:p w14:paraId="1BAAA0FB">
            <w:pPr>
              <w:spacing w:line="0" w:lineRule="atLeas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TSP</w:t>
            </w:r>
          </w:p>
        </w:tc>
        <w:tc>
          <w:tcPr>
            <w:tcW w:w="0" w:type="auto"/>
            <w:gridSpan w:val="2"/>
            <w:tcBorders>
              <w:tl2br w:val="nil"/>
              <w:tr2bl w:val="nil"/>
            </w:tcBorders>
            <w:noWrap w:val="0"/>
            <w:vAlign w:val="center"/>
          </w:tcPr>
          <w:p w14:paraId="728B395B">
            <w:pPr>
              <w:spacing w:line="0" w:lineRule="atLeas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环境空气 总悬浮颗粒物的测定 重量法</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HJ1263-2022</w:t>
            </w:r>
          </w:p>
        </w:tc>
        <w:tc>
          <w:tcPr>
            <w:tcW w:w="0" w:type="auto"/>
            <w:tcBorders>
              <w:tl2br w:val="nil"/>
              <w:tr2bl w:val="nil"/>
            </w:tcBorders>
            <w:noWrap w:val="0"/>
            <w:vAlign w:val="center"/>
          </w:tcPr>
          <w:p w14:paraId="6CF4BF2B">
            <w:pPr>
              <w:spacing w:line="0" w:lineRule="atLeast"/>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u</w:t>
            </w:r>
            <w:r>
              <w:rPr>
                <w:rFonts w:hint="default" w:ascii="Times New Roman" w:hAnsi="Times New Roman" w:cs="Times New Roman"/>
                <w:color w:val="auto"/>
                <w:sz w:val="21"/>
                <w:szCs w:val="21"/>
                <w:highlight w:val="none"/>
              </w:rPr>
              <w:t>g</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 xml:space="preserve"> m</w:t>
            </w:r>
            <w:r>
              <w:rPr>
                <w:rFonts w:hint="default" w:ascii="Times New Roman" w:hAnsi="Times New Roman" w:cs="Times New Roman"/>
                <w:color w:val="auto"/>
                <w:sz w:val="21"/>
                <w:szCs w:val="21"/>
                <w:highlight w:val="none"/>
                <w:vertAlign w:val="superscript"/>
              </w:rPr>
              <w:t>3</w:t>
            </w:r>
          </w:p>
        </w:tc>
        <w:tc>
          <w:tcPr>
            <w:tcW w:w="0" w:type="auto"/>
            <w:tcBorders>
              <w:tl2br w:val="nil"/>
              <w:tr2bl w:val="nil"/>
            </w:tcBorders>
            <w:noWrap w:val="0"/>
            <w:vAlign w:val="center"/>
          </w:tcPr>
          <w:p w14:paraId="325859E4">
            <w:pPr>
              <w:spacing w:line="0" w:lineRule="atLeas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168</w:t>
            </w:r>
            <w:r>
              <w:rPr>
                <w:rFonts w:hint="default" w:ascii="Times New Roman" w:hAnsi="Times New Roman" w:cs="Times New Roman"/>
                <w:color w:val="auto"/>
                <w:sz w:val="21"/>
                <w:szCs w:val="21"/>
                <w:highlight w:val="none"/>
              </w:rPr>
              <w:t xml:space="preserve"> </w:t>
            </w:r>
          </w:p>
        </w:tc>
      </w:tr>
    </w:tbl>
    <w:p w14:paraId="0A9C3BE6">
      <w:pPr>
        <w:numPr>
          <w:ilvl w:val="0"/>
          <w:numId w:val="4"/>
        </w:numPr>
        <w:ind w:firstLine="480"/>
        <w:rPr>
          <w:rFonts w:hint="eastAsia"/>
          <w:color w:val="auto"/>
          <w:highlight w:val="none"/>
        </w:rPr>
      </w:pPr>
      <w:r>
        <w:rPr>
          <w:rFonts w:hint="eastAsia" w:ascii="宋体" w:hAnsi="宋体" w:cs="Calibri"/>
          <w:color w:val="auto"/>
          <w:kern w:val="0"/>
          <w:szCs w:val="20"/>
          <w:highlight w:val="none"/>
        </w:rPr>
        <w:t>监测</w:t>
      </w:r>
      <w:r>
        <w:rPr>
          <w:rFonts w:hint="eastAsia" w:ascii="宋体" w:hAnsi="宋体" w:cs="Calibri"/>
          <w:color w:val="auto"/>
          <w:kern w:val="0"/>
          <w:szCs w:val="20"/>
          <w:highlight w:val="none"/>
          <w:lang w:val="en-US" w:eastAsia="zh-CN"/>
        </w:rPr>
        <w:t>数据统计</w:t>
      </w:r>
      <w:r>
        <w:rPr>
          <w:rFonts w:hint="eastAsia"/>
          <w:color w:val="auto"/>
          <w:highlight w:val="none"/>
        </w:rPr>
        <w:t>结果</w:t>
      </w:r>
    </w:p>
    <w:p w14:paraId="099144C9">
      <w:pPr>
        <w:pStyle w:val="199"/>
        <w:spacing w:before="120"/>
        <w:rPr>
          <w:bCs/>
          <w:snapToGrid w:val="0"/>
          <w:color w:val="auto"/>
          <w:sz w:val="24"/>
          <w:szCs w:val="28"/>
          <w:highlight w:val="none"/>
        </w:rPr>
      </w:pPr>
      <w:r>
        <w:rPr>
          <w:rFonts w:hint="eastAsia"/>
          <w:bCs/>
          <w:snapToGrid w:val="0"/>
          <w:color w:val="auto"/>
          <w:sz w:val="24"/>
          <w:szCs w:val="28"/>
          <w:highlight w:val="none"/>
        </w:rPr>
        <w:t>表</w:t>
      </w:r>
      <w:r>
        <w:rPr>
          <w:bCs/>
          <w:snapToGrid w:val="0"/>
          <w:color w:val="auto"/>
          <w:sz w:val="24"/>
          <w:szCs w:val="28"/>
          <w:highlight w:val="none"/>
        </w:rPr>
        <w:t>4.3-</w:t>
      </w:r>
      <w:r>
        <w:rPr>
          <w:rFonts w:hint="eastAsia"/>
          <w:bCs/>
          <w:snapToGrid w:val="0"/>
          <w:color w:val="auto"/>
          <w:sz w:val="24"/>
          <w:szCs w:val="28"/>
          <w:highlight w:val="none"/>
          <w:lang w:val="en-US" w:eastAsia="zh-CN"/>
        </w:rPr>
        <w:t>3</w:t>
      </w:r>
      <w:r>
        <w:rPr>
          <w:bCs/>
          <w:snapToGrid w:val="0"/>
          <w:color w:val="auto"/>
          <w:sz w:val="24"/>
          <w:szCs w:val="28"/>
          <w:highlight w:val="none"/>
        </w:rPr>
        <w:t xml:space="preserve">   </w:t>
      </w:r>
      <w:r>
        <w:rPr>
          <w:rFonts w:hint="eastAsia"/>
          <w:bCs/>
          <w:snapToGrid w:val="0"/>
          <w:color w:val="auto"/>
          <w:sz w:val="24"/>
          <w:szCs w:val="28"/>
          <w:highlight w:val="none"/>
        </w:rPr>
        <w:t>其他污染物环境质量现状监测</w:t>
      </w:r>
      <w:r>
        <w:rPr>
          <w:rFonts w:hint="eastAsia"/>
          <w:bCs/>
          <w:snapToGrid w:val="0"/>
          <w:color w:val="auto"/>
          <w:sz w:val="24"/>
          <w:szCs w:val="28"/>
          <w:highlight w:val="none"/>
          <w:lang w:val="en-US" w:eastAsia="zh-CN"/>
        </w:rPr>
        <w:t>评价</w:t>
      </w:r>
      <w:r>
        <w:rPr>
          <w:rFonts w:hint="eastAsia"/>
          <w:bCs/>
          <w:snapToGrid w:val="0"/>
          <w:color w:val="auto"/>
          <w:sz w:val="24"/>
          <w:szCs w:val="28"/>
          <w:highlight w:val="none"/>
        </w:rPr>
        <w:t>结果表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8"/>
        <w:gridCol w:w="1789"/>
        <w:gridCol w:w="621"/>
        <w:gridCol w:w="647"/>
        <w:gridCol w:w="1075"/>
        <w:gridCol w:w="1400"/>
        <w:gridCol w:w="1048"/>
        <w:gridCol w:w="990"/>
        <w:gridCol w:w="585"/>
      </w:tblGrid>
      <w:tr w14:paraId="7D8A15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4" w:hRule="atLeast"/>
          <w:jc w:val="center"/>
        </w:trPr>
        <w:tc>
          <w:tcPr>
            <w:tcW w:w="880" w:type="dxa"/>
            <w:noWrap w:val="0"/>
            <w:vAlign w:val="center"/>
          </w:tcPr>
          <w:p w14:paraId="516C6987">
            <w:pPr>
              <w:spacing w:line="240" w:lineRule="auto"/>
              <w:ind w:firstLine="0" w:firstLineChars="0"/>
              <w:jc w:val="center"/>
              <w:rPr>
                <w:rFonts w:hint="eastAsia" w:hAnsi="宋体" w:eastAsia="宋体"/>
                <w:color w:val="auto"/>
                <w:sz w:val="21"/>
                <w:szCs w:val="21"/>
                <w:highlight w:val="none"/>
              </w:rPr>
            </w:pPr>
            <w:r>
              <w:rPr>
                <w:rFonts w:hint="eastAsia" w:hAnsi="宋体" w:eastAsia="宋体"/>
                <w:color w:val="auto"/>
                <w:sz w:val="21"/>
                <w:szCs w:val="21"/>
                <w:highlight w:val="none"/>
              </w:rPr>
              <w:t>监测</w:t>
            </w:r>
          </w:p>
          <w:p w14:paraId="0D204CAB">
            <w:pPr>
              <w:spacing w:line="240" w:lineRule="auto"/>
              <w:ind w:firstLine="0" w:firstLineChars="0"/>
              <w:jc w:val="center"/>
              <w:rPr>
                <w:rFonts w:eastAsia="宋体"/>
                <w:color w:val="auto"/>
                <w:sz w:val="21"/>
                <w:szCs w:val="21"/>
                <w:highlight w:val="none"/>
              </w:rPr>
            </w:pPr>
            <w:r>
              <w:rPr>
                <w:rFonts w:hint="eastAsia" w:hAnsi="宋体" w:eastAsia="宋体"/>
                <w:color w:val="auto"/>
                <w:sz w:val="21"/>
                <w:szCs w:val="21"/>
                <w:highlight w:val="none"/>
              </w:rPr>
              <w:t>点位</w:t>
            </w:r>
          </w:p>
        </w:tc>
        <w:tc>
          <w:tcPr>
            <w:tcW w:w="1868" w:type="dxa"/>
            <w:noWrap w:val="0"/>
            <w:vAlign w:val="center"/>
          </w:tcPr>
          <w:p w14:paraId="3378D2A8">
            <w:pPr>
              <w:spacing w:line="240" w:lineRule="auto"/>
              <w:ind w:firstLine="0" w:firstLineChars="0"/>
              <w:jc w:val="center"/>
              <w:rPr>
                <w:rFonts w:eastAsia="宋体"/>
                <w:color w:val="auto"/>
                <w:sz w:val="21"/>
                <w:szCs w:val="21"/>
                <w:highlight w:val="none"/>
              </w:rPr>
            </w:pPr>
            <w:r>
              <w:rPr>
                <w:rFonts w:hint="eastAsia" w:hAnsi="宋体" w:eastAsia="宋体"/>
                <w:color w:val="auto"/>
                <w:sz w:val="21"/>
                <w:szCs w:val="21"/>
                <w:highlight w:val="none"/>
              </w:rPr>
              <w:t>监测点坐标</w:t>
            </w:r>
          </w:p>
        </w:tc>
        <w:tc>
          <w:tcPr>
            <w:tcW w:w="641" w:type="dxa"/>
            <w:noWrap w:val="0"/>
            <w:vAlign w:val="center"/>
          </w:tcPr>
          <w:p w14:paraId="206FBB9E">
            <w:pPr>
              <w:spacing w:line="240" w:lineRule="auto"/>
              <w:ind w:firstLine="0" w:firstLineChars="0"/>
              <w:jc w:val="center"/>
              <w:rPr>
                <w:rFonts w:eastAsia="宋体"/>
                <w:color w:val="auto"/>
                <w:sz w:val="21"/>
                <w:szCs w:val="21"/>
                <w:highlight w:val="none"/>
              </w:rPr>
            </w:pPr>
            <w:r>
              <w:rPr>
                <w:rFonts w:hint="eastAsia" w:hAnsi="宋体" w:eastAsia="宋体"/>
                <w:color w:val="auto"/>
                <w:sz w:val="21"/>
                <w:szCs w:val="21"/>
                <w:highlight w:val="none"/>
              </w:rPr>
              <w:t>污染物</w:t>
            </w:r>
          </w:p>
        </w:tc>
        <w:tc>
          <w:tcPr>
            <w:tcW w:w="668" w:type="dxa"/>
            <w:noWrap w:val="0"/>
            <w:vAlign w:val="center"/>
          </w:tcPr>
          <w:p w14:paraId="68C65C11">
            <w:pPr>
              <w:spacing w:line="240" w:lineRule="auto"/>
              <w:ind w:firstLine="0" w:firstLineChars="0"/>
              <w:jc w:val="center"/>
              <w:rPr>
                <w:rFonts w:hint="eastAsia" w:hAnsi="宋体" w:eastAsia="宋体"/>
                <w:color w:val="auto"/>
                <w:sz w:val="21"/>
                <w:szCs w:val="21"/>
                <w:highlight w:val="none"/>
                <w:lang w:eastAsia="zh-CN"/>
              </w:rPr>
            </w:pPr>
            <w:r>
              <w:rPr>
                <w:rFonts w:hint="eastAsia" w:hAnsi="宋体" w:eastAsia="宋体"/>
                <w:color w:val="auto"/>
                <w:sz w:val="21"/>
                <w:szCs w:val="21"/>
                <w:highlight w:val="none"/>
                <w:lang w:val="en-US" w:eastAsia="zh-CN"/>
              </w:rPr>
              <w:t>评价时段</w:t>
            </w:r>
          </w:p>
        </w:tc>
        <w:tc>
          <w:tcPr>
            <w:tcW w:w="1118" w:type="dxa"/>
            <w:noWrap w:val="0"/>
            <w:vAlign w:val="center"/>
          </w:tcPr>
          <w:p w14:paraId="10F80395">
            <w:pPr>
              <w:spacing w:line="240" w:lineRule="auto"/>
              <w:ind w:firstLine="0" w:firstLineChars="0"/>
              <w:jc w:val="center"/>
              <w:rPr>
                <w:rFonts w:eastAsia="宋体"/>
                <w:color w:val="auto"/>
                <w:sz w:val="21"/>
                <w:szCs w:val="21"/>
                <w:highlight w:val="none"/>
              </w:rPr>
            </w:pPr>
            <w:r>
              <w:rPr>
                <w:rFonts w:hint="eastAsia" w:hAnsi="宋体" w:eastAsia="宋体"/>
                <w:color w:val="auto"/>
                <w:sz w:val="21"/>
                <w:szCs w:val="21"/>
                <w:highlight w:val="none"/>
              </w:rPr>
              <w:t>评价标准（</w:t>
            </w:r>
            <w:r>
              <w:rPr>
                <w:rFonts w:eastAsia="宋体"/>
                <w:color w:val="auto"/>
                <w:sz w:val="21"/>
                <w:szCs w:val="21"/>
                <w:highlight w:val="none"/>
              </w:rPr>
              <w:t>ug/m</w:t>
            </w:r>
            <w:r>
              <w:rPr>
                <w:rFonts w:eastAsia="宋体"/>
                <w:color w:val="auto"/>
                <w:sz w:val="21"/>
                <w:szCs w:val="21"/>
                <w:highlight w:val="none"/>
                <w:vertAlign w:val="superscript"/>
              </w:rPr>
              <w:t>3</w:t>
            </w:r>
            <w:r>
              <w:rPr>
                <w:rFonts w:hint="eastAsia" w:hAnsi="宋体" w:eastAsia="宋体"/>
                <w:color w:val="auto"/>
                <w:sz w:val="21"/>
                <w:szCs w:val="21"/>
                <w:highlight w:val="none"/>
              </w:rPr>
              <w:t>）</w:t>
            </w:r>
          </w:p>
        </w:tc>
        <w:tc>
          <w:tcPr>
            <w:tcW w:w="1459" w:type="dxa"/>
            <w:noWrap w:val="0"/>
            <w:vAlign w:val="center"/>
          </w:tcPr>
          <w:p w14:paraId="35027410">
            <w:pPr>
              <w:spacing w:line="240" w:lineRule="auto"/>
              <w:ind w:firstLine="0" w:firstLineChars="0"/>
              <w:jc w:val="center"/>
              <w:rPr>
                <w:rFonts w:hint="eastAsia" w:hAnsi="宋体" w:eastAsia="宋体"/>
                <w:color w:val="auto"/>
                <w:sz w:val="21"/>
                <w:szCs w:val="21"/>
                <w:highlight w:val="none"/>
              </w:rPr>
            </w:pPr>
            <w:r>
              <w:rPr>
                <w:rFonts w:hint="eastAsia" w:hAnsi="宋体" w:eastAsia="宋体"/>
                <w:color w:val="auto"/>
                <w:sz w:val="21"/>
                <w:szCs w:val="21"/>
                <w:highlight w:val="none"/>
              </w:rPr>
              <w:t>监测浓度</w:t>
            </w:r>
          </w:p>
          <w:p w14:paraId="705DE25E">
            <w:pPr>
              <w:spacing w:line="240" w:lineRule="auto"/>
              <w:ind w:firstLine="0" w:firstLineChars="0"/>
              <w:jc w:val="center"/>
              <w:rPr>
                <w:rFonts w:hint="eastAsia" w:hAnsi="宋体" w:eastAsia="宋体"/>
                <w:color w:val="auto"/>
                <w:sz w:val="21"/>
                <w:szCs w:val="21"/>
                <w:highlight w:val="none"/>
              </w:rPr>
            </w:pPr>
            <w:r>
              <w:rPr>
                <w:rFonts w:hint="eastAsia" w:hAnsi="宋体" w:eastAsia="宋体"/>
                <w:color w:val="auto"/>
                <w:sz w:val="21"/>
                <w:szCs w:val="21"/>
                <w:highlight w:val="none"/>
              </w:rPr>
              <w:t>范围</w:t>
            </w:r>
          </w:p>
          <w:p w14:paraId="7F94FE00">
            <w:pPr>
              <w:spacing w:line="240" w:lineRule="auto"/>
              <w:ind w:firstLine="0" w:firstLineChars="0"/>
              <w:jc w:val="center"/>
              <w:rPr>
                <w:rFonts w:eastAsia="宋体"/>
                <w:color w:val="auto"/>
                <w:sz w:val="21"/>
                <w:szCs w:val="21"/>
                <w:highlight w:val="none"/>
              </w:rPr>
            </w:pPr>
            <w:r>
              <w:rPr>
                <w:rFonts w:hint="eastAsia" w:hAnsi="宋体" w:eastAsia="宋体"/>
                <w:color w:val="auto"/>
                <w:sz w:val="21"/>
                <w:szCs w:val="21"/>
                <w:highlight w:val="none"/>
              </w:rPr>
              <w:t>（</w:t>
            </w:r>
            <w:r>
              <w:rPr>
                <w:rFonts w:eastAsia="宋体"/>
                <w:color w:val="auto"/>
                <w:sz w:val="21"/>
                <w:szCs w:val="21"/>
                <w:highlight w:val="none"/>
              </w:rPr>
              <w:t>ug/m</w:t>
            </w:r>
            <w:r>
              <w:rPr>
                <w:rFonts w:eastAsia="宋体"/>
                <w:color w:val="auto"/>
                <w:sz w:val="21"/>
                <w:szCs w:val="21"/>
                <w:highlight w:val="none"/>
                <w:vertAlign w:val="superscript"/>
              </w:rPr>
              <w:t>3</w:t>
            </w:r>
            <w:r>
              <w:rPr>
                <w:rFonts w:hint="eastAsia" w:hAnsi="宋体" w:eastAsia="宋体"/>
                <w:color w:val="auto"/>
                <w:sz w:val="21"/>
                <w:szCs w:val="21"/>
                <w:highlight w:val="none"/>
              </w:rPr>
              <w:t>）</w:t>
            </w:r>
          </w:p>
        </w:tc>
        <w:tc>
          <w:tcPr>
            <w:tcW w:w="1089" w:type="dxa"/>
            <w:noWrap w:val="0"/>
            <w:vAlign w:val="center"/>
          </w:tcPr>
          <w:p w14:paraId="64DE864B">
            <w:pPr>
              <w:spacing w:line="240" w:lineRule="auto"/>
              <w:ind w:firstLine="0" w:firstLineChars="0"/>
              <w:jc w:val="center"/>
              <w:rPr>
                <w:rFonts w:eastAsia="宋体"/>
                <w:color w:val="auto"/>
                <w:sz w:val="21"/>
                <w:szCs w:val="21"/>
                <w:highlight w:val="none"/>
              </w:rPr>
            </w:pPr>
            <w:r>
              <w:rPr>
                <w:rFonts w:hint="eastAsia" w:hAnsi="宋体" w:eastAsia="宋体"/>
                <w:color w:val="auto"/>
                <w:sz w:val="21"/>
                <w:szCs w:val="21"/>
                <w:highlight w:val="none"/>
              </w:rPr>
              <w:t>最大浓度占标率（</w:t>
            </w:r>
            <w:r>
              <w:rPr>
                <w:rFonts w:eastAsia="宋体"/>
                <w:color w:val="auto"/>
                <w:sz w:val="21"/>
                <w:szCs w:val="21"/>
                <w:highlight w:val="none"/>
              </w:rPr>
              <w:t>%</w:t>
            </w:r>
            <w:r>
              <w:rPr>
                <w:rFonts w:hint="eastAsia" w:hAnsi="宋体" w:eastAsia="宋体"/>
                <w:color w:val="auto"/>
                <w:sz w:val="21"/>
                <w:szCs w:val="21"/>
                <w:highlight w:val="none"/>
              </w:rPr>
              <w:t>）</w:t>
            </w:r>
          </w:p>
        </w:tc>
        <w:tc>
          <w:tcPr>
            <w:tcW w:w="1028" w:type="dxa"/>
            <w:noWrap w:val="0"/>
            <w:vAlign w:val="center"/>
          </w:tcPr>
          <w:p w14:paraId="7964CC54">
            <w:pPr>
              <w:spacing w:line="240" w:lineRule="auto"/>
              <w:ind w:firstLine="0" w:firstLineChars="0"/>
              <w:jc w:val="center"/>
              <w:rPr>
                <w:rFonts w:eastAsia="宋体"/>
                <w:color w:val="auto"/>
                <w:sz w:val="21"/>
                <w:szCs w:val="21"/>
                <w:highlight w:val="none"/>
              </w:rPr>
            </w:pPr>
            <w:r>
              <w:rPr>
                <w:rFonts w:hint="eastAsia" w:hAnsi="宋体" w:eastAsia="宋体"/>
                <w:color w:val="auto"/>
                <w:sz w:val="21"/>
                <w:szCs w:val="21"/>
                <w:highlight w:val="none"/>
              </w:rPr>
              <w:t>超标率（</w:t>
            </w:r>
            <w:r>
              <w:rPr>
                <w:rFonts w:eastAsia="宋体"/>
                <w:color w:val="auto"/>
                <w:sz w:val="21"/>
                <w:szCs w:val="21"/>
                <w:highlight w:val="none"/>
              </w:rPr>
              <w:t>%</w:t>
            </w:r>
            <w:r>
              <w:rPr>
                <w:rFonts w:hint="eastAsia" w:hAnsi="宋体" w:eastAsia="宋体"/>
                <w:color w:val="auto"/>
                <w:sz w:val="21"/>
                <w:szCs w:val="21"/>
                <w:highlight w:val="none"/>
              </w:rPr>
              <w:t>）</w:t>
            </w:r>
          </w:p>
        </w:tc>
        <w:tc>
          <w:tcPr>
            <w:tcW w:w="603" w:type="dxa"/>
            <w:noWrap w:val="0"/>
            <w:vAlign w:val="center"/>
          </w:tcPr>
          <w:p w14:paraId="108A9CBC">
            <w:pPr>
              <w:spacing w:line="240" w:lineRule="auto"/>
              <w:ind w:firstLine="0" w:firstLineChars="0"/>
              <w:jc w:val="center"/>
              <w:rPr>
                <w:rFonts w:eastAsia="宋体"/>
                <w:color w:val="auto"/>
                <w:sz w:val="21"/>
                <w:szCs w:val="21"/>
                <w:highlight w:val="none"/>
              </w:rPr>
            </w:pPr>
            <w:r>
              <w:rPr>
                <w:rFonts w:hint="eastAsia" w:hAnsi="宋体" w:eastAsia="宋体"/>
                <w:color w:val="auto"/>
                <w:sz w:val="21"/>
                <w:szCs w:val="21"/>
                <w:highlight w:val="none"/>
              </w:rPr>
              <w:t>达标情况</w:t>
            </w:r>
          </w:p>
        </w:tc>
      </w:tr>
      <w:tr w14:paraId="7BCEE6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880" w:type="dxa"/>
            <w:noWrap w:val="0"/>
            <w:vAlign w:val="center"/>
          </w:tcPr>
          <w:p w14:paraId="6B4D6C66">
            <w:pPr>
              <w:spacing w:line="240" w:lineRule="auto"/>
              <w:ind w:firstLine="0" w:firstLineChars="0"/>
              <w:jc w:val="center"/>
              <w:rPr>
                <w:rFonts w:hAnsi="宋体"/>
                <w:color w:val="auto"/>
                <w:sz w:val="21"/>
                <w:szCs w:val="21"/>
                <w:highlight w:val="none"/>
              </w:rPr>
            </w:pPr>
            <w:r>
              <w:rPr>
                <w:rFonts w:hint="eastAsia" w:hAnsi="宋体"/>
                <w:color w:val="auto"/>
                <w:kern w:val="0"/>
                <w:sz w:val="21"/>
                <w:szCs w:val="21"/>
                <w:highlight w:val="none"/>
                <w:lang w:val="en-US" w:eastAsia="zh-CN"/>
              </w:rPr>
              <w:t>厂区下风向</w:t>
            </w:r>
          </w:p>
        </w:tc>
        <w:tc>
          <w:tcPr>
            <w:tcW w:w="1868" w:type="dxa"/>
            <w:noWrap w:val="0"/>
            <w:vAlign w:val="center"/>
          </w:tcPr>
          <w:p w14:paraId="00158609">
            <w:pPr>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N 42°11′12″</w:t>
            </w:r>
          </w:p>
          <w:p w14:paraId="2939704B">
            <w:pPr>
              <w:spacing w:line="240" w:lineRule="auto"/>
              <w:ind w:firstLine="0" w:firstLineChars="0"/>
              <w:jc w:val="center"/>
              <w:rPr>
                <w:color w:val="auto"/>
                <w:sz w:val="21"/>
                <w:szCs w:val="21"/>
                <w:highlight w:val="none"/>
              </w:rPr>
            </w:pPr>
            <w:r>
              <w:rPr>
                <w:rFonts w:hint="eastAsia"/>
                <w:color w:val="auto"/>
                <w:kern w:val="0"/>
                <w:sz w:val="21"/>
                <w:szCs w:val="21"/>
                <w:highlight w:val="none"/>
                <w:lang w:val="en-US" w:eastAsia="zh-CN"/>
              </w:rPr>
              <w:t>E 116°35′00″</w:t>
            </w:r>
          </w:p>
        </w:tc>
        <w:tc>
          <w:tcPr>
            <w:tcW w:w="641" w:type="dxa"/>
            <w:noWrap w:val="0"/>
            <w:vAlign w:val="center"/>
          </w:tcPr>
          <w:p w14:paraId="0CDA053C">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TSP</w:t>
            </w:r>
          </w:p>
        </w:tc>
        <w:tc>
          <w:tcPr>
            <w:tcW w:w="668" w:type="dxa"/>
            <w:noWrap w:val="0"/>
            <w:vAlign w:val="center"/>
          </w:tcPr>
          <w:p w14:paraId="074D8688">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24h</w:t>
            </w:r>
          </w:p>
        </w:tc>
        <w:tc>
          <w:tcPr>
            <w:tcW w:w="1118" w:type="dxa"/>
            <w:noWrap w:val="0"/>
            <w:vAlign w:val="center"/>
          </w:tcPr>
          <w:p w14:paraId="3E116B2A">
            <w:pPr>
              <w:spacing w:line="240" w:lineRule="auto"/>
              <w:ind w:firstLine="0" w:firstLineChars="0"/>
              <w:jc w:val="center"/>
              <w:rPr>
                <w:rFonts w:eastAsia="宋体"/>
                <w:color w:val="auto"/>
                <w:sz w:val="21"/>
                <w:szCs w:val="21"/>
                <w:highlight w:val="none"/>
              </w:rPr>
            </w:pPr>
            <w:r>
              <w:rPr>
                <w:rFonts w:eastAsia="宋体"/>
                <w:color w:val="auto"/>
                <w:sz w:val="21"/>
                <w:szCs w:val="21"/>
                <w:highlight w:val="none"/>
              </w:rPr>
              <w:t>100</w:t>
            </w:r>
          </w:p>
        </w:tc>
        <w:tc>
          <w:tcPr>
            <w:tcW w:w="1459" w:type="dxa"/>
            <w:noWrap w:val="0"/>
            <w:vAlign w:val="center"/>
          </w:tcPr>
          <w:p w14:paraId="3A509F04">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20-28</w:t>
            </w:r>
          </w:p>
        </w:tc>
        <w:tc>
          <w:tcPr>
            <w:tcW w:w="1089" w:type="dxa"/>
            <w:noWrap w:val="0"/>
            <w:vAlign w:val="center"/>
          </w:tcPr>
          <w:p w14:paraId="2A74778A">
            <w:pPr>
              <w:spacing w:line="240" w:lineRule="auto"/>
              <w:ind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16.7</w:t>
            </w:r>
          </w:p>
        </w:tc>
        <w:tc>
          <w:tcPr>
            <w:tcW w:w="1028" w:type="dxa"/>
            <w:noWrap w:val="0"/>
            <w:vAlign w:val="center"/>
          </w:tcPr>
          <w:p w14:paraId="70FC6AB8">
            <w:pPr>
              <w:spacing w:line="240" w:lineRule="auto"/>
              <w:ind w:firstLine="0" w:firstLineChars="0"/>
              <w:jc w:val="center"/>
              <w:rPr>
                <w:rFonts w:eastAsia="宋体"/>
                <w:color w:val="auto"/>
                <w:sz w:val="21"/>
                <w:szCs w:val="21"/>
                <w:highlight w:val="none"/>
              </w:rPr>
            </w:pPr>
            <w:r>
              <w:rPr>
                <w:rFonts w:hint="eastAsia" w:eastAsia="宋体"/>
                <w:color w:val="auto"/>
                <w:sz w:val="21"/>
                <w:szCs w:val="21"/>
                <w:highlight w:val="none"/>
              </w:rPr>
              <w:t>0</w:t>
            </w:r>
          </w:p>
        </w:tc>
        <w:tc>
          <w:tcPr>
            <w:tcW w:w="603" w:type="dxa"/>
            <w:noWrap w:val="0"/>
            <w:vAlign w:val="center"/>
          </w:tcPr>
          <w:p w14:paraId="730548A1">
            <w:pPr>
              <w:spacing w:line="240" w:lineRule="auto"/>
              <w:ind w:firstLine="0" w:firstLineChars="0"/>
              <w:jc w:val="center"/>
              <w:rPr>
                <w:rFonts w:eastAsia="宋体"/>
                <w:color w:val="auto"/>
                <w:sz w:val="21"/>
                <w:szCs w:val="21"/>
                <w:highlight w:val="none"/>
              </w:rPr>
            </w:pPr>
            <w:r>
              <w:rPr>
                <w:rFonts w:hint="eastAsia" w:eastAsia="宋体"/>
                <w:color w:val="auto"/>
                <w:sz w:val="21"/>
                <w:szCs w:val="21"/>
                <w:highlight w:val="none"/>
              </w:rPr>
              <w:t>达标</w:t>
            </w:r>
          </w:p>
        </w:tc>
      </w:tr>
    </w:tbl>
    <w:p w14:paraId="6CFDA23E">
      <w:pPr>
        <w:overflowPunct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监测结果评价</w:t>
      </w:r>
      <w:r>
        <w:rPr>
          <w:rFonts w:hint="eastAsia" w:ascii="Times New Roman" w:hAnsi="Times New Roman" w:eastAsia="宋体" w:cs="Times New Roman"/>
          <w:color w:val="auto"/>
          <w:highlight w:val="none"/>
          <w:lang w:val="en-US" w:eastAsia="zh-CN"/>
        </w:rPr>
        <w:t>结论</w:t>
      </w:r>
      <w:r>
        <w:rPr>
          <w:rFonts w:hint="eastAsia" w:ascii="Times New Roman" w:hAnsi="Times New Roman" w:eastAsia="宋体" w:cs="Times New Roman"/>
          <w:color w:val="auto"/>
          <w:highlight w:val="none"/>
        </w:rPr>
        <w:t>：</w:t>
      </w:r>
    </w:p>
    <w:p w14:paraId="5D70F256">
      <w:pPr>
        <w:overflowPunct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由表4.</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分析可知，</w:t>
      </w:r>
      <w:r>
        <w:rPr>
          <w:rFonts w:hint="eastAsia" w:ascii="Times New Roman" w:hAnsi="Times New Roman" w:eastAsia="宋体" w:cs="Times New Roman"/>
          <w:color w:val="auto"/>
          <w:highlight w:val="none"/>
          <w:lang w:val="en-US" w:eastAsia="zh-CN"/>
        </w:rPr>
        <w:t>项目区</w:t>
      </w:r>
      <w:r>
        <w:rPr>
          <w:rFonts w:hint="eastAsia" w:ascii="Times New Roman" w:hAnsi="Times New Roman" w:eastAsia="宋体" w:cs="Times New Roman"/>
          <w:color w:val="auto"/>
          <w:highlight w:val="none"/>
        </w:rPr>
        <w:t>下风向监测点</w:t>
      </w:r>
      <w:r>
        <w:rPr>
          <w:rFonts w:hint="eastAsia" w:ascii="Times New Roman" w:hAnsi="Times New Roman" w:eastAsia="宋体" w:cs="Times New Roman"/>
          <w:color w:val="auto"/>
          <w:highlight w:val="none"/>
          <w:lang w:val="en-US" w:eastAsia="zh-CN"/>
        </w:rPr>
        <w:t>TSP的24小时平均最大浓度占标率为16.7%，满足</w:t>
      </w:r>
      <w:r>
        <w:rPr>
          <w:rFonts w:hint="eastAsia" w:ascii="Times New Roman" w:hAnsi="Times New Roman" w:eastAsia="宋体" w:cs="Times New Roman"/>
          <w:color w:val="auto"/>
          <w:highlight w:val="none"/>
        </w:rPr>
        <w:t>环境空气质量标准》（GB3095-2012）二级标准。</w:t>
      </w:r>
    </w:p>
    <w:p w14:paraId="748A3A76">
      <w:pPr>
        <w:pStyle w:val="5"/>
        <w:rPr>
          <w:color w:val="auto"/>
          <w:highlight w:val="none"/>
        </w:rPr>
      </w:pPr>
      <w:bookmarkStart w:id="135" w:name="_Toc24447127"/>
      <w:r>
        <w:rPr>
          <w:rFonts w:hint="eastAsia"/>
          <w:color w:val="auto"/>
          <w:highlight w:val="none"/>
        </w:rPr>
        <w:t>地下水环境质量现状调查与评价</w:t>
      </w:r>
      <w:bookmarkEnd w:id="135"/>
    </w:p>
    <w:p w14:paraId="35AA530C">
      <w:pPr>
        <w:pStyle w:val="6"/>
        <w:rPr>
          <w:color w:val="auto"/>
          <w:highlight w:val="none"/>
        </w:rPr>
      </w:pPr>
      <w:r>
        <w:rPr>
          <w:rFonts w:hint="eastAsia"/>
          <w:color w:val="auto"/>
          <w:highlight w:val="none"/>
          <w:lang w:val="en-US" w:eastAsia="zh-CN"/>
        </w:rPr>
        <w:t xml:space="preserve"> </w:t>
      </w:r>
      <w:r>
        <w:rPr>
          <w:rFonts w:hint="eastAsia"/>
          <w:color w:val="auto"/>
          <w:highlight w:val="none"/>
        </w:rPr>
        <w:t>地下水水位调查</w:t>
      </w:r>
    </w:p>
    <w:p w14:paraId="49EB2C25">
      <w:pPr>
        <w:overflowPunct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根据《环境影响评价技术导则 地下水环境》（HJ610-2016），</w:t>
      </w:r>
      <w:r>
        <w:rPr>
          <w:rFonts w:hint="eastAsia" w:ascii="Times New Roman" w:hAnsi="Times New Roman" w:eastAsia="宋体" w:cs="Times New Roman"/>
          <w:color w:val="auto"/>
          <w:highlight w:val="none"/>
          <w:lang w:val="en-US" w:eastAsia="zh-CN"/>
        </w:rPr>
        <w:t>三</w:t>
      </w:r>
      <w:r>
        <w:rPr>
          <w:rFonts w:hint="eastAsia" w:ascii="Times New Roman" w:hAnsi="Times New Roman" w:eastAsia="宋体" w:cs="Times New Roman"/>
          <w:color w:val="auto"/>
          <w:highlight w:val="none"/>
        </w:rPr>
        <w:t>级地下水评价需设置不少于</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个地下水水质监测点和不少于</w:t>
      </w: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rPr>
        <w:t>个地下水水位监测点。本项目委托</w:t>
      </w:r>
      <w:r>
        <w:rPr>
          <w:rFonts w:hint="eastAsia" w:ascii="Times New Roman" w:hAnsi="Times New Roman" w:eastAsia="宋体" w:cs="Times New Roman"/>
          <w:color w:val="auto"/>
          <w:highlight w:val="none"/>
          <w:lang w:val="en-US" w:eastAsia="zh-CN"/>
        </w:rPr>
        <w:t>内蒙古奥博森环保科技服务有限公司</w:t>
      </w:r>
      <w:r>
        <w:rPr>
          <w:rFonts w:hint="eastAsia" w:ascii="Times New Roman" w:hAnsi="Times New Roman" w:eastAsia="宋体" w:cs="Times New Roman"/>
          <w:color w:val="auto"/>
          <w:highlight w:val="none"/>
        </w:rPr>
        <w:t>于2024年</w:t>
      </w: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rPr>
        <w:t>月</w:t>
      </w:r>
      <w:r>
        <w:rPr>
          <w:rFonts w:hint="eastAsia" w:ascii="Times New Roman" w:hAnsi="Times New Roman" w:eastAsia="宋体" w:cs="Times New Roman"/>
          <w:color w:val="auto"/>
          <w:highlight w:val="none"/>
          <w:lang w:val="en-US" w:eastAsia="zh-CN"/>
        </w:rPr>
        <w:t>20</w:t>
      </w:r>
      <w:r>
        <w:rPr>
          <w:rFonts w:hint="eastAsia" w:ascii="Times New Roman" w:hAnsi="Times New Roman" w:eastAsia="宋体" w:cs="Times New Roman"/>
          <w:color w:val="auto"/>
          <w:highlight w:val="none"/>
        </w:rPr>
        <w:t>日对项目周边地下水</w:t>
      </w:r>
      <w:r>
        <w:rPr>
          <w:rFonts w:hint="eastAsia" w:ascii="Times New Roman" w:hAnsi="Times New Roman" w:eastAsia="宋体" w:cs="Times New Roman"/>
          <w:color w:val="auto"/>
          <w:highlight w:val="none"/>
          <w:lang w:val="en-US" w:eastAsia="zh-CN"/>
        </w:rPr>
        <w:t>质量</w:t>
      </w:r>
      <w:r>
        <w:rPr>
          <w:rFonts w:hint="eastAsia" w:ascii="Times New Roman" w:hAnsi="Times New Roman" w:eastAsia="宋体" w:cs="Times New Roman"/>
          <w:color w:val="auto"/>
          <w:highlight w:val="none"/>
        </w:rPr>
        <w:t>进行现状监测</w:t>
      </w:r>
      <w:r>
        <w:rPr>
          <w:rFonts w:hint="eastAsia" w:ascii="Times New Roman" w:hAnsi="Times New Roman" w:eastAsia="宋体" w:cs="Times New Roman"/>
          <w:color w:val="auto"/>
          <w:highlight w:val="none"/>
          <w:lang w:val="en-US" w:eastAsia="zh-CN"/>
        </w:rPr>
        <w:t>并调查</w:t>
      </w:r>
      <w:r>
        <w:rPr>
          <w:rFonts w:hint="eastAsia" w:ascii="Times New Roman" w:hAnsi="Times New Roman" w:eastAsia="宋体" w:cs="Times New Roman"/>
          <w:color w:val="auto"/>
          <w:highlight w:val="none"/>
        </w:rPr>
        <w:t>。</w:t>
      </w:r>
    </w:p>
    <w:p w14:paraId="05FAB52C">
      <w:pPr>
        <w:overflowPunct w:val="0"/>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rPr>
        <w:t>地下水</w:t>
      </w:r>
      <w:r>
        <w:rPr>
          <w:rFonts w:hint="eastAsia" w:ascii="Times New Roman" w:hAnsi="Times New Roman" w:eastAsia="宋体" w:cs="Times New Roman"/>
          <w:color w:val="auto"/>
          <w:highlight w:val="none"/>
          <w:lang w:val="en-US" w:eastAsia="zh-CN"/>
        </w:rPr>
        <w:t>水质、</w:t>
      </w:r>
      <w:r>
        <w:rPr>
          <w:rFonts w:hint="eastAsia" w:ascii="Times New Roman" w:hAnsi="Times New Roman" w:eastAsia="宋体" w:cs="Times New Roman"/>
          <w:color w:val="auto"/>
          <w:highlight w:val="none"/>
        </w:rPr>
        <w:t>水位</w:t>
      </w:r>
      <w:r>
        <w:rPr>
          <w:rFonts w:hint="eastAsia" w:ascii="Times New Roman" w:hAnsi="Times New Roman" w:eastAsia="宋体" w:cs="Times New Roman"/>
          <w:color w:val="auto"/>
          <w:highlight w:val="none"/>
          <w:lang w:val="en-US" w:eastAsia="zh-CN"/>
        </w:rPr>
        <w:t>监测点位分布情况及水位调查结果</w:t>
      </w:r>
      <w:r>
        <w:rPr>
          <w:rFonts w:hint="eastAsia" w:ascii="Times New Roman" w:hAnsi="Times New Roman" w:eastAsia="宋体" w:cs="Times New Roman"/>
          <w:color w:val="auto"/>
          <w:highlight w:val="none"/>
        </w:rPr>
        <w:t>见表</w:t>
      </w:r>
      <w:r>
        <w:rPr>
          <w:rFonts w:hint="eastAsia" w:ascii="Times New Roman" w:hAnsi="Times New Roman" w:eastAsia="宋体" w:cs="Times New Roman"/>
          <w:color w:val="auto"/>
          <w:highlight w:val="none"/>
          <w:lang w:val="en-US" w:eastAsia="zh-CN"/>
        </w:rPr>
        <w:t>4.3-4和图4.3-1</w:t>
      </w:r>
      <w:r>
        <w:rPr>
          <w:rFonts w:hint="eastAsia" w:ascii="Times New Roman" w:hAnsi="Times New Roman" w:eastAsia="宋体" w:cs="Times New Roman"/>
          <w:color w:val="auto"/>
          <w:highlight w:val="none"/>
        </w:rPr>
        <w:t>。</w:t>
      </w:r>
    </w:p>
    <w:p w14:paraId="1BEB8BF0">
      <w:pPr>
        <w:pStyle w:val="199"/>
        <w:spacing w:before="120"/>
        <w:rPr>
          <w:rFonts w:hint="eastAsia"/>
          <w:color w:val="auto"/>
          <w:highlight w:val="none"/>
        </w:rPr>
      </w:pPr>
      <w:r>
        <w:rPr>
          <w:rFonts w:hint="eastAsia" w:ascii="Times New Roman" w:hAnsi="Times New Roman" w:eastAsia="宋体" w:cs="Times New Roman"/>
          <w:bCs/>
          <w:snapToGrid w:val="0"/>
          <w:color w:val="auto"/>
          <w:sz w:val="24"/>
          <w:szCs w:val="28"/>
          <w:highlight w:val="none"/>
        </w:rPr>
        <w:t>表 4.</w:t>
      </w:r>
      <w:r>
        <w:rPr>
          <w:rFonts w:hint="eastAsia" w:ascii="Times New Roman" w:hAnsi="Times New Roman" w:eastAsia="宋体" w:cs="Times New Roman"/>
          <w:bCs/>
          <w:snapToGrid w:val="0"/>
          <w:color w:val="auto"/>
          <w:sz w:val="24"/>
          <w:szCs w:val="28"/>
          <w:highlight w:val="none"/>
          <w:lang w:val="en-US" w:eastAsia="zh-CN"/>
        </w:rPr>
        <w:t xml:space="preserve">3-4  </w:t>
      </w:r>
      <w:r>
        <w:rPr>
          <w:rFonts w:hint="eastAsia" w:ascii="Times New Roman" w:hAnsi="Times New Roman" w:eastAsia="宋体" w:cs="Times New Roman"/>
          <w:bCs/>
          <w:snapToGrid w:val="0"/>
          <w:color w:val="auto"/>
          <w:sz w:val="24"/>
          <w:szCs w:val="28"/>
          <w:highlight w:val="none"/>
        </w:rPr>
        <w:t xml:space="preserve"> 地下水水位</w:t>
      </w:r>
      <w:r>
        <w:rPr>
          <w:rFonts w:hint="eastAsia" w:ascii="Times New Roman" w:hAnsi="Times New Roman" w:eastAsia="宋体" w:cs="Times New Roman"/>
          <w:bCs/>
          <w:snapToGrid w:val="0"/>
          <w:color w:val="auto"/>
          <w:sz w:val="24"/>
          <w:szCs w:val="28"/>
          <w:highlight w:val="none"/>
          <w:lang w:val="en-US" w:eastAsia="zh-CN"/>
        </w:rPr>
        <w:t>调查</w:t>
      </w:r>
      <w:r>
        <w:rPr>
          <w:rFonts w:hint="eastAsia" w:ascii="Times New Roman" w:hAnsi="Times New Roman" w:eastAsia="宋体" w:cs="Times New Roman"/>
          <w:bCs/>
          <w:snapToGrid w:val="0"/>
          <w:color w:val="auto"/>
          <w:sz w:val="24"/>
          <w:szCs w:val="28"/>
          <w:highlight w:val="none"/>
        </w:rPr>
        <w:t>结果</w:t>
      </w:r>
      <w:r>
        <w:rPr>
          <w:rFonts w:hint="eastAsia" w:ascii="Times New Roman" w:hAnsi="Times New Roman" w:eastAsia="宋体" w:cs="Times New Roman"/>
          <w:bCs/>
          <w:snapToGrid w:val="0"/>
          <w:color w:val="auto"/>
          <w:sz w:val="24"/>
          <w:szCs w:val="28"/>
          <w:highlight w:val="none"/>
          <w:lang w:val="en-US" w:eastAsia="zh-CN"/>
        </w:rPr>
        <w:t>统计</w:t>
      </w:r>
      <w:r>
        <w:rPr>
          <w:rFonts w:hint="eastAsia" w:ascii="Times New Roman" w:hAnsi="Times New Roman" w:eastAsia="宋体" w:cs="Times New Roman"/>
          <w:bCs/>
          <w:snapToGrid w:val="0"/>
          <w:color w:val="auto"/>
          <w:sz w:val="24"/>
          <w:szCs w:val="28"/>
          <w:highlight w:val="none"/>
        </w:rPr>
        <w:t>表</w:t>
      </w:r>
    </w:p>
    <w:tbl>
      <w:tblPr>
        <w:tblStyle w:val="29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35"/>
        <w:gridCol w:w="1936"/>
        <w:gridCol w:w="1735"/>
        <w:gridCol w:w="1338"/>
        <w:gridCol w:w="750"/>
        <w:gridCol w:w="875"/>
        <w:gridCol w:w="875"/>
        <w:gridCol w:w="743"/>
      </w:tblGrid>
      <w:tr w14:paraId="1F2788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151FC62C">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序号</w:t>
            </w:r>
          </w:p>
        </w:tc>
        <w:tc>
          <w:tcPr>
            <w:tcW w:w="0" w:type="auto"/>
            <w:tcBorders>
              <w:tl2br w:val="nil"/>
              <w:tr2bl w:val="nil"/>
            </w:tcBorders>
            <w:noWrap w:val="0"/>
            <w:vAlign w:val="center"/>
          </w:tcPr>
          <w:p w14:paraId="60228B65">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检测点位</w:t>
            </w:r>
          </w:p>
          <w:p w14:paraId="22293B5B">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坐标</w:t>
            </w:r>
          </w:p>
        </w:tc>
        <w:tc>
          <w:tcPr>
            <w:tcW w:w="0" w:type="auto"/>
            <w:tcBorders>
              <w:tl2br w:val="nil"/>
              <w:tr2bl w:val="nil"/>
            </w:tcBorders>
            <w:noWrap w:val="0"/>
            <w:vAlign w:val="center"/>
          </w:tcPr>
          <w:p w14:paraId="094CAF40">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检测点位</w:t>
            </w:r>
          </w:p>
          <w:p w14:paraId="321ECD2E">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名称</w:t>
            </w:r>
          </w:p>
        </w:tc>
        <w:tc>
          <w:tcPr>
            <w:tcW w:w="0" w:type="auto"/>
            <w:tcBorders>
              <w:tl2br w:val="nil"/>
              <w:tr2bl w:val="nil"/>
            </w:tcBorders>
            <w:noWrap w:val="0"/>
            <w:vAlign w:val="center"/>
          </w:tcPr>
          <w:p w14:paraId="3BE1D955">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监测内容</w:t>
            </w:r>
          </w:p>
        </w:tc>
        <w:tc>
          <w:tcPr>
            <w:tcW w:w="0" w:type="auto"/>
            <w:tcBorders>
              <w:tl2br w:val="nil"/>
              <w:tr2bl w:val="nil"/>
            </w:tcBorders>
            <w:noWrap w:val="0"/>
            <w:vAlign w:val="center"/>
          </w:tcPr>
          <w:p w14:paraId="33EBD5A9">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井深</w:t>
            </w:r>
          </w:p>
          <w:p w14:paraId="090AF254">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（m）</w:t>
            </w:r>
          </w:p>
        </w:tc>
        <w:tc>
          <w:tcPr>
            <w:tcW w:w="0" w:type="auto"/>
            <w:tcBorders>
              <w:tl2br w:val="nil"/>
              <w:tr2bl w:val="nil"/>
            </w:tcBorders>
            <w:noWrap w:val="0"/>
            <w:vAlign w:val="center"/>
          </w:tcPr>
          <w:p w14:paraId="26246A57">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高程</w:t>
            </w:r>
          </w:p>
          <w:p w14:paraId="7EB483CE">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（m）</w:t>
            </w:r>
          </w:p>
        </w:tc>
        <w:tc>
          <w:tcPr>
            <w:tcW w:w="0" w:type="auto"/>
            <w:tcBorders>
              <w:tl2br w:val="nil"/>
              <w:tr2bl w:val="nil"/>
            </w:tcBorders>
            <w:noWrap w:val="0"/>
            <w:vAlign w:val="center"/>
          </w:tcPr>
          <w:p w14:paraId="29812406">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水位</w:t>
            </w:r>
          </w:p>
          <w:p w14:paraId="25D60B3D">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（m）</w:t>
            </w:r>
          </w:p>
        </w:tc>
        <w:tc>
          <w:tcPr>
            <w:tcW w:w="0" w:type="auto"/>
            <w:tcBorders>
              <w:tl2br w:val="nil"/>
              <w:tr2bl w:val="nil"/>
            </w:tcBorders>
            <w:noWrap w:val="0"/>
            <w:vAlign w:val="center"/>
          </w:tcPr>
          <w:p w14:paraId="2616361A">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埋深</w:t>
            </w:r>
          </w:p>
          <w:p w14:paraId="4FCC676E">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（m）</w:t>
            </w:r>
          </w:p>
        </w:tc>
      </w:tr>
      <w:tr w14:paraId="42135E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5EA8CADC">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W1</w:t>
            </w:r>
          </w:p>
        </w:tc>
        <w:tc>
          <w:tcPr>
            <w:tcW w:w="0" w:type="auto"/>
            <w:tcBorders>
              <w:tl2br w:val="nil"/>
              <w:tr2bl w:val="nil"/>
            </w:tcBorders>
            <w:noWrap w:val="0"/>
            <w:vAlign w:val="center"/>
          </w:tcPr>
          <w:p w14:paraId="29E561A8">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N4</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06</w:t>
            </w:r>
            <w:r>
              <w:rPr>
                <w:rFonts w:hint="default" w:ascii="Times New Roman" w:hAnsi="宋体" w:eastAsia="宋体" w:cs="Times New Roman"/>
                <w:color w:val="auto"/>
                <w:sz w:val="21"/>
                <w:szCs w:val="21"/>
                <w:highlight w:val="none"/>
                <w:lang w:val="en-US" w:eastAsia="zh-CN"/>
              </w:rPr>
              <w:t>″</w:t>
            </w:r>
          </w:p>
          <w:p w14:paraId="2E867F0C">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default" w:ascii="Times New Roman" w:hAnsi="宋体" w:eastAsia="宋体" w:cs="Times New Roman"/>
                <w:color w:val="auto"/>
                <w:sz w:val="21"/>
                <w:szCs w:val="21"/>
                <w:highlight w:val="none"/>
                <w:lang w:val="en-US" w:eastAsia="zh-CN"/>
              </w:rPr>
              <w:t>E11</w:t>
            </w:r>
            <w:r>
              <w:rPr>
                <w:rFonts w:hint="eastAsia" w:ascii="Times New Roman" w:hAnsi="宋体" w:eastAsia="宋体" w:cs="Times New Roman"/>
                <w:color w:val="auto"/>
                <w:sz w:val="21"/>
                <w:szCs w:val="21"/>
                <w:highlight w:val="none"/>
                <w:lang w:val="en-US" w:eastAsia="zh-CN"/>
              </w:rPr>
              <w:t>6</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35</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11</w:t>
            </w: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5CA88EA">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厂区南上游</w:t>
            </w:r>
          </w:p>
        </w:tc>
        <w:tc>
          <w:tcPr>
            <w:tcW w:w="0" w:type="auto"/>
            <w:tcBorders>
              <w:tl2br w:val="nil"/>
              <w:tr2bl w:val="nil"/>
            </w:tcBorders>
            <w:noWrap w:val="0"/>
            <w:vAlign w:val="center"/>
          </w:tcPr>
          <w:p w14:paraId="2A4BF600">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水质、水位</w:t>
            </w:r>
          </w:p>
        </w:tc>
        <w:tc>
          <w:tcPr>
            <w:tcW w:w="0" w:type="auto"/>
            <w:tcBorders>
              <w:tl2br w:val="nil"/>
              <w:tr2bl w:val="nil"/>
            </w:tcBorders>
            <w:noWrap w:val="0"/>
            <w:vAlign w:val="center"/>
          </w:tcPr>
          <w:p w14:paraId="01D258CA">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50</w:t>
            </w:r>
          </w:p>
        </w:tc>
        <w:tc>
          <w:tcPr>
            <w:tcW w:w="0" w:type="auto"/>
            <w:tcBorders>
              <w:tl2br w:val="nil"/>
              <w:tr2bl w:val="nil"/>
            </w:tcBorders>
            <w:noWrap w:val="0"/>
            <w:vAlign w:val="center"/>
          </w:tcPr>
          <w:p w14:paraId="78E71373">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1263.34</w:t>
            </w:r>
          </w:p>
        </w:tc>
        <w:tc>
          <w:tcPr>
            <w:tcW w:w="0" w:type="auto"/>
            <w:tcBorders>
              <w:tl2br w:val="nil"/>
              <w:tr2bl w:val="nil"/>
            </w:tcBorders>
            <w:noWrap w:val="0"/>
            <w:vAlign w:val="center"/>
          </w:tcPr>
          <w:p w14:paraId="04501176">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1226.98</w:t>
            </w:r>
          </w:p>
        </w:tc>
        <w:tc>
          <w:tcPr>
            <w:tcW w:w="0" w:type="auto"/>
            <w:tcBorders>
              <w:tl2br w:val="nil"/>
              <w:tr2bl w:val="nil"/>
            </w:tcBorders>
            <w:noWrap w:val="0"/>
            <w:vAlign w:val="center"/>
          </w:tcPr>
          <w:p w14:paraId="3D16F171">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eastAsia" w:hAnsi="宋体" w:eastAsia="宋体" w:cs="Times New Roman"/>
                <w:color w:val="auto"/>
                <w:sz w:val="21"/>
                <w:szCs w:val="21"/>
                <w:highlight w:val="none"/>
                <w:lang w:val="en-US" w:eastAsia="zh-CN"/>
              </w:rPr>
              <w:t>36.36</w:t>
            </w:r>
          </w:p>
        </w:tc>
      </w:tr>
      <w:tr w14:paraId="1C3310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76DB59F5">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W2</w:t>
            </w:r>
          </w:p>
        </w:tc>
        <w:tc>
          <w:tcPr>
            <w:tcW w:w="0" w:type="auto"/>
            <w:tcBorders>
              <w:tl2br w:val="nil"/>
              <w:tr2bl w:val="nil"/>
            </w:tcBorders>
            <w:noWrap w:val="0"/>
            <w:vAlign w:val="center"/>
          </w:tcPr>
          <w:p w14:paraId="4AE5A30A">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N4</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1</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08</w:t>
            </w:r>
            <w:r>
              <w:rPr>
                <w:rFonts w:hint="default" w:ascii="Times New Roman" w:hAnsi="宋体" w:eastAsia="宋体" w:cs="Times New Roman"/>
                <w:color w:val="auto"/>
                <w:sz w:val="21"/>
                <w:szCs w:val="21"/>
                <w:highlight w:val="none"/>
                <w:lang w:val="en-US" w:eastAsia="zh-CN"/>
              </w:rPr>
              <w:t>″</w:t>
            </w:r>
          </w:p>
          <w:p w14:paraId="25051AA4">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default" w:ascii="Times New Roman" w:hAnsi="宋体" w:eastAsia="宋体" w:cs="Times New Roman"/>
                <w:color w:val="auto"/>
                <w:sz w:val="21"/>
                <w:szCs w:val="21"/>
                <w:highlight w:val="none"/>
                <w:lang w:val="en-US" w:eastAsia="zh-CN"/>
              </w:rPr>
              <w:t>E11</w:t>
            </w:r>
            <w:r>
              <w:rPr>
                <w:rFonts w:hint="eastAsia" w:ascii="Times New Roman" w:hAnsi="宋体" w:eastAsia="宋体" w:cs="Times New Roman"/>
                <w:color w:val="auto"/>
                <w:sz w:val="21"/>
                <w:szCs w:val="21"/>
                <w:highlight w:val="none"/>
                <w:lang w:val="en-US" w:eastAsia="zh-CN"/>
              </w:rPr>
              <w:t>6</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34</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34</w:t>
            </w: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720A582">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厂区内</w:t>
            </w:r>
          </w:p>
        </w:tc>
        <w:tc>
          <w:tcPr>
            <w:tcW w:w="0" w:type="auto"/>
            <w:tcBorders>
              <w:tl2br w:val="nil"/>
              <w:tr2bl w:val="nil"/>
            </w:tcBorders>
            <w:noWrap w:val="0"/>
            <w:vAlign w:val="center"/>
          </w:tcPr>
          <w:p w14:paraId="726172AB">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水质、水位</w:t>
            </w:r>
          </w:p>
        </w:tc>
        <w:tc>
          <w:tcPr>
            <w:tcW w:w="0" w:type="auto"/>
            <w:tcBorders>
              <w:tl2br w:val="nil"/>
              <w:tr2bl w:val="nil"/>
            </w:tcBorders>
            <w:noWrap w:val="0"/>
            <w:vAlign w:val="center"/>
          </w:tcPr>
          <w:p w14:paraId="21795AD0">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78</w:t>
            </w:r>
          </w:p>
        </w:tc>
        <w:tc>
          <w:tcPr>
            <w:tcW w:w="0" w:type="auto"/>
            <w:tcBorders>
              <w:tl2br w:val="nil"/>
              <w:tr2bl w:val="nil"/>
            </w:tcBorders>
            <w:noWrap w:val="0"/>
            <w:vAlign w:val="center"/>
          </w:tcPr>
          <w:p w14:paraId="13763F21">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1260.52</w:t>
            </w:r>
          </w:p>
        </w:tc>
        <w:tc>
          <w:tcPr>
            <w:tcW w:w="0" w:type="auto"/>
            <w:tcBorders>
              <w:tl2br w:val="nil"/>
              <w:tr2bl w:val="nil"/>
            </w:tcBorders>
            <w:noWrap w:val="0"/>
            <w:vAlign w:val="center"/>
          </w:tcPr>
          <w:p w14:paraId="071ADC51">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1221.86</w:t>
            </w:r>
          </w:p>
        </w:tc>
        <w:tc>
          <w:tcPr>
            <w:tcW w:w="0" w:type="auto"/>
            <w:tcBorders>
              <w:tl2br w:val="nil"/>
              <w:tr2bl w:val="nil"/>
            </w:tcBorders>
            <w:noWrap w:val="0"/>
            <w:vAlign w:val="center"/>
          </w:tcPr>
          <w:p w14:paraId="710583CA">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rPr>
              <w:t>3</w:t>
            </w:r>
            <w:r>
              <w:rPr>
                <w:rFonts w:hint="eastAsia" w:hAnsi="宋体" w:eastAsia="宋体" w:cs="Times New Roman"/>
                <w:color w:val="auto"/>
                <w:sz w:val="21"/>
                <w:szCs w:val="21"/>
                <w:highlight w:val="none"/>
                <w:lang w:val="en-US" w:eastAsia="zh-CN"/>
              </w:rPr>
              <w:t>8.66</w:t>
            </w:r>
          </w:p>
        </w:tc>
      </w:tr>
      <w:tr w14:paraId="1B0838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3682C9B4">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W3</w:t>
            </w:r>
          </w:p>
        </w:tc>
        <w:tc>
          <w:tcPr>
            <w:tcW w:w="0" w:type="auto"/>
            <w:tcBorders>
              <w:tl2br w:val="nil"/>
              <w:tr2bl w:val="nil"/>
            </w:tcBorders>
            <w:noWrap w:val="0"/>
            <w:vAlign w:val="center"/>
          </w:tcPr>
          <w:p w14:paraId="2767E756">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N4</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0</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50</w:t>
            </w:r>
            <w:r>
              <w:rPr>
                <w:rFonts w:hint="default" w:ascii="Times New Roman" w:hAnsi="宋体" w:eastAsia="宋体" w:cs="Times New Roman"/>
                <w:color w:val="auto"/>
                <w:sz w:val="21"/>
                <w:szCs w:val="21"/>
                <w:highlight w:val="none"/>
                <w:lang w:val="en-US" w:eastAsia="zh-CN"/>
              </w:rPr>
              <w:t>″</w:t>
            </w:r>
          </w:p>
          <w:p w14:paraId="14E3FF74">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default" w:ascii="Times New Roman" w:hAnsi="宋体" w:eastAsia="宋体" w:cs="Times New Roman"/>
                <w:color w:val="auto"/>
                <w:sz w:val="21"/>
                <w:szCs w:val="21"/>
                <w:highlight w:val="none"/>
                <w:lang w:val="en-US" w:eastAsia="zh-CN"/>
              </w:rPr>
              <w:t>E11</w:t>
            </w:r>
            <w:r>
              <w:rPr>
                <w:rFonts w:hint="eastAsia" w:ascii="Times New Roman" w:hAnsi="宋体" w:eastAsia="宋体" w:cs="Times New Roman"/>
                <w:color w:val="auto"/>
                <w:sz w:val="21"/>
                <w:szCs w:val="21"/>
                <w:highlight w:val="none"/>
                <w:lang w:val="en-US" w:eastAsia="zh-CN"/>
              </w:rPr>
              <w:t>6</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34</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42</w:t>
            </w: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63BD222">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厂区北下游</w:t>
            </w:r>
          </w:p>
        </w:tc>
        <w:tc>
          <w:tcPr>
            <w:tcW w:w="0" w:type="auto"/>
            <w:tcBorders>
              <w:tl2br w:val="nil"/>
              <w:tr2bl w:val="nil"/>
            </w:tcBorders>
            <w:noWrap w:val="0"/>
            <w:vAlign w:val="center"/>
          </w:tcPr>
          <w:p w14:paraId="455723E4">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水质、水位</w:t>
            </w:r>
          </w:p>
        </w:tc>
        <w:tc>
          <w:tcPr>
            <w:tcW w:w="0" w:type="auto"/>
            <w:tcBorders>
              <w:tl2br w:val="nil"/>
              <w:tr2bl w:val="nil"/>
            </w:tcBorders>
            <w:noWrap w:val="0"/>
            <w:vAlign w:val="center"/>
          </w:tcPr>
          <w:p w14:paraId="75CE0E71">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27</w:t>
            </w:r>
          </w:p>
        </w:tc>
        <w:tc>
          <w:tcPr>
            <w:tcW w:w="0" w:type="auto"/>
            <w:tcBorders>
              <w:tl2br w:val="nil"/>
              <w:tr2bl w:val="nil"/>
            </w:tcBorders>
            <w:noWrap w:val="0"/>
            <w:vAlign w:val="center"/>
          </w:tcPr>
          <w:p w14:paraId="61F825EC">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1231.11</w:t>
            </w:r>
          </w:p>
        </w:tc>
        <w:tc>
          <w:tcPr>
            <w:tcW w:w="0" w:type="auto"/>
            <w:tcBorders>
              <w:tl2br w:val="nil"/>
              <w:tr2bl w:val="nil"/>
            </w:tcBorders>
            <w:noWrap w:val="0"/>
            <w:vAlign w:val="center"/>
          </w:tcPr>
          <w:p w14:paraId="7247C606">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1217.18</w:t>
            </w:r>
          </w:p>
        </w:tc>
        <w:tc>
          <w:tcPr>
            <w:tcW w:w="0" w:type="auto"/>
            <w:tcBorders>
              <w:tl2br w:val="nil"/>
              <w:tr2bl w:val="nil"/>
            </w:tcBorders>
            <w:noWrap w:val="0"/>
            <w:vAlign w:val="center"/>
          </w:tcPr>
          <w:p w14:paraId="12545981">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eastAsia" w:hAnsi="宋体" w:eastAsia="宋体" w:cs="Times New Roman"/>
                <w:color w:val="auto"/>
                <w:sz w:val="21"/>
                <w:szCs w:val="21"/>
                <w:highlight w:val="none"/>
                <w:lang w:val="en-US" w:eastAsia="zh-CN"/>
              </w:rPr>
              <w:t>13.93</w:t>
            </w:r>
          </w:p>
        </w:tc>
      </w:tr>
      <w:tr w14:paraId="2CC904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1987222C">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W4</w:t>
            </w:r>
          </w:p>
        </w:tc>
        <w:tc>
          <w:tcPr>
            <w:tcW w:w="0" w:type="auto"/>
            <w:tcBorders>
              <w:tl2br w:val="nil"/>
              <w:tr2bl w:val="nil"/>
            </w:tcBorders>
            <w:noWrap w:val="0"/>
            <w:vAlign w:val="center"/>
          </w:tcPr>
          <w:p w14:paraId="37F3377A">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N42°10′</w:t>
            </w:r>
            <w:r>
              <w:rPr>
                <w:rFonts w:hint="eastAsia" w:ascii="Times New Roman" w:hAnsi="宋体" w:eastAsia="宋体" w:cs="Times New Roman"/>
                <w:color w:val="auto"/>
                <w:sz w:val="21"/>
                <w:szCs w:val="21"/>
                <w:highlight w:val="none"/>
                <w:lang w:val="en-US" w:eastAsia="zh-CN"/>
              </w:rPr>
              <w:t>04</w:t>
            </w:r>
            <w:r>
              <w:rPr>
                <w:rFonts w:hint="default" w:ascii="Times New Roman" w:hAnsi="宋体" w:eastAsia="宋体" w:cs="Times New Roman"/>
                <w:color w:val="auto"/>
                <w:sz w:val="21"/>
                <w:szCs w:val="21"/>
                <w:highlight w:val="none"/>
                <w:lang w:val="en-US" w:eastAsia="zh-CN"/>
              </w:rPr>
              <w:t>″</w:t>
            </w:r>
          </w:p>
          <w:p w14:paraId="15E2DB39">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default" w:ascii="Times New Roman" w:hAnsi="宋体" w:eastAsia="宋体" w:cs="Times New Roman"/>
                <w:color w:val="auto"/>
                <w:sz w:val="21"/>
                <w:szCs w:val="21"/>
                <w:highlight w:val="none"/>
                <w:lang w:val="en-US" w:eastAsia="zh-CN"/>
              </w:rPr>
              <w:t>E116°34′</w:t>
            </w:r>
            <w:r>
              <w:rPr>
                <w:rFonts w:hint="eastAsia" w:ascii="Times New Roman" w:hAnsi="宋体" w:eastAsia="宋体" w:cs="Times New Roman"/>
                <w:color w:val="auto"/>
                <w:sz w:val="21"/>
                <w:szCs w:val="21"/>
                <w:highlight w:val="none"/>
                <w:lang w:val="en-US" w:eastAsia="zh-CN"/>
              </w:rPr>
              <w:t>09</w:t>
            </w: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66E1CF0">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lang w:eastAsia="zh-CN"/>
              </w:rPr>
            </w:pPr>
            <w:r>
              <w:rPr>
                <w:rFonts w:hint="eastAsia" w:ascii="Times New Roman" w:hAnsi="宋体" w:eastAsia="宋体" w:cs="Times New Roman"/>
                <w:color w:val="auto"/>
                <w:sz w:val="21"/>
                <w:szCs w:val="21"/>
                <w:highlight w:val="none"/>
              </w:rPr>
              <w:t>填埋场监控井</w:t>
            </w:r>
            <w:r>
              <w:rPr>
                <w:rFonts w:hint="eastAsia" w:ascii="Times New Roman" w:hAnsi="宋体" w:eastAsia="宋体" w:cs="Times New Roman"/>
                <w:color w:val="auto"/>
                <w:sz w:val="21"/>
                <w:szCs w:val="21"/>
                <w:highlight w:val="none"/>
                <w:lang w:val="en-US" w:eastAsia="zh-CN"/>
              </w:rPr>
              <w:t>2</w:t>
            </w:r>
          </w:p>
        </w:tc>
        <w:tc>
          <w:tcPr>
            <w:tcW w:w="0" w:type="auto"/>
            <w:tcBorders>
              <w:tl2br w:val="nil"/>
              <w:tr2bl w:val="nil"/>
            </w:tcBorders>
            <w:noWrap w:val="0"/>
            <w:vAlign w:val="center"/>
          </w:tcPr>
          <w:p w14:paraId="317E7D82">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lang w:val="en-US" w:eastAsia="zh-CN"/>
              </w:rPr>
              <w:t>水位</w:t>
            </w:r>
          </w:p>
        </w:tc>
        <w:tc>
          <w:tcPr>
            <w:tcW w:w="0" w:type="auto"/>
            <w:tcBorders>
              <w:tl2br w:val="nil"/>
              <w:tr2bl w:val="nil"/>
            </w:tcBorders>
            <w:noWrap w:val="0"/>
            <w:vAlign w:val="center"/>
          </w:tcPr>
          <w:p w14:paraId="5113E003">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68</w:t>
            </w:r>
          </w:p>
        </w:tc>
        <w:tc>
          <w:tcPr>
            <w:tcW w:w="0" w:type="auto"/>
            <w:tcBorders>
              <w:tl2br w:val="nil"/>
              <w:tr2bl w:val="nil"/>
            </w:tcBorders>
            <w:noWrap w:val="0"/>
            <w:vAlign w:val="center"/>
          </w:tcPr>
          <w:p w14:paraId="38EF92DB">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1289.42</w:t>
            </w:r>
          </w:p>
        </w:tc>
        <w:tc>
          <w:tcPr>
            <w:tcW w:w="0" w:type="auto"/>
            <w:tcBorders>
              <w:tl2br w:val="nil"/>
              <w:tr2bl w:val="nil"/>
            </w:tcBorders>
            <w:noWrap w:val="0"/>
            <w:vAlign w:val="center"/>
          </w:tcPr>
          <w:p w14:paraId="74020546">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1232.86</w:t>
            </w:r>
          </w:p>
        </w:tc>
        <w:tc>
          <w:tcPr>
            <w:tcW w:w="0" w:type="auto"/>
            <w:tcBorders>
              <w:tl2br w:val="nil"/>
              <w:tr2bl w:val="nil"/>
            </w:tcBorders>
            <w:noWrap w:val="0"/>
            <w:vAlign w:val="center"/>
          </w:tcPr>
          <w:p w14:paraId="72880727">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56.56</w:t>
            </w:r>
          </w:p>
        </w:tc>
      </w:tr>
      <w:tr w14:paraId="6C4652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0C550167">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W5</w:t>
            </w:r>
          </w:p>
        </w:tc>
        <w:tc>
          <w:tcPr>
            <w:tcW w:w="0" w:type="auto"/>
            <w:tcBorders>
              <w:tl2br w:val="nil"/>
              <w:tr2bl w:val="nil"/>
            </w:tcBorders>
            <w:noWrap w:val="0"/>
            <w:vAlign w:val="center"/>
          </w:tcPr>
          <w:p w14:paraId="3F74F160">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N 42°11′42″</w:t>
            </w:r>
          </w:p>
          <w:p w14:paraId="7181493B">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default" w:ascii="Times New Roman" w:hAnsi="宋体" w:eastAsia="宋体" w:cs="Times New Roman"/>
                <w:color w:val="auto"/>
                <w:sz w:val="21"/>
                <w:szCs w:val="21"/>
                <w:highlight w:val="none"/>
                <w:lang w:val="en-US" w:eastAsia="zh-CN"/>
              </w:rPr>
              <w:t>E116°31′55″</w:t>
            </w:r>
          </w:p>
        </w:tc>
        <w:tc>
          <w:tcPr>
            <w:tcW w:w="0" w:type="auto"/>
            <w:tcBorders>
              <w:tl2br w:val="nil"/>
              <w:tr2bl w:val="nil"/>
            </w:tcBorders>
            <w:noWrap w:val="0"/>
            <w:vAlign w:val="center"/>
          </w:tcPr>
          <w:p w14:paraId="6DD011DE">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lang w:val="en-US" w:eastAsia="zh-CN"/>
              </w:rPr>
              <w:t>小羊场</w:t>
            </w:r>
            <w:r>
              <w:rPr>
                <w:rFonts w:hint="eastAsia" w:ascii="Times New Roman" w:hAnsi="宋体" w:eastAsia="宋体" w:cs="Times New Roman"/>
                <w:color w:val="auto"/>
                <w:sz w:val="21"/>
                <w:szCs w:val="21"/>
                <w:highlight w:val="none"/>
              </w:rPr>
              <w:t>村</w:t>
            </w:r>
          </w:p>
        </w:tc>
        <w:tc>
          <w:tcPr>
            <w:tcW w:w="0" w:type="auto"/>
            <w:tcBorders>
              <w:tl2br w:val="nil"/>
              <w:tr2bl w:val="nil"/>
            </w:tcBorders>
            <w:noWrap w:val="0"/>
            <w:vAlign w:val="center"/>
          </w:tcPr>
          <w:p w14:paraId="3E5034F1">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水位</w:t>
            </w:r>
          </w:p>
        </w:tc>
        <w:tc>
          <w:tcPr>
            <w:tcW w:w="0" w:type="auto"/>
            <w:tcBorders>
              <w:tl2br w:val="nil"/>
              <w:tr2bl w:val="nil"/>
            </w:tcBorders>
            <w:noWrap w:val="0"/>
            <w:vAlign w:val="center"/>
          </w:tcPr>
          <w:p w14:paraId="37422541">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40</w:t>
            </w:r>
          </w:p>
        </w:tc>
        <w:tc>
          <w:tcPr>
            <w:tcW w:w="0" w:type="auto"/>
            <w:tcBorders>
              <w:tl2br w:val="nil"/>
              <w:tr2bl w:val="nil"/>
            </w:tcBorders>
            <w:noWrap w:val="0"/>
            <w:vAlign w:val="center"/>
          </w:tcPr>
          <w:p w14:paraId="77CFE1DA">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1257.35</w:t>
            </w:r>
          </w:p>
        </w:tc>
        <w:tc>
          <w:tcPr>
            <w:tcW w:w="0" w:type="auto"/>
            <w:tcBorders>
              <w:tl2br w:val="nil"/>
              <w:tr2bl w:val="nil"/>
            </w:tcBorders>
            <w:noWrap w:val="0"/>
            <w:vAlign w:val="center"/>
          </w:tcPr>
          <w:p w14:paraId="040EF860">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1227.37</w:t>
            </w:r>
          </w:p>
        </w:tc>
        <w:tc>
          <w:tcPr>
            <w:tcW w:w="0" w:type="auto"/>
            <w:tcBorders>
              <w:tl2br w:val="nil"/>
              <w:tr2bl w:val="nil"/>
            </w:tcBorders>
            <w:noWrap w:val="0"/>
            <w:vAlign w:val="center"/>
          </w:tcPr>
          <w:p w14:paraId="289C86C8">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29.98</w:t>
            </w:r>
          </w:p>
        </w:tc>
      </w:tr>
      <w:tr w14:paraId="6E0370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71031F3B">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W6</w:t>
            </w:r>
          </w:p>
        </w:tc>
        <w:tc>
          <w:tcPr>
            <w:tcW w:w="0" w:type="auto"/>
            <w:tcBorders>
              <w:tl2br w:val="nil"/>
              <w:tr2bl w:val="nil"/>
            </w:tcBorders>
            <w:noWrap w:val="0"/>
            <w:vAlign w:val="center"/>
          </w:tcPr>
          <w:p w14:paraId="705A0E79">
            <w:pPr>
              <w:autoSpaceDE w:val="0"/>
              <w:autoSpaceDN w:val="0"/>
              <w:spacing w:line="240" w:lineRule="auto"/>
              <w:ind w:firstLine="0" w:firstLineChars="0"/>
              <w:jc w:val="center"/>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N 42°12′33″</w:t>
            </w:r>
          </w:p>
          <w:p w14:paraId="05982A56">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default" w:ascii="Times New Roman" w:hAnsi="宋体" w:eastAsia="宋体" w:cs="Times New Roman"/>
                <w:color w:val="auto"/>
                <w:sz w:val="21"/>
                <w:szCs w:val="21"/>
                <w:highlight w:val="none"/>
                <w:lang w:val="en-US" w:eastAsia="zh-CN"/>
              </w:rPr>
              <w:t>E116°34′'24″</w:t>
            </w:r>
          </w:p>
        </w:tc>
        <w:tc>
          <w:tcPr>
            <w:tcW w:w="0" w:type="auto"/>
            <w:tcBorders>
              <w:tl2br w:val="nil"/>
              <w:tr2bl w:val="nil"/>
            </w:tcBorders>
            <w:noWrap w:val="0"/>
            <w:vAlign w:val="center"/>
          </w:tcPr>
          <w:p w14:paraId="4FD56B17">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大唐监控井</w:t>
            </w:r>
          </w:p>
        </w:tc>
        <w:tc>
          <w:tcPr>
            <w:tcW w:w="0" w:type="auto"/>
            <w:tcBorders>
              <w:tl2br w:val="nil"/>
              <w:tr2bl w:val="nil"/>
            </w:tcBorders>
            <w:noWrap w:val="0"/>
            <w:vAlign w:val="center"/>
          </w:tcPr>
          <w:p w14:paraId="766888A3">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lang w:val="en-US" w:eastAsia="zh-CN"/>
              </w:rPr>
              <w:t>水位</w:t>
            </w:r>
          </w:p>
        </w:tc>
        <w:tc>
          <w:tcPr>
            <w:tcW w:w="0" w:type="auto"/>
            <w:tcBorders>
              <w:tl2br w:val="nil"/>
              <w:tr2bl w:val="nil"/>
            </w:tcBorders>
            <w:noWrap w:val="0"/>
            <w:vAlign w:val="center"/>
          </w:tcPr>
          <w:p w14:paraId="0D08CF90">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60</w:t>
            </w:r>
          </w:p>
        </w:tc>
        <w:tc>
          <w:tcPr>
            <w:tcW w:w="0" w:type="auto"/>
            <w:tcBorders>
              <w:tl2br w:val="nil"/>
              <w:tr2bl w:val="nil"/>
            </w:tcBorders>
            <w:noWrap w:val="0"/>
            <w:vAlign w:val="center"/>
          </w:tcPr>
          <w:p w14:paraId="4F115D3A">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1271.45</w:t>
            </w:r>
          </w:p>
        </w:tc>
        <w:tc>
          <w:tcPr>
            <w:tcW w:w="0" w:type="auto"/>
            <w:tcBorders>
              <w:tl2br w:val="nil"/>
              <w:tr2bl w:val="nil"/>
            </w:tcBorders>
            <w:noWrap w:val="0"/>
            <w:vAlign w:val="center"/>
          </w:tcPr>
          <w:p w14:paraId="06A1CA5F">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1220.23</w:t>
            </w:r>
          </w:p>
        </w:tc>
        <w:tc>
          <w:tcPr>
            <w:tcW w:w="0" w:type="auto"/>
            <w:tcBorders>
              <w:tl2br w:val="nil"/>
              <w:tr2bl w:val="nil"/>
            </w:tcBorders>
            <w:noWrap w:val="0"/>
            <w:vAlign w:val="center"/>
          </w:tcPr>
          <w:p w14:paraId="2CC1EE41">
            <w:pPr>
              <w:autoSpaceDE w:val="0"/>
              <w:autoSpaceDN w:val="0"/>
              <w:spacing w:line="240" w:lineRule="auto"/>
              <w:ind w:firstLine="0" w:firstLineChars="0"/>
              <w:jc w:val="center"/>
              <w:rPr>
                <w:rFonts w:hint="eastAsia" w:ascii="Times New Roman" w:hAnsi="宋体" w:eastAsia="宋体" w:cs="Times New Roman"/>
                <w:color w:val="auto"/>
                <w:sz w:val="21"/>
                <w:szCs w:val="21"/>
                <w:highlight w:val="none"/>
              </w:rPr>
            </w:pPr>
            <w:r>
              <w:rPr>
                <w:rFonts w:hint="eastAsia" w:ascii="Times New Roman" w:hAnsi="宋体" w:eastAsia="宋体" w:cs="Times New Roman"/>
                <w:color w:val="auto"/>
                <w:sz w:val="21"/>
                <w:szCs w:val="21"/>
                <w:highlight w:val="none"/>
              </w:rPr>
              <w:t>51.22</w:t>
            </w:r>
          </w:p>
        </w:tc>
      </w:tr>
    </w:tbl>
    <w:p w14:paraId="6C394A80">
      <w:pPr>
        <w:pStyle w:val="6"/>
        <w:rPr>
          <w:color w:val="auto"/>
          <w:highlight w:val="none"/>
        </w:rPr>
      </w:pPr>
      <w:r>
        <w:rPr>
          <w:rFonts w:hint="eastAsia"/>
          <w:color w:val="auto"/>
          <w:highlight w:val="none"/>
          <w:lang w:val="en-US" w:eastAsia="zh-CN"/>
        </w:rPr>
        <w:t xml:space="preserve"> </w:t>
      </w:r>
      <w:r>
        <w:rPr>
          <w:rFonts w:hint="eastAsia"/>
          <w:color w:val="auto"/>
          <w:highlight w:val="none"/>
        </w:rPr>
        <w:t>地下水水质现状监测</w:t>
      </w:r>
    </w:p>
    <w:p w14:paraId="51033F75">
      <w:pPr>
        <w:ind w:firstLine="480"/>
        <w:rPr>
          <w:color w:val="auto"/>
          <w:highlight w:val="none"/>
        </w:rPr>
      </w:pPr>
      <w:r>
        <w:rPr>
          <w:rFonts w:hint="eastAsia"/>
          <w:color w:val="auto"/>
          <w:highlight w:val="none"/>
          <w:lang w:val="en-US" w:eastAsia="zh-CN"/>
        </w:rPr>
        <w:t>1</w:t>
      </w:r>
      <w:r>
        <w:rPr>
          <w:rFonts w:hint="eastAsia"/>
          <w:color w:val="auto"/>
          <w:highlight w:val="none"/>
        </w:rPr>
        <w:t>、水质监测因子</w:t>
      </w:r>
    </w:p>
    <w:p w14:paraId="13892C86">
      <w:pPr>
        <w:ind w:firstLine="480"/>
        <w:rPr>
          <w:rFonts w:hint="eastAsia"/>
          <w:color w:val="auto"/>
          <w:highlight w:val="none"/>
          <w:lang w:eastAsia="zh-CN"/>
        </w:rPr>
      </w:pPr>
      <w:r>
        <w:rPr>
          <w:rFonts w:hint="eastAsia"/>
          <w:color w:val="auto"/>
          <w:highlight w:val="none"/>
        </w:rPr>
        <w:t>pH</w:t>
      </w:r>
      <w:r>
        <w:rPr>
          <w:rFonts w:hint="eastAsia"/>
          <w:color w:val="auto"/>
          <w:highlight w:val="none"/>
          <w:lang w:eastAsia="zh-CN"/>
        </w:rPr>
        <w:t>、</w:t>
      </w:r>
      <w:r>
        <w:rPr>
          <w:rFonts w:hint="eastAsia"/>
          <w:color w:val="auto"/>
          <w:highlight w:val="none"/>
        </w:rPr>
        <w:t>氟化物</w:t>
      </w:r>
      <w:r>
        <w:rPr>
          <w:rFonts w:hint="eastAsia"/>
          <w:color w:val="auto"/>
          <w:highlight w:val="none"/>
          <w:lang w:eastAsia="zh-CN"/>
        </w:rPr>
        <w:t>、</w:t>
      </w:r>
      <w:r>
        <w:rPr>
          <w:rFonts w:hint="eastAsia"/>
          <w:color w:val="auto"/>
          <w:highlight w:val="none"/>
        </w:rPr>
        <w:t>F</w:t>
      </w:r>
      <w:r>
        <w:rPr>
          <w:rFonts w:hint="eastAsia"/>
          <w:color w:val="auto"/>
          <w:highlight w:val="none"/>
          <w:vertAlign w:val="superscript"/>
        </w:rPr>
        <w:t xml:space="preserve"> -</w:t>
      </w:r>
      <w:r>
        <w:rPr>
          <w:rFonts w:hint="eastAsia"/>
          <w:color w:val="auto"/>
          <w:highlight w:val="none"/>
          <w:lang w:eastAsia="zh-CN"/>
        </w:rPr>
        <w:t>、</w:t>
      </w:r>
      <w:r>
        <w:rPr>
          <w:rFonts w:hint="eastAsia"/>
          <w:color w:val="auto"/>
          <w:highlight w:val="none"/>
        </w:rPr>
        <w:t>氯化物</w:t>
      </w:r>
      <w:r>
        <w:rPr>
          <w:rFonts w:hint="eastAsia"/>
          <w:color w:val="auto"/>
          <w:highlight w:val="none"/>
          <w:lang w:eastAsia="zh-CN"/>
        </w:rPr>
        <w:t>、</w:t>
      </w:r>
      <w:r>
        <w:rPr>
          <w:rFonts w:hint="eastAsia"/>
          <w:color w:val="auto"/>
          <w:highlight w:val="none"/>
        </w:rPr>
        <w:t>Cl</w:t>
      </w:r>
      <w:r>
        <w:rPr>
          <w:rFonts w:hint="eastAsia"/>
          <w:color w:val="auto"/>
          <w:highlight w:val="none"/>
          <w:vertAlign w:val="superscript"/>
        </w:rPr>
        <w:t>-</w:t>
      </w:r>
      <w:r>
        <w:rPr>
          <w:rFonts w:hint="eastAsia"/>
          <w:color w:val="auto"/>
          <w:highlight w:val="none"/>
          <w:lang w:eastAsia="zh-CN"/>
        </w:rPr>
        <w:t>、</w:t>
      </w:r>
      <w:r>
        <w:rPr>
          <w:rFonts w:hint="eastAsia"/>
          <w:color w:val="auto"/>
          <w:highlight w:val="none"/>
        </w:rPr>
        <w:t>硫酸盐</w:t>
      </w:r>
      <w:r>
        <w:rPr>
          <w:rFonts w:hint="eastAsia"/>
          <w:color w:val="auto"/>
          <w:highlight w:val="none"/>
          <w:lang w:eastAsia="zh-CN"/>
        </w:rPr>
        <w:t>、</w:t>
      </w:r>
      <w:r>
        <w:rPr>
          <w:rFonts w:hint="eastAsia"/>
          <w:color w:val="auto"/>
          <w:highlight w:val="none"/>
        </w:rPr>
        <w:t>SO</w:t>
      </w:r>
      <w:r>
        <w:rPr>
          <w:rFonts w:hint="eastAsia"/>
          <w:color w:val="auto"/>
          <w:highlight w:val="none"/>
          <w:vertAlign w:val="subscript"/>
        </w:rPr>
        <w:t>4</w:t>
      </w:r>
      <w:r>
        <w:rPr>
          <w:rFonts w:hint="eastAsia"/>
          <w:color w:val="auto"/>
          <w:highlight w:val="none"/>
        </w:rPr>
        <w:t xml:space="preserve"> </w:t>
      </w:r>
      <w:r>
        <w:rPr>
          <w:rFonts w:hint="eastAsia"/>
          <w:color w:val="auto"/>
          <w:highlight w:val="none"/>
          <w:vertAlign w:val="superscript"/>
        </w:rPr>
        <w:t>2-</w:t>
      </w:r>
      <w:r>
        <w:rPr>
          <w:rFonts w:hint="eastAsia"/>
          <w:color w:val="auto"/>
          <w:highlight w:val="none"/>
          <w:lang w:eastAsia="zh-CN"/>
        </w:rPr>
        <w:t>、</w:t>
      </w:r>
      <w:r>
        <w:rPr>
          <w:rFonts w:hint="eastAsia"/>
          <w:color w:val="auto"/>
          <w:highlight w:val="none"/>
        </w:rPr>
        <w:t>氨氮</w:t>
      </w:r>
      <w:r>
        <w:rPr>
          <w:rFonts w:hint="eastAsia"/>
          <w:color w:val="auto"/>
          <w:highlight w:val="none"/>
          <w:lang w:eastAsia="zh-CN"/>
        </w:rPr>
        <w:t>、</w:t>
      </w:r>
      <w:r>
        <w:rPr>
          <w:rFonts w:hint="eastAsia"/>
          <w:color w:val="auto"/>
          <w:highlight w:val="none"/>
        </w:rPr>
        <w:t>亚硝酸盐氮</w:t>
      </w:r>
      <w:r>
        <w:rPr>
          <w:rFonts w:hint="eastAsia"/>
          <w:color w:val="auto"/>
          <w:highlight w:val="none"/>
          <w:lang w:eastAsia="zh-CN"/>
        </w:rPr>
        <w:t>、</w:t>
      </w:r>
      <w:r>
        <w:rPr>
          <w:rFonts w:hint="eastAsia"/>
          <w:color w:val="auto"/>
          <w:highlight w:val="none"/>
        </w:rPr>
        <w:t>砷</w:t>
      </w:r>
      <w:r>
        <w:rPr>
          <w:rFonts w:hint="eastAsia"/>
          <w:color w:val="auto"/>
          <w:highlight w:val="none"/>
          <w:lang w:eastAsia="zh-CN"/>
        </w:rPr>
        <w:t>、</w:t>
      </w:r>
      <w:r>
        <w:rPr>
          <w:rFonts w:hint="eastAsia"/>
          <w:color w:val="auto"/>
          <w:highlight w:val="none"/>
        </w:rPr>
        <w:t>汞</w:t>
      </w:r>
      <w:r>
        <w:rPr>
          <w:rFonts w:hint="eastAsia"/>
          <w:color w:val="auto"/>
          <w:highlight w:val="none"/>
          <w:lang w:eastAsia="zh-CN"/>
        </w:rPr>
        <w:t>、</w:t>
      </w:r>
      <w:r>
        <w:rPr>
          <w:rFonts w:hint="eastAsia"/>
          <w:color w:val="auto"/>
          <w:highlight w:val="none"/>
        </w:rPr>
        <w:t>铁</w:t>
      </w:r>
      <w:r>
        <w:rPr>
          <w:rFonts w:hint="eastAsia"/>
          <w:color w:val="auto"/>
          <w:highlight w:val="none"/>
          <w:lang w:eastAsia="zh-CN"/>
        </w:rPr>
        <w:t>、</w:t>
      </w:r>
      <w:r>
        <w:rPr>
          <w:rFonts w:hint="eastAsia"/>
          <w:color w:val="auto"/>
          <w:highlight w:val="none"/>
        </w:rPr>
        <w:t>锰</w:t>
      </w:r>
      <w:r>
        <w:rPr>
          <w:rFonts w:hint="eastAsia"/>
          <w:color w:val="auto"/>
          <w:highlight w:val="none"/>
          <w:lang w:eastAsia="zh-CN"/>
        </w:rPr>
        <w:t>、</w:t>
      </w:r>
      <w:r>
        <w:rPr>
          <w:rFonts w:hint="eastAsia"/>
          <w:color w:val="auto"/>
          <w:highlight w:val="none"/>
        </w:rPr>
        <w:t>镉</w:t>
      </w:r>
      <w:r>
        <w:rPr>
          <w:rFonts w:hint="eastAsia"/>
          <w:color w:val="auto"/>
          <w:highlight w:val="none"/>
          <w:lang w:eastAsia="zh-CN"/>
        </w:rPr>
        <w:t>、</w:t>
      </w:r>
      <w:r>
        <w:rPr>
          <w:rFonts w:hint="eastAsia"/>
          <w:color w:val="auto"/>
          <w:highlight w:val="none"/>
        </w:rPr>
        <w:t>铅</w:t>
      </w:r>
      <w:r>
        <w:rPr>
          <w:rFonts w:hint="eastAsia"/>
          <w:color w:val="auto"/>
          <w:highlight w:val="none"/>
          <w:lang w:eastAsia="zh-CN"/>
        </w:rPr>
        <w:t>、</w:t>
      </w:r>
      <w:r>
        <w:rPr>
          <w:rFonts w:hint="eastAsia"/>
          <w:color w:val="auto"/>
          <w:highlight w:val="none"/>
        </w:rPr>
        <w:t>钾</w:t>
      </w:r>
      <w:r>
        <w:rPr>
          <w:rFonts w:hint="eastAsia"/>
          <w:color w:val="auto"/>
          <w:highlight w:val="none"/>
          <w:lang w:eastAsia="zh-CN"/>
        </w:rPr>
        <w:t>、</w:t>
      </w:r>
      <w:r>
        <w:rPr>
          <w:rFonts w:hint="eastAsia"/>
          <w:color w:val="auto"/>
          <w:highlight w:val="none"/>
        </w:rPr>
        <w:t>钠</w:t>
      </w:r>
      <w:r>
        <w:rPr>
          <w:rFonts w:hint="eastAsia"/>
          <w:color w:val="auto"/>
          <w:highlight w:val="none"/>
          <w:lang w:eastAsia="zh-CN"/>
        </w:rPr>
        <w:t>、</w:t>
      </w:r>
      <w:r>
        <w:rPr>
          <w:rFonts w:hint="eastAsia"/>
          <w:color w:val="auto"/>
          <w:highlight w:val="none"/>
        </w:rPr>
        <w:t>钙</w:t>
      </w:r>
      <w:r>
        <w:rPr>
          <w:rFonts w:hint="eastAsia"/>
          <w:color w:val="auto"/>
          <w:highlight w:val="none"/>
          <w:lang w:eastAsia="zh-CN"/>
        </w:rPr>
        <w:t>、</w:t>
      </w:r>
      <w:r>
        <w:rPr>
          <w:rFonts w:hint="eastAsia"/>
          <w:color w:val="auto"/>
          <w:highlight w:val="none"/>
        </w:rPr>
        <w:t>镁</w:t>
      </w:r>
      <w:r>
        <w:rPr>
          <w:rFonts w:hint="eastAsia"/>
          <w:color w:val="auto"/>
          <w:highlight w:val="none"/>
          <w:lang w:eastAsia="zh-CN"/>
        </w:rPr>
        <w:t>、</w:t>
      </w:r>
      <w:r>
        <w:rPr>
          <w:rFonts w:hint="eastAsia"/>
          <w:color w:val="auto"/>
          <w:highlight w:val="none"/>
        </w:rPr>
        <w:t>铬（六价）</w:t>
      </w:r>
      <w:r>
        <w:rPr>
          <w:rFonts w:hint="eastAsia"/>
          <w:color w:val="auto"/>
          <w:highlight w:val="none"/>
          <w:lang w:eastAsia="zh-CN"/>
        </w:rPr>
        <w:t>、</w:t>
      </w:r>
      <w:r>
        <w:rPr>
          <w:rFonts w:hint="eastAsia"/>
          <w:color w:val="auto"/>
          <w:highlight w:val="none"/>
        </w:rPr>
        <w:t>氰化物</w:t>
      </w:r>
      <w:r>
        <w:rPr>
          <w:rFonts w:hint="eastAsia"/>
          <w:color w:val="auto"/>
          <w:highlight w:val="none"/>
          <w:lang w:eastAsia="zh-CN"/>
        </w:rPr>
        <w:t>、</w:t>
      </w:r>
      <w:r>
        <w:rPr>
          <w:rFonts w:hint="eastAsia"/>
          <w:color w:val="auto"/>
          <w:highlight w:val="none"/>
        </w:rPr>
        <w:t>硝酸盐氮</w:t>
      </w:r>
      <w:r>
        <w:rPr>
          <w:rFonts w:hint="eastAsia"/>
          <w:color w:val="auto"/>
          <w:highlight w:val="none"/>
          <w:lang w:eastAsia="zh-CN"/>
        </w:rPr>
        <w:t>、</w:t>
      </w:r>
      <w:r>
        <w:rPr>
          <w:rFonts w:hint="eastAsia"/>
          <w:color w:val="auto"/>
          <w:highlight w:val="none"/>
        </w:rPr>
        <w:t>挥发酚</w:t>
      </w:r>
      <w:r>
        <w:rPr>
          <w:rFonts w:hint="eastAsia"/>
          <w:color w:val="auto"/>
          <w:highlight w:val="none"/>
          <w:lang w:eastAsia="zh-CN"/>
        </w:rPr>
        <w:t>、</w:t>
      </w:r>
      <w:r>
        <w:rPr>
          <w:rFonts w:hint="eastAsia"/>
          <w:color w:val="auto"/>
          <w:highlight w:val="none"/>
        </w:rPr>
        <w:t>高锰酸盐指数</w:t>
      </w:r>
      <w:r>
        <w:rPr>
          <w:rFonts w:hint="eastAsia"/>
          <w:color w:val="auto"/>
          <w:highlight w:val="none"/>
          <w:lang w:eastAsia="zh-CN"/>
        </w:rPr>
        <w:t>、</w:t>
      </w:r>
      <w:r>
        <w:rPr>
          <w:rFonts w:hint="eastAsia"/>
          <w:color w:val="auto"/>
          <w:highlight w:val="none"/>
        </w:rPr>
        <w:t>溶解性总固体</w:t>
      </w:r>
      <w:r>
        <w:rPr>
          <w:rFonts w:hint="eastAsia"/>
          <w:color w:val="auto"/>
          <w:highlight w:val="none"/>
          <w:lang w:eastAsia="zh-CN"/>
        </w:rPr>
        <w:t>、</w:t>
      </w:r>
      <w:r>
        <w:rPr>
          <w:rFonts w:hint="eastAsia"/>
          <w:color w:val="auto"/>
          <w:highlight w:val="none"/>
        </w:rPr>
        <w:t>总大肠菌群</w:t>
      </w:r>
      <w:r>
        <w:rPr>
          <w:rFonts w:hint="eastAsia"/>
          <w:color w:val="auto"/>
          <w:highlight w:val="none"/>
          <w:lang w:eastAsia="zh-CN"/>
        </w:rPr>
        <w:t>、</w:t>
      </w:r>
      <w:r>
        <w:rPr>
          <w:rFonts w:hint="eastAsia"/>
          <w:color w:val="auto"/>
          <w:highlight w:val="none"/>
        </w:rPr>
        <w:t>总硬度</w:t>
      </w:r>
      <w:r>
        <w:rPr>
          <w:rFonts w:hint="eastAsia"/>
          <w:color w:val="auto"/>
          <w:highlight w:val="none"/>
          <w:lang w:eastAsia="zh-CN"/>
        </w:rPr>
        <w:t>、</w:t>
      </w:r>
      <w:r>
        <w:rPr>
          <w:rFonts w:hint="eastAsia"/>
          <w:color w:val="auto"/>
          <w:highlight w:val="none"/>
        </w:rPr>
        <w:t>菌落总数</w:t>
      </w:r>
      <w:r>
        <w:rPr>
          <w:rFonts w:hint="eastAsia"/>
          <w:color w:val="auto"/>
          <w:highlight w:val="none"/>
          <w:lang w:eastAsia="zh-CN"/>
        </w:rPr>
        <w:t>、碳酸盐（CO</w:t>
      </w:r>
      <w:r>
        <w:rPr>
          <w:rFonts w:hint="eastAsia"/>
          <w:color w:val="auto"/>
          <w:highlight w:val="none"/>
          <w:vertAlign w:val="subscript"/>
          <w:lang w:eastAsia="zh-CN"/>
        </w:rPr>
        <w:t>3</w:t>
      </w:r>
      <w:r>
        <w:rPr>
          <w:rFonts w:hint="eastAsia"/>
          <w:color w:val="auto"/>
          <w:highlight w:val="none"/>
          <w:vertAlign w:val="superscript"/>
          <w:lang w:eastAsia="zh-CN"/>
        </w:rPr>
        <w:t>2-</w:t>
      </w:r>
      <w:r>
        <w:rPr>
          <w:rFonts w:hint="eastAsia"/>
          <w:color w:val="auto"/>
          <w:highlight w:val="none"/>
          <w:lang w:eastAsia="zh-CN"/>
        </w:rPr>
        <w:t>）、重碳酸盐碱度（以CaCO</w:t>
      </w:r>
      <w:r>
        <w:rPr>
          <w:rFonts w:hint="eastAsia"/>
          <w:color w:val="auto"/>
          <w:highlight w:val="none"/>
          <w:vertAlign w:val="subscript"/>
          <w:lang w:eastAsia="zh-CN"/>
        </w:rPr>
        <w:t>3</w:t>
      </w:r>
      <w:r>
        <w:rPr>
          <w:rFonts w:hint="eastAsia"/>
          <w:color w:val="auto"/>
          <w:highlight w:val="none"/>
          <w:lang w:eastAsia="zh-CN"/>
        </w:rPr>
        <w:t>计）。</w:t>
      </w:r>
    </w:p>
    <w:p w14:paraId="500BA458">
      <w:pPr>
        <w:ind w:firstLine="480"/>
        <w:rPr>
          <w:color w:val="auto"/>
          <w:szCs w:val="22"/>
          <w:highlight w:val="none"/>
        </w:rPr>
      </w:pPr>
      <w:r>
        <w:rPr>
          <w:rFonts w:hint="eastAsia"/>
          <w:color w:val="auto"/>
          <w:szCs w:val="22"/>
          <w:highlight w:val="none"/>
          <w:lang w:val="en-US" w:eastAsia="zh-CN"/>
        </w:rPr>
        <w:t>2</w:t>
      </w:r>
      <w:r>
        <w:rPr>
          <w:rFonts w:hint="eastAsia"/>
          <w:color w:val="auto"/>
          <w:szCs w:val="22"/>
          <w:highlight w:val="none"/>
        </w:rPr>
        <w:t>、监测分析方法</w:t>
      </w:r>
    </w:p>
    <w:p w14:paraId="37A93C61">
      <w:pPr>
        <w:ind w:firstLine="480"/>
        <w:rPr>
          <w:rFonts w:hint="eastAsia"/>
          <w:color w:val="auto"/>
          <w:highlight w:val="none"/>
          <w:lang w:val="en-US" w:eastAsia="zh-CN"/>
        </w:rPr>
      </w:pPr>
      <w:r>
        <w:rPr>
          <w:rFonts w:hint="eastAsia"/>
          <w:color w:val="auto"/>
          <w:highlight w:val="none"/>
        </w:rPr>
        <w:t>样品的采集、保存及分析均按照相关的标准及规范进行，各水质监测项目的分析方法见表4.3-</w:t>
      </w:r>
      <w:r>
        <w:rPr>
          <w:rFonts w:hint="eastAsia"/>
          <w:color w:val="auto"/>
          <w:highlight w:val="none"/>
          <w:lang w:val="en-US" w:eastAsia="zh-CN"/>
        </w:rPr>
        <w:t>5。</w:t>
      </w:r>
    </w:p>
    <w:p w14:paraId="708F776C">
      <w:pPr>
        <w:ind w:firstLine="480"/>
        <w:jc w:val="center"/>
        <w:rPr>
          <w:b/>
          <w:bCs/>
          <w:color w:val="auto"/>
          <w:highlight w:val="none"/>
        </w:rPr>
      </w:pPr>
      <w:r>
        <w:rPr>
          <w:rFonts w:hint="eastAsia"/>
          <w:b/>
          <w:bCs/>
          <w:color w:val="auto"/>
          <w:highlight w:val="none"/>
        </w:rPr>
        <w:t>表4.3-</w:t>
      </w:r>
      <w:r>
        <w:rPr>
          <w:rFonts w:hint="eastAsia"/>
          <w:b/>
          <w:bCs/>
          <w:color w:val="auto"/>
          <w:highlight w:val="none"/>
          <w:lang w:val="en-US" w:eastAsia="zh-CN"/>
        </w:rPr>
        <w:t>5</w:t>
      </w:r>
      <w:r>
        <w:rPr>
          <w:b/>
          <w:bCs/>
          <w:color w:val="auto"/>
          <w:highlight w:val="none"/>
        </w:rPr>
        <w:t xml:space="preserve">  </w:t>
      </w:r>
      <w:r>
        <w:rPr>
          <w:rFonts w:hint="eastAsia"/>
          <w:b/>
          <w:bCs/>
          <w:color w:val="auto"/>
          <w:highlight w:val="none"/>
        </w:rPr>
        <w:t>地下水监测分析方法及依据</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490"/>
        <w:gridCol w:w="1431"/>
        <w:gridCol w:w="5330"/>
        <w:gridCol w:w="1262"/>
      </w:tblGrid>
      <w:tr w14:paraId="022A4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0" w:type="auto"/>
            <w:tcBorders>
              <w:tl2br w:val="nil"/>
              <w:tr2bl w:val="nil"/>
            </w:tcBorders>
            <w:noWrap w:val="0"/>
            <w:vAlign w:val="center"/>
          </w:tcPr>
          <w:p w14:paraId="05F86E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rPr>
              <w:t>序号</w:t>
            </w:r>
          </w:p>
        </w:tc>
        <w:tc>
          <w:tcPr>
            <w:tcW w:w="0" w:type="auto"/>
            <w:gridSpan w:val="2"/>
            <w:tcBorders>
              <w:tl2br w:val="nil"/>
              <w:tr2bl w:val="nil"/>
            </w:tcBorders>
            <w:noWrap w:val="0"/>
            <w:vAlign w:val="center"/>
          </w:tcPr>
          <w:p w14:paraId="7D8E27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eastAsia="zh-CN"/>
              </w:rPr>
              <w:t>检测</w:t>
            </w:r>
            <w:r>
              <w:rPr>
                <w:rFonts w:hint="default" w:ascii="Times New Roman" w:hAnsi="宋体" w:eastAsia="宋体" w:cs="Times New Roman"/>
                <w:color w:val="auto"/>
                <w:sz w:val="21"/>
                <w:szCs w:val="21"/>
                <w:highlight w:val="none"/>
              </w:rPr>
              <w:t>项目</w:t>
            </w:r>
          </w:p>
        </w:tc>
        <w:tc>
          <w:tcPr>
            <w:tcW w:w="0" w:type="auto"/>
            <w:tcBorders>
              <w:tl2br w:val="nil"/>
              <w:tr2bl w:val="nil"/>
            </w:tcBorders>
            <w:noWrap w:val="0"/>
            <w:vAlign w:val="center"/>
          </w:tcPr>
          <w:p w14:paraId="099EE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rPr>
              <w:t>分析方法及标准代号</w:t>
            </w:r>
          </w:p>
        </w:tc>
        <w:tc>
          <w:tcPr>
            <w:tcW w:w="0" w:type="auto"/>
            <w:tcBorders>
              <w:tl2br w:val="nil"/>
              <w:tr2bl w:val="nil"/>
            </w:tcBorders>
            <w:noWrap w:val="0"/>
            <w:vAlign w:val="center"/>
          </w:tcPr>
          <w:p w14:paraId="513731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rPr>
              <w:t>检出限</w:t>
            </w:r>
          </w:p>
        </w:tc>
      </w:tr>
      <w:tr w14:paraId="52A3F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4FEDE9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w:t>
            </w:r>
          </w:p>
        </w:tc>
        <w:tc>
          <w:tcPr>
            <w:tcW w:w="0" w:type="auto"/>
            <w:gridSpan w:val="2"/>
            <w:tcBorders>
              <w:tl2br w:val="nil"/>
              <w:tr2bl w:val="nil"/>
            </w:tcBorders>
            <w:noWrap w:val="0"/>
            <w:vAlign w:val="center"/>
          </w:tcPr>
          <w:p w14:paraId="3D0C85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pH</w:t>
            </w:r>
          </w:p>
        </w:tc>
        <w:tc>
          <w:tcPr>
            <w:tcW w:w="0" w:type="auto"/>
            <w:tcBorders>
              <w:tl2br w:val="nil"/>
              <w:tr2bl w:val="nil"/>
            </w:tcBorders>
            <w:noWrap w:val="0"/>
            <w:vAlign w:val="center"/>
          </w:tcPr>
          <w:p w14:paraId="36C1BD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 xml:space="preserve">《水质 pH值的测定 电极法》  </w:t>
            </w:r>
            <w:r>
              <w:rPr>
                <w:rFonts w:hint="eastAsia" w:ascii="Times New Roman" w:hAnsi="宋体" w:eastAsia="宋体" w:cs="Times New Roman"/>
                <w:color w:val="auto"/>
                <w:sz w:val="21"/>
                <w:szCs w:val="21"/>
                <w:highlight w:val="none"/>
                <w:lang w:val="en-US" w:eastAsia="zh-CN"/>
              </w:rPr>
              <w:t>HJ1147-2020</w:t>
            </w:r>
          </w:p>
        </w:tc>
        <w:tc>
          <w:tcPr>
            <w:tcW w:w="0" w:type="auto"/>
            <w:tcBorders>
              <w:tl2br w:val="nil"/>
              <w:tr2bl w:val="nil"/>
            </w:tcBorders>
            <w:noWrap w:val="0"/>
            <w:vAlign w:val="center"/>
          </w:tcPr>
          <w:p w14:paraId="67860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r>
      <w:tr w14:paraId="39023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3D47E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w:t>
            </w:r>
          </w:p>
        </w:tc>
        <w:tc>
          <w:tcPr>
            <w:tcW w:w="0" w:type="auto"/>
            <w:gridSpan w:val="2"/>
            <w:tcBorders>
              <w:tl2br w:val="nil"/>
              <w:tr2bl w:val="nil"/>
            </w:tcBorders>
            <w:noWrap w:val="0"/>
            <w:vAlign w:val="center"/>
          </w:tcPr>
          <w:p w14:paraId="06202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硫酸盐</w:t>
            </w:r>
          </w:p>
        </w:tc>
        <w:tc>
          <w:tcPr>
            <w:tcW w:w="0" w:type="auto"/>
            <w:vMerge w:val="restart"/>
            <w:tcBorders>
              <w:tl2br w:val="nil"/>
              <w:tr2bl w:val="nil"/>
            </w:tcBorders>
            <w:noWrap w:val="0"/>
            <w:vAlign w:val="center"/>
          </w:tcPr>
          <w:p w14:paraId="165CE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 xml:space="preserve">《无机阴离子（F </w:t>
            </w:r>
            <w:r>
              <w:rPr>
                <w:rFonts w:hint="default" w:ascii="Times New Roman" w:hAnsi="宋体" w:eastAsia="宋体" w:cs="Times New Roman"/>
                <w:color w:val="auto"/>
                <w:sz w:val="21"/>
                <w:szCs w:val="21"/>
                <w:highlight w:val="none"/>
                <w:vertAlign w:val="superscript"/>
                <w:lang w:val="en-US" w:eastAsia="zh-CN"/>
              </w:rPr>
              <w:t>-</w:t>
            </w:r>
            <w:r>
              <w:rPr>
                <w:rFonts w:hint="default" w:ascii="Times New Roman" w:hAnsi="宋体" w:eastAsia="宋体" w:cs="Times New Roman"/>
                <w:color w:val="auto"/>
                <w:sz w:val="21"/>
                <w:szCs w:val="21"/>
                <w:highlight w:val="none"/>
                <w:lang w:val="en-US" w:eastAsia="zh-CN"/>
              </w:rPr>
              <w:t>、Cl</w:t>
            </w:r>
            <w:r>
              <w:rPr>
                <w:rFonts w:hint="default" w:ascii="Times New Roman" w:hAnsi="宋体" w:eastAsia="宋体" w:cs="Times New Roman"/>
                <w:color w:val="auto"/>
                <w:sz w:val="21"/>
                <w:szCs w:val="21"/>
                <w:highlight w:val="none"/>
                <w:vertAlign w:val="superscript"/>
                <w:lang w:val="en-US" w:eastAsia="zh-CN"/>
              </w:rPr>
              <w:t>-</w:t>
            </w:r>
            <w:r>
              <w:rPr>
                <w:rFonts w:hint="default" w:ascii="Times New Roman" w:hAnsi="宋体" w:eastAsia="宋体" w:cs="Times New Roman"/>
                <w:color w:val="auto"/>
                <w:sz w:val="21"/>
                <w:szCs w:val="21"/>
                <w:highlight w:val="none"/>
                <w:lang w:val="en-US" w:eastAsia="zh-CN"/>
              </w:rPr>
              <w:t>、NO</w:t>
            </w:r>
            <w:r>
              <w:rPr>
                <w:rFonts w:hint="default" w:ascii="Times New Roman" w:hAnsi="宋体" w:eastAsia="宋体" w:cs="Times New Roman"/>
                <w:color w:val="auto"/>
                <w:sz w:val="21"/>
                <w:szCs w:val="21"/>
                <w:highlight w:val="none"/>
                <w:vertAlign w:val="subscript"/>
                <w:lang w:val="en-US" w:eastAsia="zh-CN"/>
              </w:rPr>
              <w:t>2</w:t>
            </w:r>
            <w:r>
              <w:rPr>
                <w:rFonts w:hint="default" w:ascii="Times New Roman" w:hAnsi="宋体" w:eastAsia="宋体" w:cs="Times New Roman"/>
                <w:color w:val="auto"/>
                <w:sz w:val="21"/>
                <w:szCs w:val="21"/>
                <w:highlight w:val="none"/>
                <w:vertAlign w:val="superscript"/>
                <w:lang w:val="en-US" w:eastAsia="zh-CN"/>
              </w:rPr>
              <w:t xml:space="preserve"> -</w:t>
            </w:r>
            <w:r>
              <w:rPr>
                <w:rFonts w:hint="default" w:ascii="Times New Roman" w:hAnsi="宋体" w:eastAsia="宋体" w:cs="Times New Roman"/>
                <w:color w:val="auto"/>
                <w:sz w:val="21"/>
                <w:szCs w:val="21"/>
                <w:highlight w:val="none"/>
                <w:lang w:val="en-US" w:eastAsia="zh-CN"/>
              </w:rPr>
              <w:t>、Br</w:t>
            </w:r>
            <w:r>
              <w:rPr>
                <w:rFonts w:hint="default" w:ascii="Times New Roman" w:hAnsi="宋体" w:eastAsia="宋体" w:cs="Times New Roman"/>
                <w:color w:val="auto"/>
                <w:sz w:val="21"/>
                <w:szCs w:val="21"/>
                <w:highlight w:val="none"/>
                <w:vertAlign w:val="superscript"/>
                <w:lang w:val="en-US" w:eastAsia="zh-CN"/>
              </w:rPr>
              <w:t>-</w:t>
            </w:r>
            <w:r>
              <w:rPr>
                <w:rFonts w:hint="default" w:ascii="Times New Roman" w:hAnsi="宋体" w:eastAsia="宋体" w:cs="Times New Roman"/>
                <w:color w:val="auto"/>
                <w:sz w:val="21"/>
                <w:szCs w:val="21"/>
                <w:highlight w:val="none"/>
                <w:lang w:val="en-US" w:eastAsia="zh-CN"/>
              </w:rPr>
              <w:t>、NO</w:t>
            </w:r>
            <w:r>
              <w:rPr>
                <w:rFonts w:hint="default" w:ascii="Times New Roman" w:hAnsi="宋体" w:eastAsia="宋体" w:cs="Times New Roman"/>
                <w:color w:val="auto"/>
                <w:sz w:val="21"/>
                <w:szCs w:val="21"/>
                <w:highlight w:val="none"/>
                <w:vertAlign w:val="subscript"/>
                <w:lang w:val="en-US" w:eastAsia="zh-CN"/>
              </w:rPr>
              <w:t>3</w:t>
            </w:r>
            <w:r>
              <w:rPr>
                <w:rFonts w:hint="default" w:ascii="Times New Roman" w:hAnsi="宋体" w:eastAsia="宋体" w:cs="Times New Roman"/>
                <w:color w:val="auto"/>
                <w:sz w:val="21"/>
                <w:szCs w:val="21"/>
                <w:highlight w:val="none"/>
                <w:vertAlign w:val="superscript"/>
                <w:lang w:val="en-US" w:eastAsia="zh-CN"/>
              </w:rPr>
              <w:t xml:space="preserve"> -</w:t>
            </w:r>
            <w:r>
              <w:rPr>
                <w:rFonts w:hint="default" w:ascii="Times New Roman" w:hAnsi="宋体" w:eastAsia="宋体" w:cs="Times New Roman"/>
                <w:color w:val="auto"/>
                <w:sz w:val="21"/>
                <w:szCs w:val="21"/>
                <w:highlight w:val="none"/>
                <w:lang w:val="en-US" w:eastAsia="zh-CN"/>
              </w:rPr>
              <w:t>、PO</w:t>
            </w:r>
            <w:r>
              <w:rPr>
                <w:rFonts w:hint="default" w:ascii="Times New Roman" w:hAnsi="宋体" w:eastAsia="宋体" w:cs="Times New Roman"/>
                <w:color w:val="auto"/>
                <w:sz w:val="21"/>
                <w:szCs w:val="21"/>
                <w:highlight w:val="none"/>
                <w:vertAlign w:val="subscript"/>
                <w:lang w:val="en-US" w:eastAsia="zh-CN"/>
              </w:rPr>
              <w:t>4</w:t>
            </w:r>
            <w:r>
              <w:rPr>
                <w:rFonts w:hint="default" w:ascii="Times New Roman" w:hAnsi="宋体" w:eastAsia="宋体" w:cs="Times New Roman"/>
                <w:color w:val="auto"/>
                <w:sz w:val="21"/>
                <w:szCs w:val="21"/>
                <w:highlight w:val="none"/>
                <w:lang w:val="en-US" w:eastAsia="zh-CN"/>
              </w:rPr>
              <w:t xml:space="preserve"> </w:t>
            </w:r>
            <w:r>
              <w:rPr>
                <w:rFonts w:hint="default" w:ascii="Times New Roman" w:hAnsi="宋体" w:eastAsia="宋体" w:cs="Times New Roman"/>
                <w:color w:val="auto"/>
                <w:sz w:val="21"/>
                <w:szCs w:val="21"/>
                <w:highlight w:val="none"/>
                <w:vertAlign w:val="superscript"/>
                <w:lang w:val="en-US" w:eastAsia="zh-CN"/>
              </w:rPr>
              <w:t>3-</w:t>
            </w:r>
            <w:r>
              <w:rPr>
                <w:rFonts w:hint="default" w:ascii="Times New Roman" w:hAnsi="宋体" w:eastAsia="宋体" w:cs="Times New Roman"/>
                <w:color w:val="auto"/>
                <w:sz w:val="21"/>
                <w:szCs w:val="21"/>
                <w:highlight w:val="none"/>
                <w:lang w:val="en-US" w:eastAsia="zh-CN"/>
              </w:rPr>
              <w:t>、SO</w:t>
            </w:r>
            <w:r>
              <w:rPr>
                <w:rFonts w:hint="default" w:ascii="Times New Roman" w:hAnsi="宋体" w:eastAsia="宋体" w:cs="Times New Roman"/>
                <w:color w:val="auto"/>
                <w:sz w:val="21"/>
                <w:szCs w:val="21"/>
                <w:highlight w:val="none"/>
                <w:vertAlign w:val="subscript"/>
                <w:lang w:val="en-US" w:eastAsia="zh-CN"/>
              </w:rPr>
              <w:t>3</w:t>
            </w:r>
            <w:r>
              <w:rPr>
                <w:rFonts w:hint="default" w:ascii="Times New Roman" w:hAnsi="宋体" w:eastAsia="宋体" w:cs="Times New Roman"/>
                <w:color w:val="auto"/>
                <w:sz w:val="21"/>
                <w:szCs w:val="21"/>
                <w:highlight w:val="none"/>
                <w:lang w:val="en-US" w:eastAsia="zh-CN"/>
              </w:rPr>
              <w:t xml:space="preserve"> </w:t>
            </w:r>
            <w:r>
              <w:rPr>
                <w:rFonts w:hint="default" w:ascii="Times New Roman" w:hAnsi="宋体" w:eastAsia="宋体" w:cs="Times New Roman"/>
                <w:color w:val="auto"/>
                <w:sz w:val="21"/>
                <w:szCs w:val="21"/>
                <w:highlight w:val="none"/>
                <w:vertAlign w:val="superscript"/>
                <w:lang w:val="en-US" w:eastAsia="zh-CN"/>
              </w:rPr>
              <w:t>2-</w:t>
            </w:r>
            <w:r>
              <w:rPr>
                <w:rFonts w:hint="default" w:ascii="Times New Roman" w:hAnsi="宋体" w:eastAsia="宋体" w:cs="Times New Roman"/>
                <w:color w:val="auto"/>
                <w:sz w:val="21"/>
                <w:szCs w:val="21"/>
                <w:highlight w:val="none"/>
                <w:lang w:val="en-US" w:eastAsia="zh-CN"/>
              </w:rPr>
              <w:t>、SO</w:t>
            </w:r>
            <w:r>
              <w:rPr>
                <w:rFonts w:hint="default" w:ascii="Times New Roman" w:hAnsi="宋体" w:eastAsia="宋体" w:cs="Times New Roman"/>
                <w:color w:val="auto"/>
                <w:sz w:val="21"/>
                <w:szCs w:val="21"/>
                <w:highlight w:val="none"/>
                <w:vertAlign w:val="subscript"/>
                <w:lang w:val="en-US" w:eastAsia="zh-CN"/>
              </w:rPr>
              <w:t>4</w:t>
            </w:r>
            <w:r>
              <w:rPr>
                <w:rFonts w:hint="default" w:ascii="Times New Roman" w:hAnsi="宋体" w:eastAsia="宋体" w:cs="Times New Roman"/>
                <w:color w:val="auto"/>
                <w:sz w:val="21"/>
                <w:szCs w:val="21"/>
                <w:highlight w:val="none"/>
                <w:vertAlign w:val="superscript"/>
                <w:lang w:val="en-US" w:eastAsia="zh-CN"/>
              </w:rPr>
              <w:t xml:space="preserve"> 2-</w:t>
            </w:r>
            <w:r>
              <w:rPr>
                <w:rFonts w:hint="default" w:ascii="Times New Roman" w:hAnsi="宋体" w:eastAsia="宋体" w:cs="Times New Roman"/>
                <w:color w:val="auto"/>
                <w:sz w:val="21"/>
                <w:szCs w:val="21"/>
                <w:highlight w:val="none"/>
                <w:lang w:val="en-US" w:eastAsia="zh-CN"/>
              </w:rPr>
              <w:t>）的测定 离子色谱法》（HJ 84-2016）</w:t>
            </w:r>
          </w:p>
        </w:tc>
        <w:tc>
          <w:tcPr>
            <w:tcW w:w="0" w:type="auto"/>
            <w:tcBorders>
              <w:tl2br w:val="nil"/>
              <w:tr2bl w:val="nil"/>
            </w:tcBorders>
            <w:noWrap w:val="0"/>
            <w:vAlign w:val="center"/>
          </w:tcPr>
          <w:p w14:paraId="1A52B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0.018mg/L</w:t>
            </w:r>
          </w:p>
        </w:tc>
      </w:tr>
      <w:tr w14:paraId="37A87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0C593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w:t>
            </w:r>
          </w:p>
        </w:tc>
        <w:tc>
          <w:tcPr>
            <w:tcW w:w="0" w:type="auto"/>
            <w:gridSpan w:val="2"/>
            <w:tcBorders>
              <w:tl2br w:val="nil"/>
              <w:tr2bl w:val="nil"/>
            </w:tcBorders>
            <w:noWrap w:val="0"/>
            <w:vAlign w:val="center"/>
          </w:tcPr>
          <w:p w14:paraId="55272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SO</w:t>
            </w:r>
            <w:r>
              <w:rPr>
                <w:rFonts w:hint="default" w:ascii="Times New Roman" w:hAnsi="宋体" w:eastAsia="宋体" w:cs="Times New Roman"/>
                <w:color w:val="auto"/>
                <w:sz w:val="21"/>
                <w:szCs w:val="21"/>
                <w:highlight w:val="none"/>
                <w:vertAlign w:val="subscript"/>
                <w:lang w:val="en-US" w:eastAsia="zh-CN"/>
              </w:rPr>
              <w:t>4</w:t>
            </w:r>
            <w:r>
              <w:rPr>
                <w:rFonts w:hint="default" w:ascii="Times New Roman" w:hAnsi="宋体" w:eastAsia="宋体" w:cs="Times New Roman"/>
                <w:color w:val="auto"/>
                <w:sz w:val="21"/>
                <w:szCs w:val="21"/>
                <w:highlight w:val="none"/>
                <w:lang w:val="en-US" w:eastAsia="zh-CN"/>
              </w:rPr>
              <w:t xml:space="preserve"> </w:t>
            </w:r>
            <w:r>
              <w:rPr>
                <w:rFonts w:hint="default" w:ascii="Times New Roman" w:hAnsi="宋体" w:eastAsia="宋体" w:cs="Times New Roman"/>
                <w:color w:val="auto"/>
                <w:sz w:val="21"/>
                <w:szCs w:val="21"/>
                <w:highlight w:val="none"/>
                <w:vertAlign w:val="superscript"/>
                <w:lang w:val="en-US" w:eastAsia="zh-CN"/>
              </w:rPr>
              <w:t>2-</w:t>
            </w:r>
          </w:p>
        </w:tc>
        <w:tc>
          <w:tcPr>
            <w:tcW w:w="0" w:type="auto"/>
            <w:vMerge w:val="continue"/>
            <w:tcBorders>
              <w:tl2br w:val="nil"/>
              <w:tr2bl w:val="nil"/>
            </w:tcBorders>
            <w:noWrap w:val="0"/>
            <w:vAlign w:val="center"/>
          </w:tcPr>
          <w:p w14:paraId="429CA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18E2F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0.018mg/L</w:t>
            </w:r>
          </w:p>
        </w:tc>
      </w:tr>
      <w:tr w14:paraId="376B3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5E1E6D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w:t>
            </w:r>
          </w:p>
        </w:tc>
        <w:tc>
          <w:tcPr>
            <w:tcW w:w="0" w:type="auto"/>
            <w:gridSpan w:val="2"/>
            <w:tcBorders>
              <w:tl2br w:val="nil"/>
              <w:tr2bl w:val="nil"/>
            </w:tcBorders>
            <w:noWrap w:val="0"/>
            <w:vAlign w:val="center"/>
          </w:tcPr>
          <w:p w14:paraId="5357E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氯化物</w:t>
            </w:r>
          </w:p>
        </w:tc>
        <w:tc>
          <w:tcPr>
            <w:tcW w:w="0" w:type="auto"/>
            <w:vMerge w:val="continue"/>
            <w:tcBorders>
              <w:tl2br w:val="nil"/>
              <w:tr2bl w:val="nil"/>
            </w:tcBorders>
            <w:noWrap w:val="0"/>
            <w:vAlign w:val="center"/>
          </w:tcPr>
          <w:p w14:paraId="4A1E6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3628B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0.007mg/L</w:t>
            </w:r>
          </w:p>
        </w:tc>
      </w:tr>
      <w:tr w14:paraId="248A7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578CB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w:t>
            </w:r>
          </w:p>
        </w:tc>
        <w:tc>
          <w:tcPr>
            <w:tcW w:w="0" w:type="auto"/>
            <w:gridSpan w:val="2"/>
            <w:tcBorders>
              <w:tl2br w:val="nil"/>
              <w:tr2bl w:val="nil"/>
            </w:tcBorders>
            <w:noWrap w:val="0"/>
            <w:vAlign w:val="center"/>
          </w:tcPr>
          <w:p w14:paraId="547E1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Cl</w:t>
            </w:r>
            <w:r>
              <w:rPr>
                <w:rFonts w:hint="default" w:ascii="Times New Roman" w:hAnsi="宋体" w:eastAsia="宋体" w:cs="Times New Roman"/>
                <w:color w:val="auto"/>
                <w:sz w:val="21"/>
                <w:szCs w:val="21"/>
                <w:highlight w:val="none"/>
                <w:vertAlign w:val="superscript"/>
                <w:lang w:val="en-US" w:eastAsia="zh-CN"/>
              </w:rPr>
              <w:t>-</w:t>
            </w:r>
          </w:p>
        </w:tc>
        <w:tc>
          <w:tcPr>
            <w:tcW w:w="0" w:type="auto"/>
            <w:vMerge w:val="continue"/>
            <w:tcBorders>
              <w:tl2br w:val="nil"/>
              <w:tr2bl w:val="nil"/>
            </w:tcBorders>
            <w:noWrap w:val="0"/>
            <w:vAlign w:val="center"/>
          </w:tcPr>
          <w:p w14:paraId="09E139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2649C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0.007mg/L</w:t>
            </w:r>
          </w:p>
        </w:tc>
      </w:tr>
      <w:tr w14:paraId="71F60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697E3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w:t>
            </w:r>
          </w:p>
        </w:tc>
        <w:tc>
          <w:tcPr>
            <w:tcW w:w="0" w:type="auto"/>
            <w:gridSpan w:val="2"/>
            <w:tcBorders>
              <w:tl2br w:val="nil"/>
              <w:tr2bl w:val="nil"/>
            </w:tcBorders>
            <w:noWrap w:val="0"/>
            <w:vAlign w:val="center"/>
          </w:tcPr>
          <w:p w14:paraId="33F57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氟化物</w:t>
            </w:r>
          </w:p>
        </w:tc>
        <w:tc>
          <w:tcPr>
            <w:tcW w:w="0" w:type="auto"/>
            <w:vMerge w:val="continue"/>
            <w:tcBorders>
              <w:tl2br w:val="nil"/>
              <w:tr2bl w:val="nil"/>
            </w:tcBorders>
            <w:noWrap w:val="0"/>
            <w:vAlign w:val="center"/>
          </w:tcPr>
          <w:p w14:paraId="7710B5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128CD5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0.006mg/L</w:t>
            </w:r>
          </w:p>
        </w:tc>
      </w:tr>
      <w:tr w14:paraId="52BDF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29E13D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w:t>
            </w:r>
          </w:p>
        </w:tc>
        <w:tc>
          <w:tcPr>
            <w:tcW w:w="0" w:type="auto"/>
            <w:gridSpan w:val="2"/>
            <w:tcBorders>
              <w:tl2br w:val="nil"/>
              <w:tr2bl w:val="nil"/>
            </w:tcBorders>
            <w:noWrap w:val="0"/>
            <w:vAlign w:val="center"/>
          </w:tcPr>
          <w:p w14:paraId="672D9F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 xml:space="preserve">F </w:t>
            </w:r>
            <w:r>
              <w:rPr>
                <w:rFonts w:hint="default" w:ascii="Times New Roman" w:hAnsi="宋体" w:eastAsia="宋体" w:cs="Times New Roman"/>
                <w:color w:val="auto"/>
                <w:sz w:val="21"/>
                <w:szCs w:val="21"/>
                <w:highlight w:val="none"/>
                <w:vertAlign w:val="superscript"/>
                <w:lang w:val="en-US" w:eastAsia="zh-CN"/>
              </w:rPr>
              <w:t>-</w:t>
            </w:r>
          </w:p>
        </w:tc>
        <w:tc>
          <w:tcPr>
            <w:tcW w:w="0" w:type="auto"/>
            <w:vMerge w:val="continue"/>
            <w:tcBorders>
              <w:tl2br w:val="nil"/>
              <w:tr2bl w:val="nil"/>
            </w:tcBorders>
            <w:noWrap w:val="0"/>
            <w:vAlign w:val="center"/>
          </w:tcPr>
          <w:p w14:paraId="4721B9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55DD7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0.006mg/L</w:t>
            </w:r>
          </w:p>
        </w:tc>
      </w:tr>
      <w:tr w14:paraId="7DC8F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69F5E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w:t>
            </w:r>
          </w:p>
        </w:tc>
        <w:tc>
          <w:tcPr>
            <w:tcW w:w="0" w:type="auto"/>
            <w:gridSpan w:val="2"/>
            <w:tcBorders>
              <w:tl2br w:val="nil"/>
              <w:tr2bl w:val="nil"/>
            </w:tcBorders>
            <w:noWrap w:val="0"/>
            <w:vAlign w:val="center"/>
          </w:tcPr>
          <w:p w14:paraId="00AED4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氨氮</w:t>
            </w:r>
          </w:p>
        </w:tc>
        <w:tc>
          <w:tcPr>
            <w:tcW w:w="0" w:type="auto"/>
            <w:tcBorders>
              <w:tl2br w:val="nil"/>
              <w:tr2bl w:val="nil"/>
            </w:tcBorders>
            <w:noWrap w:val="0"/>
            <w:vAlign w:val="center"/>
          </w:tcPr>
          <w:p w14:paraId="137EA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《水质 氨氮的测定 纳氏试剂分光光度法》（HJ 535-2009）</w:t>
            </w:r>
          </w:p>
        </w:tc>
        <w:tc>
          <w:tcPr>
            <w:tcW w:w="0" w:type="auto"/>
            <w:tcBorders>
              <w:tl2br w:val="nil"/>
              <w:tr2bl w:val="nil"/>
            </w:tcBorders>
            <w:noWrap w:val="0"/>
            <w:vAlign w:val="center"/>
          </w:tcPr>
          <w:p w14:paraId="1C68E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0.025mg/L</w:t>
            </w:r>
          </w:p>
        </w:tc>
      </w:tr>
      <w:tr w14:paraId="3D285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4A0034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9</w:t>
            </w:r>
          </w:p>
        </w:tc>
        <w:tc>
          <w:tcPr>
            <w:tcW w:w="0" w:type="auto"/>
            <w:gridSpan w:val="2"/>
            <w:tcBorders>
              <w:tl2br w:val="nil"/>
              <w:tr2bl w:val="nil"/>
            </w:tcBorders>
            <w:noWrap w:val="0"/>
            <w:vAlign w:val="center"/>
          </w:tcPr>
          <w:p w14:paraId="0FE49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亚硝酸</w:t>
            </w:r>
          </w:p>
          <w:p w14:paraId="296B7E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盐氮</w:t>
            </w:r>
          </w:p>
        </w:tc>
        <w:tc>
          <w:tcPr>
            <w:tcW w:w="0" w:type="auto"/>
            <w:tcBorders>
              <w:tl2br w:val="nil"/>
              <w:tr2bl w:val="nil"/>
            </w:tcBorders>
            <w:noWrap w:val="0"/>
            <w:vAlign w:val="center"/>
          </w:tcPr>
          <w:p w14:paraId="38B0A6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《水质 亚硝酸盐氮的测定 分光光度法》 GB/T 7493-1987</w:t>
            </w:r>
          </w:p>
        </w:tc>
        <w:tc>
          <w:tcPr>
            <w:tcW w:w="0" w:type="auto"/>
            <w:tcBorders>
              <w:tl2br w:val="nil"/>
              <w:tr2bl w:val="nil"/>
            </w:tcBorders>
            <w:noWrap w:val="0"/>
            <w:vAlign w:val="center"/>
          </w:tcPr>
          <w:p w14:paraId="1A7B4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0.00</w:t>
            </w:r>
            <w:r>
              <w:rPr>
                <w:rFonts w:hint="eastAsia" w:ascii="Times New Roman" w:hAnsi="宋体" w:eastAsia="宋体" w:cs="Times New Roman"/>
                <w:color w:val="auto"/>
                <w:sz w:val="21"/>
                <w:szCs w:val="21"/>
                <w:highlight w:val="none"/>
                <w:lang w:val="en-US" w:eastAsia="zh-CN"/>
              </w:rPr>
              <w:t>3</w:t>
            </w:r>
            <w:r>
              <w:rPr>
                <w:rFonts w:hint="default" w:ascii="Times New Roman" w:hAnsi="宋体" w:eastAsia="宋体" w:cs="Times New Roman"/>
                <w:color w:val="auto"/>
                <w:sz w:val="21"/>
                <w:szCs w:val="21"/>
                <w:highlight w:val="none"/>
                <w:lang w:val="en-US" w:eastAsia="zh-CN"/>
              </w:rPr>
              <w:t>mg/L</w:t>
            </w:r>
          </w:p>
        </w:tc>
      </w:tr>
      <w:tr w14:paraId="3788D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58753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10</w:t>
            </w:r>
          </w:p>
        </w:tc>
        <w:tc>
          <w:tcPr>
            <w:tcW w:w="0" w:type="auto"/>
            <w:gridSpan w:val="2"/>
            <w:tcBorders>
              <w:tl2br w:val="nil"/>
              <w:tr2bl w:val="nil"/>
            </w:tcBorders>
            <w:noWrap w:val="0"/>
            <w:vAlign w:val="center"/>
          </w:tcPr>
          <w:p w14:paraId="578CD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砷</w:t>
            </w:r>
          </w:p>
        </w:tc>
        <w:tc>
          <w:tcPr>
            <w:tcW w:w="0" w:type="auto"/>
            <w:vMerge w:val="restart"/>
            <w:tcBorders>
              <w:tl2br w:val="nil"/>
              <w:tr2bl w:val="nil"/>
            </w:tcBorders>
            <w:noWrap w:val="0"/>
            <w:vAlign w:val="center"/>
          </w:tcPr>
          <w:p w14:paraId="7C1FE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《水质 汞、砷、硒、铋和锑的测定 原子荧光法》（HJ 694—2014）</w:t>
            </w:r>
          </w:p>
        </w:tc>
        <w:tc>
          <w:tcPr>
            <w:tcW w:w="0" w:type="auto"/>
            <w:tcBorders>
              <w:tl2br w:val="nil"/>
              <w:tr2bl w:val="nil"/>
            </w:tcBorders>
            <w:noWrap w:val="0"/>
            <w:vAlign w:val="center"/>
          </w:tcPr>
          <w:p w14:paraId="58FC5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0.3μg/L</w:t>
            </w:r>
          </w:p>
        </w:tc>
      </w:tr>
      <w:tr w14:paraId="33621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4664B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11</w:t>
            </w:r>
          </w:p>
        </w:tc>
        <w:tc>
          <w:tcPr>
            <w:tcW w:w="0" w:type="auto"/>
            <w:gridSpan w:val="2"/>
            <w:tcBorders>
              <w:tl2br w:val="nil"/>
              <w:tr2bl w:val="nil"/>
            </w:tcBorders>
            <w:noWrap w:val="0"/>
            <w:vAlign w:val="center"/>
          </w:tcPr>
          <w:p w14:paraId="5DA2C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汞</w:t>
            </w:r>
          </w:p>
        </w:tc>
        <w:tc>
          <w:tcPr>
            <w:tcW w:w="0" w:type="auto"/>
            <w:vMerge w:val="continue"/>
            <w:tcBorders>
              <w:tl2br w:val="nil"/>
              <w:tr2bl w:val="nil"/>
            </w:tcBorders>
            <w:noWrap w:val="0"/>
            <w:vAlign w:val="center"/>
          </w:tcPr>
          <w:p w14:paraId="4BCEF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00D299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0.04μg/L</w:t>
            </w:r>
          </w:p>
        </w:tc>
      </w:tr>
      <w:tr w14:paraId="0DABB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3DE475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12</w:t>
            </w:r>
          </w:p>
        </w:tc>
        <w:tc>
          <w:tcPr>
            <w:tcW w:w="0" w:type="auto"/>
            <w:gridSpan w:val="2"/>
            <w:tcBorders>
              <w:tl2br w:val="nil"/>
              <w:tr2bl w:val="nil"/>
            </w:tcBorders>
            <w:noWrap w:val="0"/>
            <w:vAlign w:val="center"/>
          </w:tcPr>
          <w:p w14:paraId="244A1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铁</w:t>
            </w:r>
          </w:p>
        </w:tc>
        <w:tc>
          <w:tcPr>
            <w:tcW w:w="0" w:type="auto"/>
            <w:vMerge w:val="restart"/>
            <w:tcBorders>
              <w:tl2br w:val="nil"/>
              <w:tr2bl w:val="nil"/>
            </w:tcBorders>
            <w:noWrap w:val="0"/>
            <w:vAlign w:val="center"/>
          </w:tcPr>
          <w:p w14:paraId="1B242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《水质 铁、锰的测定 火焰原子吸收分光光度法》GB/T 11911-1989</w:t>
            </w:r>
          </w:p>
        </w:tc>
        <w:tc>
          <w:tcPr>
            <w:tcW w:w="0" w:type="auto"/>
            <w:tcBorders>
              <w:tl2br w:val="nil"/>
              <w:tr2bl w:val="nil"/>
            </w:tcBorders>
            <w:noWrap w:val="0"/>
            <w:vAlign w:val="center"/>
          </w:tcPr>
          <w:p w14:paraId="2BF34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0.03mg/L</w:t>
            </w:r>
          </w:p>
        </w:tc>
      </w:tr>
      <w:tr w14:paraId="42DFF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4DF71C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13</w:t>
            </w:r>
          </w:p>
        </w:tc>
        <w:tc>
          <w:tcPr>
            <w:tcW w:w="0" w:type="auto"/>
            <w:gridSpan w:val="2"/>
            <w:tcBorders>
              <w:tl2br w:val="nil"/>
              <w:tr2bl w:val="nil"/>
            </w:tcBorders>
            <w:noWrap w:val="0"/>
            <w:vAlign w:val="center"/>
          </w:tcPr>
          <w:p w14:paraId="141A8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锰</w:t>
            </w:r>
          </w:p>
        </w:tc>
        <w:tc>
          <w:tcPr>
            <w:tcW w:w="0" w:type="auto"/>
            <w:vMerge w:val="continue"/>
            <w:tcBorders>
              <w:tl2br w:val="nil"/>
              <w:tr2bl w:val="nil"/>
            </w:tcBorders>
            <w:noWrap w:val="0"/>
            <w:vAlign w:val="center"/>
          </w:tcPr>
          <w:p w14:paraId="6B322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69AFE3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0.01mg/L</w:t>
            </w:r>
          </w:p>
        </w:tc>
      </w:tr>
      <w:tr w14:paraId="2E03B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6F9083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14</w:t>
            </w:r>
          </w:p>
        </w:tc>
        <w:tc>
          <w:tcPr>
            <w:tcW w:w="0" w:type="auto"/>
            <w:gridSpan w:val="2"/>
            <w:tcBorders>
              <w:tl2br w:val="nil"/>
              <w:tr2bl w:val="nil"/>
            </w:tcBorders>
            <w:noWrap w:val="0"/>
            <w:vAlign w:val="center"/>
          </w:tcPr>
          <w:p w14:paraId="0BE22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镉</w:t>
            </w:r>
          </w:p>
        </w:tc>
        <w:tc>
          <w:tcPr>
            <w:tcW w:w="0" w:type="auto"/>
            <w:vMerge w:val="restart"/>
            <w:tcBorders>
              <w:tl2br w:val="nil"/>
              <w:tr2bl w:val="nil"/>
            </w:tcBorders>
            <w:noWrap w:val="0"/>
            <w:vAlign w:val="center"/>
          </w:tcPr>
          <w:p w14:paraId="24D1C9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《水和废水监测分析方法》（第四版 增补版） 国家环境总局（2002年）第三篇 第四章 七、（四）石墨炉原子吸收法测铅、镉和铜</w:t>
            </w:r>
          </w:p>
        </w:tc>
        <w:tc>
          <w:tcPr>
            <w:tcW w:w="0" w:type="auto"/>
            <w:tcBorders>
              <w:tl2br w:val="nil"/>
              <w:tr2bl w:val="nil"/>
            </w:tcBorders>
            <w:noWrap w:val="0"/>
            <w:vAlign w:val="center"/>
          </w:tcPr>
          <w:p w14:paraId="078A19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w:t>
            </w:r>
            <w:r>
              <w:rPr>
                <w:rFonts w:hint="default" w:ascii="Times New Roman" w:hAnsi="宋体" w:eastAsia="宋体" w:cs="Times New Roman"/>
                <w:color w:val="auto"/>
                <w:sz w:val="21"/>
                <w:szCs w:val="21"/>
                <w:highlight w:val="none"/>
                <w:lang w:val="en-US" w:eastAsia="zh-CN"/>
              </w:rPr>
              <w:t>1μg/L</w:t>
            </w:r>
          </w:p>
        </w:tc>
      </w:tr>
      <w:tr w14:paraId="78C15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4BF1A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15</w:t>
            </w:r>
          </w:p>
        </w:tc>
        <w:tc>
          <w:tcPr>
            <w:tcW w:w="0" w:type="auto"/>
            <w:gridSpan w:val="2"/>
            <w:tcBorders>
              <w:tl2br w:val="nil"/>
              <w:tr2bl w:val="nil"/>
            </w:tcBorders>
            <w:noWrap w:val="0"/>
            <w:vAlign w:val="center"/>
          </w:tcPr>
          <w:p w14:paraId="38CA19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铅</w:t>
            </w:r>
          </w:p>
        </w:tc>
        <w:tc>
          <w:tcPr>
            <w:tcW w:w="0" w:type="auto"/>
            <w:vMerge w:val="continue"/>
            <w:tcBorders>
              <w:tl2br w:val="nil"/>
              <w:tr2bl w:val="nil"/>
            </w:tcBorders>
            <w:noWrap w:val="0"/>
            <w:vAlign w:val="center"/>
          </w:tcPr>
          <w:p w14:paraId="42BDA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060835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1μg/L</w:t>
            </w:r>
          </w:p>
        </w:tc>
      </w:tr>
      <w:tr w14:paraId="2A604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4EFA0F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16</w:t>
            </w:r>
          </w:p>
        </w:tc>
        <w:tc>
          <w:tcPr>
            <w:tcW w:w="0" w:type="auto"/>
            <w:gridSpan w:val="2"/>
            <w:tcBorders>
              <w:tl2br w:val="nil"/>
              <w:tr2bl w:val="nil"/>
            </w:tcBorders>
            <w:noWrap w:val="0"/>
            <w:vAlign w:val="center"/>
          </w:tcPr>
          <w:p w14:paraId="1D1D77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铬</w:t>
            </w: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六价</w:t>
            </w: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2CD93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《生活饮用水标准检验方法 第6部分：金属和类金属指标》（GB/T 5750.6-2023）13.1 二苯碳酰二肼分光光度法</w:t>
            </w:r>
          </w:p>
        </w:tc>
        <w:tc>
          <w:tcPr>
            <w:tcW w:w="0" w:type="auto"/>
            <w:tcBorders>
              <w:tl2br w:val="nil"/>
              <w:tr2bl w:val="nil"/>
            </w:tcBorders>
            <w:noWrap w:val="0"/>
            <w:vAlign w:val="center"/>
          </w:tcPr>
          <w:p w14:paraId="1DFA0E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0.004mg/L</w:t>
            </w:r>
          </w:p>
        </w:tc>
      </w:tr>
      <w:tr w14:paraId="16AE6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6812E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17</w:t>
            </w:r>
          </w:p>
        </w:tc>
        <w:tc>
          <w:tcPr>
            <w:tcW w:w="0" w:type="auto"/>
            <w:gridSpan w:val="2"/>
            <w:tcBorders>
              <w:tl2br w:val="nil"/>
              <w:tr2bl w:val="nil"/>
            </w:tcBorders>
            <w:noWrap w:val="0"/>
            <w:vAlign w:val="center"/>
          </w:tcPr>
          <w:p w14:paraId="2C3389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氰化物</w:t>
            </w:r>
          </w:p>
        </w:tc>
        <w:tc>
          <w:tcPr>
            <w:tcW w:w="0" w:type="auto"/>
            <w:tcBorders>
              <w:tl2br w:val="nil"/>
              <w:tr2bl w:val="nil"/>
            </w:tcBorders>
            <w:noWrap w:val="0"/>
            <w:vAlign w:val="center"/>
          </w:tcPr>
          <w:p w14:paraId="1E0BF4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《生活饮用水标准检验方法 第5部分：无机非金属指标》（GB/T 5750.5-2023）7.2 异烟酸-巴比妥酸分光光度法</w:t>
            </w:r>
          </w:p>
        </w:tc>
        <w:tc>
          <w:tcPr>
            <w:tcW w:w="0" w:type="auto"/>
            <w:tcBorders>
              <w:tl2br w:val="nil"/>
              <w:tr2bl w:val="nil"/>
            </w:tcBorders>
            <w:noWrap w:val="0"/>
            <w:vAlign w:val="center"/>
          </w:tcPr>
          <w:p w14:paraId="33C76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0.00</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 xml:space="preserve"> mg/L</w:t>
            </w:r>
          </w:p>
        </w:tc>
      </w:tr>
      <w:tr w14:paraId="6FA8A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7316B5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18</w:t>
            </w:r>
          </w:p>
        </w:tc>
        <w:tc>
          <w:tcPr>
            <w:tcW w:w="0" w:type="auto"/>
            <w:gridSpan w:val="2"/>
            <w:tcBorders>
              <w:tl2br w:val="nil"/>
              <w:tr2bl w:val="nil"/>
            </w:tcBorders>
            <w:noWrap w:val="0"/>
            <w:vAlign w:val="center"/>
          </w:tcPr>
          <w:p w14:paraId="1415D9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硝酸盐氮</w:t>
            </w:r>
          </w:p>
        </w:tc>
        <w:tc>
          <w:tcPr>
            <w:tcW w:w="0" w:type="auto"/>
            <w:tcBorders>
              <w:tl2br w:val="nil"/>
              <w:tr2bl w:val="nil"/>
            </w:tcBorders>
            <w:noWrap w:val="0"/>
            <w:vAlign w:val="center"/>
          </w:tcPr>
          <w:p w14:paraId="176038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 xml:space="preserve">《水质 硝酸盐氮的测定 </w:t>
            </w:r>
            <w:r>
              <w:rPr>
                <w:rFonts w:hint="eastAsia" w:ascii="Times New Roman" w:hAnsi="宋体" w:eastAsia="宋体" w:cs="Times New Roman"/>
                <w:color w:val="auto"/>
                <w:sz w:val="21"/>
                <w:szCs w:val="21"/>
                <w:highlight w:val="none"/>
                <w:lang w:val="en-US" w:eastAsia="zh-CN"/>
              </w:rPr>
              <w:t>紫外</w:t>
            </w:r>
            <w:r>
              <w:rPr>
                <w:rFonts w:hint="default" w:ascii="Times New Roman" w:hAnsi="宋体" w:eastAsia="宋体" w:cs="Times New Roman"/>
                <w:color w:val="auto"/>
                <w:sz w:val="21"/>
                <w:szCs w:val="21"/>
                <w:highlight w:val="none"/>
                <w:lang w:val="en-US" w:eastAsia="zh-CN"/>
              </w:rPr>
              <w:t>分光光度法</w:t>
            </w:r>
            <w:r>
              <w:rPr>
                <w:rFonts w:hint="eastAsia" w:ascii="Times New Roman" w:hAnsi="宋体" w:eastAsia="宋体" w:cs="Times New Roman"/>
                <w:color w:val="auto"/>
                <w:sz w:val="21"/>
                <w:szCs w:val="21"/>
                <w:highlight w:val="none"/>
                <w:lang w:val="en-US" w:eastAsia="zh-CN"/>
              </w:rPr>
              <w:t>(试行)</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HJ/T346</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200</w:t>
            </w:r>
            <w:r>
              <w:rPr>
                <w:rFonts w:hint="default" w:ascii="Times New Roman" w:hAnsi="宋体" w:eastAsia="宋体" w:cs="Times New Roman"/>
                <w:color w:val="auto"/>
                <w:sz w:val="21"/>
                <w:szCs w:val="21"/>
                <w:highlight w:val="none"/>
                <w:lang w:val="en-US" w:eastAsia="zh-CN"/>
              </w:rPr>
              <w:t>7）</w:t>
            </w:r>
          </w:p>
        </w:tc>
        <w:tc>
          <w:tcPr>
            <w:tcW w:w="0" w:type="auto"/>
            <w:tcBorders>
              <w:tl2br w:val="nil"/>
              <w:tr2bl w:val="nil"/>
            </w:tcBorders>
            <w:noWrap w:val="0"/>
            <w:vAlign w:val="center"/>
          </w:tcPr>
          <w:p w14:paraId="505A6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w:t>
            </w:r>
            <w:r>
              <w:rPr>
                <w:rFonts w:hint="eastAsia" w:ascii="Times New Roman" w:hAnsi="宋体" w:eastAsia="宋体" w:cs="Times New Roman"/>
                <w:color w:val="auto"/>
                <w:sz w:val="21"/>
                <w:szCs w:val="21"/>
                <w:highlight w:val="none"/>
                <w:lang w:val="en-US" w:eastAsia="zh-CN"/>
              </w:rPr>
              <w:t>8</w:t>
            </w:r>
            <w:r>
              <w:rPr>
                <w:rFonts w:hint="default" w:ascii="Times New Roman" w:hAnsi="宋体" w:eastAsia="宋体" w:cs="Times New Roman"/>
                <w:color w:val="auto"/>
                <w:sz w:val="21"/>
                <w:szCs w:val="21"/>
                <w:highlight w:val="none"/>
                <w:lang w:val="en-US" w:eastAsia="zh-CN"/>
              </w:rPr>
              <w:t>mg/L</w:t>
            </w:r>
          </w:p>
        </w:tc>
      </w:tr>
      <w:tr w14:paraId="610B7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1D6D2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19</w:t>
            </w:r>
          </w:p>
        </w:tc>
        <w:tc>
          <w:tcPr>
            <w:tcW w:w="0" w:type="auto"/>
            <w:gridSpan w:val="2"/>
            <w:tcBorders>
              <w:tl2br w:val="nil"/>
              <w:tr2bl w:val="nil"/>
            </w:tcBorders>
            <w:noWrap w:val="0"/>
            <w:vAlign w:val="center"/>
          </w:tcPr>
          <w:p w14:paraId="7CFA4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挥发酚</w:t>
            </w:r>
          </w:p>
        </w:tc>
        <w:tc>
          <w:tcPr>
            <w:tcW w:w="0" w:type="auto"/>
            <w:tcBorders>
              <w:tl2br w:val="nil"/>
              <w:tr2bl w:val="nil"/>
            </w:tcBorders>
            <w:noWrap w:val="0"/>
            <w:vAlign w:val="center"/>
          </w:tcPr>
          <w:p w14:paraId="057D71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《水质 挥发酚的测定 4-氨基安替比林分光光度法》（HJ 503-2009）萃取分光光度法</w:t>
            </w:r>
          </w:p>
        </w:tc>
        <w:tc>
          <w:tcPr>
            <w:tcW w:w="0" w:type="auto"/>
            <w:tcBorders>
              <w:tl2br w:val="nil"/>
              <w:tr2bl w:val="nil"/>
            </w:tcBorders>
            <w:noWrap w:val="0"/>
            <w:vAlign w:val="center"/>
          </w:tcPr>
          <w:p w14:paraId="48E379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w:t>
            </w:r>
            <w:r>
              <w:rPr>
                <w:rFonts w:hint="eastAsia" w:ascii="Times New Roman" w:hAnsi="宋体" w:eastAsia="宋体" w:cs="Times New Roman"/>
                <w:color w:val="auto"/>
                <w:sz w:val="21"/>
                <w:szCs w:val="21"/>
                <w:highlight w:val="none"/>
                <w:lang w:val="en-US" w:eastAsia="zh-CN"/>
              </w:rPr>
              <w:t>003</w:t>
            </w:r>
            <w:r>
              <w:rPr>
                <w:rFonts w:hint="default" w:ascii="Times New Roman" w:hAnsi="宋体" w:eastAsia="宋体" w:cs="Times New Roman"/>
                <w:color w:val="auto"/>
                <w:sz w:val="21"/>
                <w:szCs w:val="21"/>
                <w:highlight w:val="none"/>
                <w:lang w:val="en-US" w:eastAsia="zh-CN"/>
              </w:rPr>
              <w:t>mg/L</w:t>
            </w:r>
          </w:p>
        </w:tc>
      </w:tr>
      <w:tr w14:paraId="72868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59C0E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20</w:t>
            </w:r>
          </w:p>
        </w:tc>
        <w:tc>
          <w:tcPr>
            <w:tcW w:w="0" w:type="auto"/>
            <w:gridSpan w:val="2"/>
            <w:tcBorders>
              <w:tl2br w:val="nil"/>
              <w:tr2bl w:val="nil"/>
            </w:tcBorders>
            <w:noWrap w:val="0"/>
            <w:vAlign w:val="center"/>
          </w:tcPr>
          <w:p w14:paraId="165452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高锰酸盐指数</w:t>
            </w:r>
          </w:p>
        </w:tc>
        <w:tc>
          <w:tcPr>
            <w:tcW w:w="0" w:type="auto"/>
            <w:tcBorders>
              <w:tl2br w:val="nil"/>
              <w:tr2bl w:val="nil"/>
            </w:tcBorders>
            <w:noWrap w:val="0"/>
            <w:vAlign w:val="center"/>
          </w:tcPr>
          <w:p w14:paraId="1C9324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《生活饮用水标准检验方法 第7部分：有机物综合指标》（GB/T5750.7-2023）4.1 酸性高锰酸钾滴定法4.2 碱性高锰酸钾滴定法</w:t>
            </w:r>
          </w:p>
        </w:tc>
        <w:tc>
          <w:tcPr>
            <w:tcW w:w="0" w:type="auto"/>
            <w:tcBorders>
              <w:tl2br w:val="nil"/>
              <w:tr2bl w:val="nil"/>
            </w:tcBorders>
            <w:noWrap w:val="0"/>
            <w:vAlign w:val="center"/>
          </w:tcPr>
          <w:p w14:paraId="2BE7F1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w:t>
            </w:r>
            <w:r>
              <w:rPr>
                <w:rFonts w:hint="eastAsia" w:ascii="Times New Roman" w:hAnsi="宋体" w:eastAsia="宋体" w:cs="Times New Roman"/>
                <w:color w:val="auto"/>
                <w:sz w:val="21"/>
                <w:szCs w:val="21"/>
                <w:highlight w:val="none"/>
                <w:lang w:val="en-US" w:eastAsia="zh-CN"/>
              </w:rPr>
              <w:t>0</w:t>
            </w:r>
            <w:r>
              <w:rPr>
                <w:rFonts w:hint="default" w:ascii="Times New Roman" w:hAnsi="宋体" w:eastAsia="宋体" w:cs="Times New Roman"/>
                <w:color w:val="auto"/>
                <w:sz w:val="21"/>
                <w:szCs w:val="21"/>
                <w:highlight w:val="none"/>
                <w:lang w:val="en-US" w:eastAsia="zh-CN"/>
              </w:rPr>
              <w:t>5mg/L</w:t>
            </w:r>
          </w:p>
        </w:tc>
      </w:tr>
      <w:tr w14:paraId="6C04A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755E7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21</w:t>
            </w:r>
          </w:p>
        </w:tc>
        <w:tc>
          <w:tcPr>
            <w:tcW w:w="0" w:type="auto"/>
            <w:gridSpan w:val="2"/>
            <w:tcBorders>
              <w:tl2br w:val="nil"/>
              <w:tr2bl w:val="nil"/>
            </w:tcBorders>
            <w:noWrap w:val="0"/>
            <w:vAlign w:val="center"/>
          </w:tcPr>
          <w:p w14:paraId="6FBE6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溶解性总固体</w:t>
            </w:r>
          </w:p>
        </w:tc>
        <w:tc>
          <w:tcPr>
            <w:tcW w:w="0" w:type="auto"/>
            <w:tcBorders>
              <w:tl2br w:val="nil"/>
              <w:tr2bl w:val="nil"/>
            </w:tcBorders>
            <w:noWrap w:val="0"/>
            <w:vAlign w:val="center"/>
          </w:tcPr>
          <w:p w14:paraId="43824B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《生活饮用水标准检验方法 第4部分：感官性状和物理指标》GB/T 5750.4-2023/11.1 称量法</w:t>
            </w:r>
          </w:p>
        </w:tc>
        <w:tc>
          <w:tcPr>
            <w:tcW w:w="0" w:type="auto"/>
            <w:tcBorders>
              <w:tl2br w:val="nil"/>
              <w:tr2bl w:val="nil"/>
            </w:tcBorders>
            <w:noWrap w:val="0"/>
            <w:vAlign w:val="center"/>
          </w:tcPr>
          <w:p w14:paraId="7AB1E7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r w14:paraId="13F87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688FC5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22</w:t>
            </w:r>
          </w:p>
        </w:tc>
        <w:tc>
          <w:tcPr>
            <w:tcW w:w="0" w:type="auto"/>
            <w:gridSpan w:val="2"/>
            <w:tcBorders>
              <w:tl2br w:val="nil"/>
              <w:tr2bl w:val="nil"/>
            </w:tcBorders>
            <w:noWrap w:val="0"/>
            <w:vAlign w:val="center"/>
          </w:tcPr>
          <w:p w14:paraId="1F7D98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总大肠菌群</w:t>
            </w:r>
          </w:p>
        </w:tc>
        <w:tc>
          <w:tcPr>
            <w:tcW w:w="0" w:type="auto"/>
            <w:tcBorders>
              <w:tl2br w:val="nil"/>
              <w:tr2bl w:val="nil"/>
            </w:tcBorders>
            <w:noWrap w:val="0"/>
            <w:vAlign w:val="center"/>
          </w:tcPr>
          <w:p w14:paraId="2AD7AF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《生活饮用水标准检验方法 第12部分：微生物指标》（GB/T 5750.12-2023）5.2 滤膜法</w:t>
            </w:r>
          </w:p>
        </w:tc>
        <w:tc>
          <w:tcPr>
            <w:tcW w:w="0" w:type="auto"/>
            <w:tcBorders>
              <w:tl2br w:val="nil"/>
              <w:tr2bl w:val="nil"/>
            </w:tcBorders>
            <w:noWrap w:val="0"/>
            <w:vAlign w:val="center"/>
          </w:tcPr>
          <w:p w14:paraId="6DAF9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r w14:paraId="3636B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5DD17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23</w:t>
            </w:r>
          </w:p>
        </w:tc>
        <w:tc>
          <w:tcPr>
            <w:tcW w:w="0" w:type="auto"/>
            <w:gridSpan w:val="2"/>
            <w:tcBorders>
              <w:tl2br w:val="nil"/>
              <w:tr2bl w:val="nil"/>
            </w:tcBorders>
            <w:noWrap w:val="0"/>
            <w:vAlign w:val="center"/>
          </w:tcPr>
          <w:p w14:paraId="5AC01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钠</w:t>
            </w:r>
          </w:p>
        </w:tc>
        <w:tc>
          <w:tcPr>
            <w:tcW w:w="0" w:type="auto"/>
            <w:vMerge w:val="restart"/>
            <w:tcBorders>
              <w:tl2br w:val="nil"/>
              <w:tr2bl w:val="nil"/>
            </w:tcBorders>
            <w:noWrap w:val="0"/>
            <w:vAlign w:val="center"/>
          </w:tcPr>
          <w:p w14:paraId="25C7E5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《水质 钾和钠的测定 火焰原子吸收分光光度法》GB/T 11904-1989</w:t>
            </w:r>
          </w:p>
        </w:tc>
        <w:tc>
          <w:tcPr>
            <w:tcW w:w="0" w:type="auto"/>
            <w:tcBorders>
              <w:tl2br w:val="nil"/>
              <w:tr2bl w:val="nil"/>
            </w:tcBorders>
            <w:noWrap w:val="0"/>
            <w:vAlign w:val="center"/>
          </w:tcPr>
          <w:p w14:paraId="4F529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w:t>
            </w:r>
            <w:r>
              <w:rPr>
                <w:rFonts w:hint="eastAsia" w:ascii="Times New Roman" w:hAnsi="宋体" w:eastAsia="宋体" w:cs="Times New Roman"/>
                <w:color w:val="auto"/>
                <w:sz w:val="21"/>
                <w:szCs w:val="21"/>
                <w:highlight w:val="none"/>
                <w:lang w:val="en-US" w:eastAsia="zh-CN"/>
              </w:rPr>
              <w:t>1</w:t>
            </w:r>
            <w:r>
              <w:rPr>
                <w:rFonts w:hint="default" w:ascii="Times New Roman" w:hAnsi="宋体" w:eastAsia="宋体" w:cs="Times New Roman"/>
                <w:color w:val="auto"/>
                <w:sz w:val="21"/>
                <w:szCs w:val="21"/>
                <w:highlight w:val="none"/>
                <w:lang w:val="en-US" w:eastAsia="zh-CN"/>
              </w:rPr>
              <w:t>mg/L</w:t>
            </w:r>
          </w:p>
        </w:tc>
      </w:tr>
      <w:tr w14:paraId="5D511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08BE6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24</w:t>
            </w:r>
          </w:p>
        </w:tc>
        <w:tc>
          <w:tcPr>
            <w:tcW w:w="0" w:type="auto"/>
            <w:gridSpan w:val="2"/>
            <w:tcBorders>
              <w:tl2br w:val="nil"/>
              <w:tr2bl w:val="nil"/>
            </w:tcBorders>
            <w:noWrap w:val="0"/>
            <w:vAlign w:val="center"/>
          </w:tcPr>
          <w:p w14:paraId="6CA9C7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钾</w:t>
            </w:r>
          </w:p>
        </w:tc>
        <w:tc>
          <w:tcPr>
            <w:tcW w:w="0" w:type="auto"/>
            <w:vMerge w:val="continue"/>
            <w:tcBorders>
              <w:tl2br w:val="nil"/>
              <w:tr2bl w:val="nil"/>
            </w:tcBorders>
            <w:noWrap w:val="0"/>
            <w:vAlign w:val="center"/>
          </w:tcPr>
          <w:p w14:paraId="469292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4D1E0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0.05</w:t>
            </w:r>
            <w:r>
              <w:rPr>
                <w:rFonts w:hint="default" w:ascii="Times New Roman" w:hAnsi="宋体" w:eastAsia="宋体" w:cs="Times New Roman"/>
                <w:color w:val="auto"/>
                <w:sz w:val="21"/>
                <w:szCs w:val="21"/>
                <w:highlight w:val="none"/>
                <w:lang w:val="en-US" w:eastAsia="zh-CN"/>
              </w:rPr>
              <w:t>mg/L</w:t>
            </w:r>
          </w:p>
        </w:tc>
      </w:tr>
      <w:tr w14:paraId="0241C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70CD3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25</w:t>
            </w:r>
          </w:p>
        </w:tc>
        <w:tc>
          <w:tcPr>
            <w:tcW w:w="0" w:type="auto"/>
            <w:gridSpan w:val="2"/>
            <w:tcBorders>
              <w:tl2br w:val="nil"/>
              <w:tr2bl w:val="nil"/>
            </w:tcBorders>
            <w:noWrap w:val="0"/>
            <w:vAlign w:val="center"/>
          </w:tcPr>
          <w:p w14:paraId="0A86C8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钙</w:t>
            </w:r>
          </w:p>
        </w:tc>
        <w:tc>
          <w:tcPr>
            <w:tcW w:w="0" w:type="auto"/>
            <w:vMerge w:val="restart"/>
            <w:tcBorders>
              <w:tl2br w:val="nil"/>
              <w:tr2bl w:val="nil"/>
            </w:tcBorders>
            <w:noWrap w:val="0"/>
            <w:vAlign w:val="center"/>
          </w:tcPr>
          <w:p w14:paraId="762A6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《水质 钙和镁的测定 原子吸收分光光度法》GB/T 11905-1989</w:t>
            </w:r>
          </w:p>
        </w:tc>
        <w:tc>
          <w:tcPr>
            <w:tcW w:w="0" w:type="auto"/>
            <w:tcBorders>
              <w:tl2br w:val="nil"/>
              <w:tr2bl w:val="nil"/>
            </w:tcBorders>
            <w:noWrap w:val="0"/>
            <w:vAlign w:val="center"/>
          </w:tcPr>
          <w:p w14:paraId="64A71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0.02</w:t>
            </w:r>
            <w:r>
              <w:rPr>
                <w:rFonts w:hint="default" w:ascii="Times New Roman" w:hAnsi="宋体" w:eastAsia="宋体" w:cs="Times New Roman"/>
                <w:color w:val="auto"/>
                <w:sz w:val="21"/>
                <w:szCs w:val="21"/>
                <w:highlight w:val="none"/>
                <w:lang w:val="en-US" w:eastAsia="zh-CN"/>
              </w:rPr>
              <w:t>mg/L</w:t>
            </w:r>
          </w:p>
        </w:tc>
      </w:tr>
      <w:tr w14:paraId="60384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12E24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26</w:t>
            </w:r>
          </w:p>
        </w:tc>
        <w:tc>
          <w:tcPr>
            <w:tcW w:w="0" w:type="auto"/>
            <w:gridSpan w:val="2"/>
            <w:tcBorders>
              <w:tl2br w:val="nil"/>
              <w:tr2bl w:val="nil"/>
            </w:tcBorders>
            <w:noWrap w:val="0"/>
            <w:vAlign w:val="center"/>
          </w:tcPr>
          <w:p w14:paraId="0C99F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镁</w:t>
            </w:r>
          </w:p>
        </w:tc>
        <w:tc>
          <w:tcPr>
            <w:tcW w:w="0" w:type="auto"/>
            <w:vMerge w:val="continue"/>
            <w:tcBorders>
              <w:tl2br w:val="nil"/>
              <w:tr2bl w:val="nil"/>
            </w:tcBorders>
            <w:noWrap w:val="0"/>
            <w:vAlign w:val="center"/>
          </w:tcPr>
          <w:p w14:paraId="448CAA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11E4A3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0.002</w:t>
            </w:r>
            <w:r>
              <w:rPr>
                <w:rFonts w:hint="default" w:ascii="Times New Roman" w:hAnsi="宋体" w:eastAsia="宋体" w:cs="Times New Roman"/>
                <w:color w:val="auto"/>
                <w:sz w:val="21"/>
                <w:szCs w:val="21"/>
                <w:highlight w:val="none"/>
                <w:lang w:val="en-US" w:eastAsia="zh-CN"/>
              </w:rPr>
              <w:t>mg/L</w:t>
            </w:r>
          </w:p>
        </w:tc>
      </w:tr>
      <w:tr w14:paraId="36808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34E83F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27</w:t>
            </w:r>
          </w:p>
        </w:tc>
        <w:tc>
          <w:tcPr>
            <w:tcW w:w="0" w:type="auto"/>
            <w:gridSpan w:val="2"/>
            <w:tcBorders>
              <w:tl2br w:val="nil"/>
              <w:tr2bl w:val="nil"/>
            </w:tcBorders>
            <w:noWrap w:val="0"/>
            <w:vAlign w:val="center"/>
          </w:tcPr>
          <w:p w14:paraId="3A8C06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总硬度</w:t>
            </w:r>
          </w:p>
        </w:tc>
        <w:tc>
          <w:tcPr>
            <w:tcW w:w="0" w:type="auto"/>
            <w:tcBorders>
              <w:tl2br w:val="nil"/>
              <w:tr2bl w:val="nil"/>
            </w:tcBorders>
            <w:noWrap w:val="0"/>
            <w:vAlign w:val="center"/>
          </w:tcPr>
          <w:p w14:paraId="19BF8F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《水质 钙和镁总量的测定 EDTA滴定法》GB/T 7477-1987</w:t>
            </w:r>
          </w:p>
        </w:tc>
        <w:tc>
          <w:tcPr>
            <w:tcW w:w="0" w:type="auto"/>
            <w:tcBorders>
              <w:tl2br w:val="nil"/>
              <w:tr2bl w:val="nil"/>
            </w:tcBorders>
            <w:noWrap w:val="0"/>
            <w:vAlign w:val="center"/>
          </w:tcPr>
          <w:p w14:paraId="1CE90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0.05mmol/L</w:t>
            </w:r>
          </w:p>
        </w:tc>
      </w:tr>
      <w:tr w14:paraId="31D46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2E7B99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28</w:t>
            </w:r>
          </w:p>
        </w:tc>
        <w:tc>
          <w:tcPr>
            <w:tcW w:w="0" w:type="auto"/>
            <w:gridSpan w:val="2"/>
            <w:tcBorders>
              <w:tl2br w:val="nil"/>
              <w:tr2bl w:val="nil"/>
            </w:tcBorders>
            <w:noWrap w:val="0"/>
            <w:vAlign w:val="center"/>
          </w:tcPr>
          <w:p w14:paraId="15031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菌落总数</w:t>
            </w:r>
          </w:p>
        </w:tc>
        <w:tc>
          <w:tcPr>
            <w:tcW w:w="0" w:type="auto"/>
            <w:tcBorders>
              <w:tl2br w:val="nil"/>
              <w:tr2bl w:val="nil"/>
            </w:tcBorders>
            <w:noWrap w:val="0"/>
            <w:vAlign w:val="center"/>
          </w:tcPr>
          <w:p w14:paraId="14826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《生活饮用水标准检验方法 第12部分：微生物指标》（GB/T 5750.12-2023）4.1 平皿计数法</w:t>
            </w:r>
          </w:p>
        </w:tc>
        <w:tc>
          <w:tcPr>
            <w:tcW w:w="0" w:type="auto"/>
            <w:tcBorders>
              <w:tl2br w:val="nil"/>
              <w:tr2bl w:val="nil"/>
            </w:tcBorders>
            <w:noWrap w:val="0"/>
            <w:vAlign w:val="center"/>
          </w:tcPr>
          <w:p w14:paraId="4342D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r>
      <w:tr w14:paraId="5D40B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7F4B5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29</w:t>
            </w:r>
          </w:p>
        </w:tc>
        <w:tc>
          <w:tcPr>
            <w:tcW w:w="0" w:type="auto"/>
            <w:vMerge w:val="restart"/>
            <w:tcBorders>
              <w:tl2br w:val="nil"/>
              <w:tr2bl w:val="nil"/>
            </w:tcBorders>
            <w:noWrap w:val="0"/>
            <w:vAlign w:val="center"/>
          </w:tcPr>
          <w:p w14:paraId="06978C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碱度</w:t>
            </w:r>
          </w:p>
        </w:tc>
        <w:tc>
          <w:tcPr>
            <w:tcW w:w="0" w:type="auto"/>
            <w:tcBorders>
              <w:tl2br w:val="nil"/>
              <w:tr2bl w:val="nil"/>
            </w:tcBorders>
            <w:noWrap w:val="0"/>
            <w:vAlign w:val="center"/>
          </w:tcPr>
          <w:p w14:paraId="7BBC7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碳酸盐（CO</w:t>
            </w:r>
            <w:r>
              <w:rPr>
                <w:rFonts w:hint="eastAsia" w:ascii="Times New Roman" w:hAnsi="宋体" w:eastAsia="宋体" w:cs="Times New Roman"/>
                <w:color w:val="auto"/>
                <w:sz w:val="21"/>
                <w:szCs w:val="21"/>
                <w:highlight w:val="none"/>
                <w:vertAlign w:val="subscript"/>
                <w:lang w:val="en-US" w:eastAsia="zh-CN"/>
              </w:rPr>
              <w:t>3</w:t>
            </w:r>
            <w:r>
              <w:rPr>
                <w:rFonts w:hint="eastAsia" w:ascii="Times New Roman" w:hAnsi="宋体" w:eastAsia="宋体" w:cs="Times New Roman"/>
                <w:color w:val="auto"/>
                <w:sz w:val="21"/>
                <w:szCs w:val="21"/>
                <w:highlight w:val="none"/>
                <w:vertAlign w:val="superscript"/>
                <w:lang w:val="en-US" w:eastAsia="zh-CN"/>
              </w:rPr>
              <w:t>2-</w:t>
            </w:r>
            <w:r>
              <w:rPr>
                <w:rFonts w:hint="eastAsia" w:ascii="Times New Roman" w:hAnsi="宋体" w:eastAsia="宋体" w:cs="Times New Roman"/>
                <w:color w:val="auto"/>
                <w:sz w:val="21"/>
                <w:szCs w:val="21"/>
                <w:highlight w:val="none"/>
                <w:lang w:val="en-US" w:eastAsia="zh-CN"/>
              </w:rPr>
              <w:t>）</w:t>
            </w:r>
          </w:p>
        </w:tc>
        <w:tc>
          <w:tcPr>
            <w:tcW w:w="0" w:type="auto"/>
            <w:vMerge w:val="restart"/>
            <w:tcBorders>
              <w:tl2br w:val="nil"/>
              <w:tr2bl w:val="nil"/>
            </w:tcBorders>
            <w:noWrap w:val="0"/>
            <w:vAlign w:val="center"/>
          </w:tcPr>
          <w:p w14:paraId="3DF02A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《水和废水监测分析方法》 （第四版 增补版） 国家环境总局（2002年）第三篇 第一章 十二、（一）酸碱指示剂滴定法</w:t>
            </w:r>
          </w:p>
        </w:tc>
        <w:tc>
          <w:tcPr>
            <w:tcW w:w="0" w:type="auto"/>
            <w:tcBorders>
              <w:tl2br w:val="nil"/>
              <w:tr2bl w:val="nil"/>
            </w:tcBorders>
            <w:noWrap w:val="0"/>
            <w:vAlign w:val="center"/>
          </w:tcPr>
          <w:p w14:paraId="1E82B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r w14:paraId="57AF0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14:paraId="15CD02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30</w:t>
            </w:r>
          </w:p>
        </w:tc>
        <w:tc>
          <w:tcPr>
            <w:tcW w:w="0" w:type="auto"/>
            <w:vMerge w:val="continue"/>
            <w:tcBorders>
              <w:tl2br w:val="nil"/>
              <w:tr2bl w:val="nil"/>
            </w:tcBorders>
            <w:noWrap w:val="0"/>
            <w:vAlign w:val="center"/>
          </w:tcPr>
          <w:p w14:paraId="58641B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2B818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重碳酸盐</w:t>
            </w:r>
          </w:p>
          <w:p w14:paraId="376859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碱度（以CaCO</w:t>
            </w:r>
            <w:r>
              <w:rPr>
                <w:rFonts w:hint="eastAsia" w:ascii="Times New Roman" w:hAnsi="宋体" w:eastAsia="宋体" w:cs="Times New Roman"/>
                <w:color w:val="auto"/>
                <w:sz w:val="21"/>
                <w:szCs w:val="21"/>
                <w:highlight w:val="none"/>
                <w:vertAlign w:val="subscript"/>
                <w:lang w:val="en-US" w:eastAsia="zh-CN"/>
              </w:rPr>
              <w:t>3</w:t>
            </w:r>
            <w:r>
              <w:rPr>
                <w:rFonts w:hint="eastAsia" w:ascii="Times New Roman" w:hAnsi="宋体" w:eastAsia="宋体" w:cs="Times New Roman"/>
                <w:color w:val="auto"/>
                <w:sz w:val="21"/>
                <w:szCs w:val="21"/>
                <w:highlight w:val="none"/>
                <w:lang w:val="en-US" w:eastAsia="zh-CN"/>
              </w:rPr>
              <w:t>计）</w:t>
            </w:r>
          </w:p>
        </w:tc>
        <w:tc>
          <w:tcPr>
            <w:tcW w:w="0" w:type="auto"/>
            <w:vMerge w:val="continue"/>
            <w:tcBorders>
              <w:tl2br w:val="nil"/>
              <w:tr2bl w:val="nil"/>
            </w:tcBorders>
            <w:noWrap w:val="0"/>
            <w:vAlign w:val="center"/>
          </w:tcPr>
          <w:p w14:paraId="66C5C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014D6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bl>
    <w:p w14:paraId="4E4D92ED">
      <w:pPr>
        <w:ind w:firstLine="480"/>
        <w:rPr>
          <w:color w:val="auto"/>
          <w:highlight w:val="none"/>
        </w:rPr>
      </w:pPr>
    </w:p>
    <w:p w14:paraId="43980815">
      <w:pPr>
        <w:ind w:firstLine="482"/>
        <w:rPr>
          <w:b/>
          <w:color w:val="auto"/>
          <w:szCs w:val="22"/>
          <w:highlight w:val="none"/>
        </w:rPr>
      </w:pPr>
      <w:r>
        <w:rPr>
          <w:rFonts w:hint="eastAsia"/>
          <w:b/>
          <w:color w:val="auto"/>
          <w:szCs w:val="22"/>
          <w:highlight w:val="none"/>
        </w:rPr>
        <w:t>5、</w:t>
      </w:r>
      <w:r>
        <w:rPr>
          <w:b/>
          <w:color w:val="auto"/>
          <w:szCs w:val="22"/>
          <w:highlight w:val="none"/>
        </w:rPr>
        <w:t>现状评价</w:t>
      </w:r>
    </w:p>
    <w:p w14:paraId="6EC8B700">
      <w:pPr>
        <w:ind w:firstLine="480"/>
        <w:rPr>
          <w:color w:val="auto"/>
          <w:highlight w:val="none"/>
        </w:rPr>
      </w:pPr>
      <w:r>
        <w:rPr>
          <w:color w:val="auto"/>
          <w:highlight w:val="none"/>
        </w:rPr>
        <w:t>（1）评价方法</w:t>
      </w:r>
    </w:p>
    <w:p w14:paraId="560483E5">
      <w:pPr>
        <w:ind w:firstLine="480"/>
        <w:rPr>
          <w:color w:val="auto"/>
          <w:highlight w:val="none"/>
        </w:rPr>
      </w:pPr>
      <w:r>
        <w:rPr>
          <w:color w:val="auto"/>
          <w:highlight w:val="none"/>
        </w:rPr>
        <w:t>本次评价采用单项污染因子指数进行评价，结合地下水水质标准，对评价区地下水水质优劣进行评述。</w:t>
      </w:r>
    </w:p>
    <w:p w14:paraId="3D000E6C">
      <w:pPr>
        <w:ind w:firstLine="480"/>
        <w:rPr>
          <w:color w:val="auto"/>
          <w:highlight w:val="none"/>
        </w:rPr>
      </w:pPr>
      <w:r>
        <w:rPr>
          <w:color w:val="auto"/>
          <w:highlight w:val="none"/>
        </w:rPr>
        <w:t>水质指数基本表达式为：</w:t>
      </w:r>
    </w:p>
    <w:p w14:paraId="38878239">
      <w:pPr>
        <w:spacing w:line="240" w:lineRule="auto"/>
        <w:ind w:firstLine="0" w:firstLineChars="0"/>
        <w:jc w:val="center"/>
        <w:rPr>
          <w:color w:val="auto"/>
          <w:highlight w:val="none"/>
        </w:rPr>
      </w:pPr>
      <w:r>
        <w:rPr>
          <w:color w:val="auto"/>
          <w:highlight w:val="none"/>
        </w:rPr>
        <w:object>
          <v:shape id="_x0000_i1029" o:spt="75" type="#_x0000_t75" style="height:34.45pt;width:50.1pt;" o:ole="t" filled="f" o:preferrelative="t" stroked="f" coordsize="21600,21600">
            <v:path/>
            <v:fill on="f" focussize="0,0"/>
            <v:stroke on="f" joinstyle="miter"/>
            <v:imagedata r:id="rId46" o:title="2688086171335082867734"/>
            <o:lock v:ext="edit" aspectratio="t"/>
            <w10:wrap type="none"/>
            <w10:anchorlock/>
          </v:shape>
          <o:OLEObject Type="Embed" ProgID="Equation.DSMT4" ShapeID="_x0000_i1029" DrawAspect="Content" ObjectID="_1468075729" r:id="rId45">
            <o:LockedField>false</o:LockedField>
          </o:OLEObject>
        </w:object>
      </w:r>
    </w:p>
    <w:p w14:paraId="73C95DDB">
      <w:pPr>
        <w:ind w:firstLine="480"/>
        <w:rPr>
          <w:color w:val="auto"/>
          <w:highlight w:val="none"/>
        </w:rPr>
      </w:pPr>
      <w:r>
        <w:rPr>
          <w:color w:val="auto"/>
          <w:highlight w:val="none"/>
        </w:rPr>
        <w:t>式中：</w:t>
      </w:r>
    </w:p>
    <w:p w14:paraId="14106755">
      <w:pPr>
        <w:ind w:firstLine="480"/>
        <w:rPr>
          <w:color w:val="auto"/>
          <w:highlight w:val="none"/>
        </w:rPr>
      </w:pPr>
      <w:r>
        <w:rPr>
          <w:color w:val="auto"/>
          <w:highlight w:val="none"/>
        </w:rPr>
        <w:object>
          <v:shape id="_x0000_i1030" o:spt="75" type="#_x0000_t75" style="height:18.8pt;width:18.8pt;" o:ole="t" filled="f" o:preferrelative="t" stroked="f" coordsize="21600,21600">
            <v:path/>
            <v:fill on="f" focussize="0,0"/>
            <v:stroke on="f" joinstyle="miter"/>
            <v:imagedata r:id="rId48" o:title="1481423081335082867744"/>
            <o:lock v:ext="edit" aspectratio="t"/>
            <w10:wrap type="none"/>
            <w10:anchorlock/>
          </v:shape>
          <o:OLEObject Type="Embed" ProgID="Equation.DSMT4" ShapeID="_x0000_i1030" DrawAspect="Content" ObjectID="_1468075730" r:id="rId47">
            <o:LockedField>false</o:LockedField>
          </o:OLEObject>
        </w:object>
      </w:r>
      <w:r>
        <w:rPr>
          <w:color w:val="auto"/>
          <w:highlight w:val="none"/>
        </w:rPr>
        <w:t>—第i种污染物的水质污染指数；</w:t>
      </w:r>
    </w:p>
    <w:p w14:paraId="6DF9E292">
      <w:pPr>
        <w:ind w:firstLine="480"/>
        <w:rPr>
          <w:color w:val="auto"/>
          <w:highlight w:val="none"/>
        </w:rPr>
      </w:pPr>
      <w:r>
        <w:rPr>
          <w:color w:val="auto"/>
          <w:highlight w:val="none"/>
        </w:rPr>
        <w:object>
          <v:shape id="_x0000_i1031" o:spt="75" type="#_x0000_t75" style="height:18.8pt;width:15.05pt;" o:ole="t" filled="f" o:preferrelative="t" stroked="f" coordsize="21600,21600">
            <v:path/>
            <v:fill on="f" focussize="0,0"/>
            <v:stroke on="f" joinstyle="miter"/>
            <v:imagedata r:id="rId50" o:title="2517066701335082867754"/>
            <o:lock v:ext="edit" aspectratio="t"/>
            <w10:wrap type="none"/>
            <w10:anchorlock/>
          </v:shape>
          <o:OLEObject Type="Embed" ProgID="Equation.DSMT4" ShapeID="_x0000_i1031" DrawAspect="Content" ObjectID="_1468075731" r:id="rId49">
            <o:LockedField>false</o:LockedField>
          </o:OLEObject>
        </w:object>
      </w:r>
      <w:r>
        <w:rPr>
          <w:color w:val="auto"/>
          <w:highlight w:val="none"/>
        </w:rPr>
        <w:t>—地下水中第i种污染物的实测浓度，mg/L；</w:t>
      </w:r>
    </w:p>
    <w:p w14:paraId="63E8EB4A">
      <w:pPr>
        <w:ind w:firstLine="480"/>
        <w:rPr>
          <w:color w:val="auto"/>
          <w:highlight w:val="none"/>
        </w:rPr>
      </w:pPr>
      <w:r>
        <w:rPr>
          <w:color w:val="auto"/>
          <w:highlight w:val="none"/>
        </w:rPr>
        <w:object>
          <v:shape id="_x0000_i1032" o:spt="75" type="#_x0000_t75" style="height:18.8pt;width:18.8pt;" o:ole="t" filled="f" o:preferrelative="t" stroked="f" coordsize="21600,21600">
            <v:path/>
            <v:fill on="f" focussize="0,0"/>
            <v:stroke on="f" joinstyle="miter"/>
            <v:imagedata r:id="rId52" o:title="8362881431335082867764"/>
            <o:lock v:ext="edit" aspectratio="t"/>
            <w10:wrap type="none"/>
            <w10:anchorlock/>
          </v:shape>
          <o:OLEObject Type="Embed" ProgID="Equation.DSMT4" ShapeID="_x0000_i1032" DrawAspect="Content" ObjectID="_1468075732" r:id="rId51">
            <o:LockedField>false</o:LockedField>
          </o:OLEObject>
        </w:object>
      </w:r>
      <w:r>
        <w:rPr>
          <w:color w:val="auto"/>
          <w:highlight w:val="none"/>
        </w:rPr>
        <w:t>—第i种污染物的评价标准，mg/L。</w:t>
      </w:r>
    </w:p>
    <w:p w14:paraId="2249017A">
      <w:pPr>
        <w:ind w:firstLine="480"/>
        <w:rPr>
          <w:color w:val="auto"/>
          <w:highlight w:val="none"/>
        </w:rPr>
      </w:pPr>
      <w:r>
        <w:rPr>
          <w:color w:val="auto"/>
          <w:highlight w:val="none"/>
        </w:rPr>
        <w:object>
          <v:shape id="_x0000_i1033" o:spt="75" type="#_x0000_t75" style="height:18.8pt;width:18.8pt;" o:ole="t" filled="f" o:preferrelative="t" stroked="f" coordsize="21600,21600">
            <v:path/>
            <v:fill on="f" focussize="0,0"/>
            <v:stroke on="f" joinstyle="miter"/>
            <v:imagedata r:id="rId48" o:title="1481423081335082867744"/>
            <o:lock v:ext="edit" aspectratio="t"/>
            <w10:wrap type="none"/>
            <w10:anchorlock/>
          </v:shape>
          <o:OLEObject Type="Embed" ProgID="Equation.DSMT4" ShapeID="_x0000_i1033" DrawAspect="Content" ObjectID="_1468075733" r:id="rId53">
            <o:LockedField>false</o:LockedField>
          </o:OLEObject>
        </w:object>
      </w:r>
      <w:r>
        <w:rPr>
          <w:color w:val="auto"/>
          <w:highlight w:val="none"/>
        </w:rPr>
        <w:t>值越小，说明水质越好，当</w:t>
      </w:r>
      <w:r>
        <w:rPr>
          <w:color w:val="auto"/>
          <w:highlight w:val="none"/>
        </w:rPr>
        <w:object>
          <v:shape id="_x0000_i1034" o:spt="75" type="#_x0000_t75" style="height:18.8pt;width:18.8pt;" o:ole="t" filled="f" o:preferrelative="t" stroked="f" coordsize="21600,21600">
            <v:path/>
            <v:fill on="f" focussize="0,0"/>
            <v:stroke on="f" joinstyle="miter"/>
            <v:imagedata r:id="rId48" o:title="1481423081335082867744"/>
            <o:lock v:ext="edit" aspectratio="t"/>
            <w10:wrap type="none"/>
            <w10:anchorlock/>
          </v:shape>
          <o:OLEObject Type="Embed" ProgID="Equation.DSMT4" ShapeID="_x0000_i1034" DrawAspect="Content" ObjectID="_1468075734" r:id="rId54">
            <o:LockedField>false</o:LockedField>
          </o:OLEObject>
        </w:object>
      </w:r>
      <w:r>
        <w:rPr>
          <w:color w:val="auto"/>
          <w:highlight w:val="none"/>
        </w:rPr>
        <w:t>超过1时，则表明该污染物浓度已超标。</w:t>
      </w:r>
    </w:p>
    <w:p w14:paraId="224335D4">
      <w:pPr>
        <w:ind w:firstLine="480"/>
        <w:rPr>
          <w:color w:val="auto"/>
          <w:highlight w:val="none"/>
        </w:rPr>
      </w:pPr>
      <w:r>
        <w:rPr>
          <w:color w:val="auto"/>
          <w:highlight w:val="none"/>
        </w:rPr>
        <w:t>其中，pH的水质指数表达式为：</w:t>
      </w:r>
    </w:p>
    <w:p w14:paraId="03E24BD7">
      <w:pPr>
        <w:ind w:firstLine="480"/>
        <w:jc w:val="center"/>
        <w:rPr>
          <w:color w:val="auto"/>
          <w:highlight w:val="none"/>
        </w:rPr>
      </w:pPr>
      <w:r>
        <w:rPr>
          <w:color w:val="auto"/>
          <w:highlight w:val="none"/>
        </w:rPr>
        <w:drawing>
          <wp:inline distT="0" distB="0" distL="114300" distR="114300">
            <wp:extent cx="3209290" cy="672465"/>
            <wp:effectExtent l="0" t="0" r="10160" b="13335"/>
            <wp:docPr id="14" name="图片 3" descr="C:\Users\User\AppData\Local\Temp\16086076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User\AppData\Local\Temp\1608607699(1).png"/>
                    <pic:cNvPicPr>
                      <a:picLocks noChangeAspect="1"/>
                    </pic:cNvPicPr>
                  </pic:nvPicPr>
                  <pic:blipFill>
                    <a:blip r:embed="rId55"/>
                    <a:stretch>
                      <a:fillRect/>
                    </a:stretch>
                  </pic:blipFill>
                  <pic:spPr>
                    <a:xfrm>
                      <a:off x="0" y="0"/>
                      <a:ext cx="3209290" cy="672465"/>
                    </a:xfrm>
                    <a:prstGeom prst="rect">
                      <a:avLst/>
                    </a:prstGeom>
                    <a:noFill/>
                    <a:ln>
                      <a:noFill/>
                    </a:ln>
                  </pic:spPr>
                </pic:pic>
              </a:graphicData>
            </a:graphic>
          </wp:inline>
        </w:drawing>
      </w:r>
    </w:p>
    <w:p w14:paraId="72C6BA64">
      <w:pPr>
        <w:ind w:firstLine="480"/>
        <w:rPr>
          <w:color w:val="auto"/>
          <w:highlight w:val="none"/>
        </w:rPr>
      </w:pPr>
      <w:r>
        <w:rPr>
          <w:color w:val="auto"/>
          <w:highlight w:val="none"/>
        </w:rPr>
        <w:t>式中：</w:t>
      </w:r>
    </w:p>
    <w:p w14:paraId="2B252C75">
      <w:pPr>
        <w:ind w:firstLine="480"/>
        <w:rPr>
          <w:color w:val="auto"/>
          <w:highlight w:val="none"/>
        </w:rPr>
      </w:pPr>
      <w:r>
        <w:rPr>
          <w:color w:val="auto"/>
          <w:highlight w:val="none"/>
        </w:rPr>
        <w:object>
          <v:shape id="_x0000_i1035" o:spt="75" type="#_x0000_t75" style="height:18.8pt;width:29.45pt;" o:ole="t" filled="f" o:preferrelative="t" stroked="f" coordsize="21600,21600">
            <v:path/>
            <v:fill on="f" focussize="0,0"/>
            <v:stroke on="f" joinstyle="miter"/>
            <v:imagedata r:id="rId57" o:title="6278492081335082867804"/>
            <o:lock v:ext="edit" aspectratio="t"/>
            <w10:wrap type="none"/>
            <w10:anchorlock/>
          </v:shape>
          <o:OLEObject Type="Embed" ProgID="Equation.3" ShapeID="_x0000_i1035" DrawAspect="Content" ObjectID="_1468075735" r:id="rId56">
            <o:LockedField>false</o:LockedField>
          </o:OLEObject>
        </w:object>
      </w:r>
      <w:r>
        <w:rPr>
          <w:color w:val="auto"/>
          <w:highlight w:val="none"/>
        </w:rPr>
        <w:t>—pH的标准指数；</w:t>
      </w:r>
    </w:p>
    <w:p w14:paraId="68F3AFEA">
      <w:pPr>
        <w:ind w:firstLine="480"/>
        <w:rPr>
          <w:color w:val="auto"/>
          <w:highlight w:val="none"/>
        </w:rPr>
      </w:pPr>
      <w:r>
        <w:rPr>
          <w:color w:val="auto"/>
          <w:highlight w:val="none"/>
        </w:rPr>
        <w:object>
          <v:shape id="_x0000_i1036" o:spt="75" type="#_x0000_t75" style="height:18.8pt;width:23.15pt;" o:ole="t" filled="f" o:preferrelative="t" stroked="f" coordsize="21600,21600">
            <v:path/>
            <v:fill on="f" focussize="0,0"/>
            <v:stroke on="f" joinstyle="miter"/>
            <v:imagedata r:id="rId59" o:title="7497784291335082867824"/>
            <o:lock v:ext="edit" aspectratio="t"/>
            <w10:wrap type="none"/>
            <w10:anchorlock/>
          </v:shape>
          <o:OLEObject Type="Embed" ProgID="Equation.DSMT4" ShapeID="_x0000_i1036" DrawAspect="Content" ObjectID="_1468075736" r:id="rId58">
            <o:LockedField>false</o:LockedField>
          </o:OLEObject>
        </w:object>
      </w:r>
      <w:r>
        <w:rPr>
          <w:color w:val="auto"/>
          <w:highlight w:val="none"/>
        </w:rPr>
        <w:t>—监测点的pH值；</w:t>
      </w:r>
    </w:p>
    <w:p w14:paraId="787BE996">
      <w:pPr>
        <w:ind w:firstLine="480"/>
        <w:rPr>
          <w:color w:val="auto"/>
          <w:highlight w:val="none"/>
        </w:rPr>
      </w:pPr>
      <w:r>
        <w:rPr>
          <w:color w:val="auto"/>
          <w:highlight w:val="none"/>
        </w:rPr>
        <w:object>
          <v:shape id="_x0000_i1037" o:spt="75" type="#_x0000_t75" style="height:18.8pt;width:29.45pt;" o:ole="t" filled="f" o:preferrelative="t" stroked="f" coordsize="21600,21600">
            <v:path/>
            <v:fill on="f" focussize="0,0"/>
            <v:stroke on="f" joinstyle="miter"/>
            <v:imagedata r:id="rId61" o:title="3239982211335082867824"/>
            <o:lock v:ext="edit" aspectratio="t"/>
            <w10:wrap type="none"/>
            <w10:anchorlock/>
          </v:shape>
          <o:OLEObject Type="Embed" ProgID="Equation.DSMT4" ShapeID="_x0000_i1037" DrawAspect="Content" ObjectID="_1468075737" r:id="rId60">
            <o:LockedField>false</o:LockedField>
          </o:OLEObject>
        </w:object>
      </w:r>
      <w:r>
        <w:rPr>
          <w:color w:val="auto"/>
          <w:highlight w:val="none"/>
        </w:rPr>
        <w:t>—地下水水质标准的pH值下限；</w:t>
      </w:r>
    </w:p>
    <w:p w14:paraId="4865D1BB">
      <w:pPr>
        <w:ind w:firstLine="480"/>
        <w:rPr>
          <w:color w:val="auto"/>
          <w:highlight w:val="none"/>
        </w:rPr>
      </w:pPr>
      <w:r>
        <w:rPr>
          <w:color w:val="auto"/>
          <w:highlight w:val="none"/>
        </w:rPr>
        <w:object>
          <v:shape id="_x0000_i1038" o:spt="75" type="#_x0000_t75" style="height:18.8pt;width:29.45pt;" o:ole="t" filled="f" o:preferrelative="t" stroked="f" coordsize="21600,21600">
            <v:path/>
            <v:fill on="f" focussize="0,0"/>
            <v:stroke on="f" joinstyle="miter"/>
            <v:imagedata r:id="rId63" o:title="5428924161335082867834"/>
            <o:lock v:ext="edit" aspectratio="t"/>
            <w10:wrap type="none"/>
            <w10:anchorlock/>
          </v:shape>
          <o:OLEObject Type="Embed" ProgID="Equation.DSMT4" ShapeID="_x0000_i1038" DrawAspect="Content" ObjectID="_1468075738" r:id="rId62">
            <o:LockedField>false</o:LockedField>
          </o:OLEObject>
        </w:object>
      </w:r>
      <w:r>
        <w:rPr>
          <w:color w:val="auto"/>
          <w:highlight w:val="none"/>
        </w:rPr>
        <w:t>—地下水水质标准的pH值上限。</w:t>
      </w:r>
    </w:p>
    <w:p w14:paraId="2775EF11">
      <w:pPr>
        <w:ind w:firstLine="480"/>
        <w:rPr>
          <w:color w:val="auto"/>
          <w:highlight w:val="none"/>
        </w:rPr>
      </w:pPr>
      <w:r>
        <w:rPr>
          <w:color w:val="auto"/>
          <w:highlight w:val="none"/>
        </w:rPr>
        <w:t>（2）评价标准</w:t>
      </w:r>
    </w:p>
    <w:p w14:paraId="151FC786">
      <w:pPr>
        <w:ind w:firstLine="480"/>
        <w:rPr>
          <w:color w:val="auto"/>
          <w:highlight w:val="none"/>
        </w:rPr>
      </w:pPr>
      <w:r>
        <w:rPr>
          <w:color w:val="auto"/>
          <w:highlight w:val="none"/>
        </w:rPr>
        <w:t>地下水环境质量现状评价标准执行《地下水质量标准》（GB/T14848-2017）中的Ⅲ类标准值。</w:t>
      </w:r>
    </w:p>
    <w:p w14:paraId="5D8522D1">
      <w:pPr>
        <w:ind w:firstLine="480"/>
        <w:rPr>
          <w:color w:val="auto"/>
          <w:highlight w:val="none"/>
        </w:rPr>
      </w:pPr>
      <w:r>
        <w:rPr>
          <w:color w:val="auto"/>
          <w:highlight w:val="none"/>
        </w:rPr>
        <w:t>（3）评价结果</w:t>
      </w:r>
    </w:p>
    <w:p w14:paraId="2851D686">
      <w:pPr>
        <w:ind w:firstLine="480"/>
        <w:rPr>
          <w:rFonts w:hint="eastAsia"/>
          <w:color w:val="auto"/>
          <w:kern w:val="0"/>
          <w:highlight w:val="none"/>
          <w:lang w:val="zh-CN"/>
        </w:rPr>
        <w:sectPr>
          <w:pgSz w:w="11906" w:h="16838"/>
          <w:pgMar w:top="1418" w:right="1418" w:bottom="1247" w:left="1701" w:header="851" w:footer="680" w:gutter="0"/>
          <w:pgBorders>
            <w:top w:val="none" w:sz="0" w:space="0"/>
            <w:left w:val="none" w:sz="0" w:space="0"/>
            <w:bottom w:val="none" w:sz="0" w:space="0"/>
            <w:right w:val="none" w:sz="0" w:space="0"/>
          </w:pgBorders>
          <w:pgNumType w:fmt="decimal"/>
          <w:cols w:space="720" w:num="1"/>
          <w:docGrid w:linePitch="326" w:charSpace="0"/>
        </w:sectPr>
      </w:pPr>
      <w:r>
        <w:rPr>
          <w:rFonts w:hint="eastAsia"/>
          <w:color w:val="auto"/>
          <w:kern w:val="0"/>
          <w:highlight w:val="none"/>
          <w:lang w:val="zh-CN"/>
        </w:rPr>
        <w:t>地下水环境质量现状监测</w:t>
      </w:r>
      <w:r>
        <w:rPr>
          <w:rFonts w:hint="eastAsia"/>
          <w:color w:val="auto"/>
          <w:kern w:val="0"/>
          <w:highlight w:val="none"/>
          <w:lang w:val="en-US" w:eastAsia="zh-CN"/>
        </w:rPr>
        <w:t>评价</w:t>
      </w:r>
      <w:r>
        <w:rPr>
          <w:rFonts w:hint="eastAsia"/>
          <w:color w:val="auto"/>
          <w:kern w:val="0"/>
          <w:highlight w:val="none"/>
          <w:lang w:val="zh-CN"/>
        </w:rPr>
        <w:t>结果见表4.3-</w:t>
      </w:r>
      <w:r>
        <w:rPr>
          <w:rFonts w:hint="eastAsia"/>
          <w:color w:val="auto"/>
          <w:kern w:val="0"/>
          <w:highlight w:val="none"/>
          <w:lang w:val="en-US" w:eastAsia="zh-CN"/>
        </w:rPr>
        <w:t>6</w:t>
      </w:r>
      <w:r>
        <w:rPr>
          <w:rFonts w:hint="eastAsia"/>
          <w:color w:val="auto"/>
          <w:kern w:val="0"/>
          <w:highlight w:val="none"/>
          <w:lang w:val="zh-CN"/>
        </w:rPr>
        <w:t>。</w:t>
      </w:r>
    </w:p>
    <w:p w14:paraId="5EA75918">
      <w:pPr>
        <w:ind w:firstLineChars="83"/>
        <w:jc w:val="center"/>
        <w:rPr>
          <w:rFonts w:hint="eastAsia"/>
          <w:b/>
          <w:bCs/>
          <w:color w:val="auto"/>
          <w:highlight w:val="none"/>
        </w:rPr>
      </w:pPr>
      <w:r>
        <w:rPr>
          <w:rFonts w:hint="eastAsia"/>
          <w:b/>
          <w:bCs/>
          <w:color w:val="auto"/>
          <w:highlight w:val="none"/>
        </w:rPr>
        <w:t>表4.3-</w:t>
      </w:r>
      <w:r>
        <w:rPr>
          <w:rFonts w:hint="eastAsia"/>
          <w:b/>
          <w:bCs/>
          <w:color w:val="auto"/>
          <w:highlight w:val="none"/>
          <w:lang w:val="en-US" w:eastAsia="zh-CN"/>
        </w:rPr>
        <w:t>6</w:t>
      </w:r>
      <w:r>
        <w:rPr>
          <w:rFonts w:hint="eastAsia"/>
          <w:b/>
          <w:bCs/>
          <w:color w:val="auto"/>
          <w:highlight w:val="none"/>
        </w:rPr>
        <w:t xml:space="preserve">  评价区水质现状监测统计</w:t>
      </w:r>
      <w:r>
        <w:rPr>
          <w:rFonts w:hint="eastAsia"/>
          <w:b/>
          <w:bCs/>
          <w:color w:val="auto"/>
          <w:highlight w:val="none"/>
          <w:lang w:val="en-US" w:eastAsia="zh-CN"/>
        </w:rPr>
        <w:t>与评价</w:t>
      </w:r>
      <w:r>
        <w:rPr>
          <w:rFonts w:hint="eastAsia"/>
          <w:b/>
          <w:bCs/>
          <w:color w:val="auto"/>
          <w:highlight w:val="none"/>
        </w:rPr>
        <w:t>结果</w:t>
      </w:r>
      <w:r>
        <w:rPr>
          <w:rFonts w:hint="eastAsia"/>
          <w:b/>
          <w:bCs/>
          <w:color w:val="auto"/>
          <w:highlight w:val="none"/>
          <w:lang w:val="en-US" w:eastAsia="zh-CN"/>
        </w:rPr>
        <w:t>统计表</w:t>
      </w:r>
      <w:r>
        <w:rPr>
          <w:rFonts w:hint="eastAsia"/>
          <w:b/>
          <w:bCs/>
          <w:color w:val="auto"/>
          <w:highlight w:val="none"/>
        </w:rPr>
        <w:t>（</w:t>
      </w:r>
      <w:r>
        <w:rPr>
          <w:rFonts w:hint="eastAsia"/>
          <w:b/>
          <w:bCs/>
          <w:color w:val="auto"/>
          <w:highlight w:val="none"/>
          <w:lang w:val="en-US" w:eastAsia="zh-CN"/>
        </w:rPr>
        <w:t>p</w:t>
      </w:r>
      <w:r>
        <w:rPr>
          <w:rFonts w:hint="eastAsia"/>
          <w:b/>
          <w:bCs/>
          <w:color w:val="auto"/>
          <w:highlight w:val="none"/>
        </w:rPr>
        <w:t>H无量纲）</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365"/>
        <w:gridCol w:w="1380"/>
        <w:gridCol w:w="1098"/>
        <w:gridCol w:w="680"/>
        <w:gridCol w:w="680"/>
        <w:gridCol w:w="1098"/>
        <w:gridCol w:w="680"/>
        <w:gridCol w:w="682"/>
        <w:gridCol w:w="1098"/>
        <w:gridCol w:w="681"/>
        <w:gridCol w:w="683"/>
        <w:gridCol w:w="2584"/>
      </w:tblGrid>
      <w:tr w14:paraId="4DB75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0" w:type="auto"/>
            <w:gridSpan w:val="2"/>
            <w:vMerge w:val="restart"/>
            <w:tcBorders>
              <w:tl2br w:val="nil"/>
              <w:tr2bl w:val="nil"/>
            </w:tcBorders>
            <w:noWrap w:val="0"/>
            <w:vAlign w:val="center"/>
          </w:tcPr>
          <w:p w14:paraId="1F7D18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检测</w:t>
            </w:r>
          </w:p>
          <w:p w14:paraId="4036F7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项目</w:t>
            </w:r>
          </w:p>
        </w:tc>
        <w:tc>
          <w:tcPr>
            <w:tcW w:w="0" w:type="auto"/>
            <w:vMerge w:val="restart"/>
            <w:tcBorders>
              <w:tl2br w:val="nil"/>
              <w:tr2bl w:val="nil"/>
            </w:tcBorders>
            <w:noWrap w:val="0"/>
            <w:vAlign w:val="center"/>
          </w:tcPr>
          <w:p w14:paraId="15D04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单位</w:t>
            </w:r>
          </w:p>
        </w:tc>
        <w:tc>
          <w:tcPr>
            <w:tcW w:w="0" w:type="auto"/>
            <w:gridSpan w:val="3"/>
            <w:tcBorders>
              <w:tl2br w:val="nil"/>
              <w:tr2bl w:val="nil"/>
            </w:tcBorders>
            <w:noWrap w:val="0"/>
            <w:vAlign w:val="center"/>
          </w:tcPr>
          <w:p w14:paraId="666788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W1</w:t>
            </w:r>
          </w:p>
        </w:tc>
        <w:tc>
          <w:tcPr>
            <w:tcW w:w="0" w:type="auto"/>
            <w:gridSpan w:val="3"/>
            <w:tcBorders>
              <w:tl2br w:val="nil"/>
              <w:tr2bl w:val="nil"/>
            </w:tcBorders>
            <w:noWrap w:val="0"/>
            <w:vAlign w:val="center"/>
          </w:tcPr>
          <w:p w14:paraId="4E738F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W2</w:t>
            </w:r>
          </w:p>
        </w:tc>
        <w:tc>
          <w:tcPr>
            <w:tcW w:w="0" w:type="auto"/>
            <w:gridSpan w:val="3"/>
            <w:tcBorders>
              <w:tl2br w:val="nil"/>
              <w:tr2bl w:val="nil"/>
            </w:tcBorders>
            <w:noWrap w:val="0"/>
            <w:vAlign w:val="center"/>
          </w:tcPr>
          <w:p w14:paraId="4F7F5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W3</w:t>
            </w:r>
          </w:p>
        </w:tc>
        <w:tc>
          <w:tcPr>
            <w:tcW w:w="0" w:type="auto"/>
            <w:tcBorders>
              <w:tl2br w:val="nil"/>
              <w:tr2bl w:val="nil"/>
            </w:tcBorders>
            <w:noWrap w:val="0"/>
            <w:vAlign w:val="center"/>
          </w:tcPr>
          <w:p w14:paraId="420096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《地下水质量标准》</w:t>
            </w:r>
          </w:p>
          <w:p w14:paraId="3E855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GB14848-2017</w:t>
            </w:r>
            <w:r>
              <w:rPr>
                <w:rFonts w:hint="eastAsia" w:ascii="Times New Roman" w:hAnsi="宋体" w:eastAsia="宋体" w:cs="Times New Roman"/>
                <w:color w:val="auto"/>
                <w:sz w:val="21"/>
                <w:szCs w:val="21"/>
                <w:highlight w:val="none"/>
                <w:lang w:val="en-US" w:eastAsia="zh-CN"/>
              </w:rPr>
              <w:t>）III</w:t>
            </w:r>
            <w:r>
              <w:rPr>
                <w:rFonts w:hint="default" w:ascii="Times New Roman" w:hAnsi="宋体" w:eastAsia="宋体" w:cs="Times New Roman"/>
                <w:color w:val="auto"/>
                <w:sz w:val="21"/>
                <w:szCs w:val="21"/>
                <w:highlight w:val="none"/>
                <w:lang w:val="en-US" w:eastAsia="zh-CN"/>
              </w:rPr>
              <w:t>类</w:t>
            </w:r>
          </w:p>
        </w:tc>
      </w:tr>
      <w:tr w14:paraId="339F7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0" w:type="auto"/>
            <w:gridSpan w:val="2"/>
            <w:vMerge w:val="continue"/>
            <w:tcBorders>
              <w:tl2br w:val="nil"/>
              <w:tr2bl w:val="nil"/>
            </w:tcBorders>
            <w:noWrap w:val="0"/>
            <w:vAlign w:val="center"/>
          </w:tcPr>
          <w:p w14:paraId="4EA538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vMerge w:val="continue"/>
            <w:tcBorders>
              <w:tl2br w:val="nil"/>
              <w:tr2bl w:val="nil"/>
            </w:tcBorders>
            <w:noWrap w:val="0"/>
            <w:vAlign w:val="center"/>
          </w:tcPr>
          <w:p w14:paraId="1B0B6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56ED4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监测值</w:t>
            </w:r>
          </w:p>
        </w:tc>
        <w:tc>
          <w:tcPr>
            <w:tcW w:w="0" w:type="auto"/>
            <w:tcBorders>
              <w:tl2br w:val="nil"/>
              <w:tr2bl w:val="nil"/>
            </w:tcBorders>
            <w:noWrap w:val="0"/>
            <w:vAlign w:val="center"/>
          </w:tcPr>
          <w:p w14:paraId="3B267B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标准</w:t>
            </w:r>
          </w:p>
          <w:p w14:paraId="61DEC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指数</w:t>
            </w:r>
          </w:p>
        </w:tc>
        <w:tc>
          <w:tcPr>
            <w:tcW w:w="0" w:type="auto"/>
            <w:tcBorders>
              <w:tl2br w:val="nil"/>
              <w:tr2bl w:val="nil"/>
            </w:tcBorders>
            <w:noWrap w:val="0"/>
            <w:vAlign w:val="center"/>
          </w:tcPr>
          <w:p w14:paraId="07487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达标</w:t>
            </w:r>
          </w:p>
          <w:p w14:paraId="65A7D4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情况</w:t>
            </w:r>
          </w:p>
        </w:tc>
        <w:tc>
          <w:tcPr>
            <w:tcW w:w="0" w:type="auto"/>
            <w:tcBorders>
              <w:tl2br w:val="nil"/>
              <w:tr2bl w:val="nil"/>
            </w:tcBorders>
            <w:noWrap w:val="0"/>
            <w:vAlign w:val="center"/>
          </w:tcPr>
          <w:p w14:paraId="0CBB8E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监测值</w:t>
            </w:r>
          </w:p>
        </w:tc>
        <w:tc>
          <w:tcPr>
            <w:tcW w:w="0" w:type="auto"/>
            <w:tcBorders>
              <w:tl2br w:val="nil"/>
              <w:tr2bl w:val="nil"/>
            </w:tcBorders>
            <w:noWrap w:val="0"/>
            <w:vAlign w:val="center"/>
          </w:tcPr>
          <w:p w14:paraId="1CEF6E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标准</w:t>
            </w:r>
          </w:p>
          <w:p w14:paraId="59328D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指数</w:t>
            </w:r>
          </w:p>
        </w:tc>
        <w:tc>
          <w:tcPr>
            <w:tcW w:w="0" w:type="auto"/>
            <w:tcBorders>
              <w:tl2br w:val="nil"/>
              <w:tr2bl w:val="nil"/>
            </w:tcBorders>
            <w:noWrap w:val="0"/>
            <w:vAlign w:val="center"/>
          </w:tcPr>
          <w:p w14:paraId="0FA069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达标</w:t>
            </w:r>
          </w:p>
          <w:p w14:paraId="7C792C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情况</w:t>
            </w:r>
          </w:p>
        </w:tc>
        <w:tc>
          <w:tcPr>
            <w:tcW w:w="0" w:type="auto"/>
            <w:tcBorders>
              <w:tl2br w:val="nil"/>
              <w:tr2bl w:val="nil"/>
            </w:tcBorders>
            <w:noWrap w:val="0"/>
            <w:vAlign w:val="center"/>
          </w:tcPr>
          <w:p w14:paraId="1E58B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监测值</w:t>
            </w:r>
          </w:p>
        </w:tc>
        <w:tc>
          <w:tcPr>
            <w:tcW w:w="0" w:type="auto"/>
            <w:tcBorders>
              <w:tl2br w:val="nil"/>
              <w:tr2bl w:val="nil"/>
            </w:tcBorders>
            <w:noWrap w:val="0"/>
            <w:vAlign w:val="center"/>
          </w:tcPr>
          <w:p w14:paraId="38C189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标准</w:t>
            </w:r>
          </w:p>
          <w:p w14:paraId="7112C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指数</w:t>
            </w:r>
          </w:p>
        </w:tc>
        <w:tc>
          <w:tcPr>
            <w:tcW w:w="0" w:type="auto"/>
            <w:tcBorders>
              <w:tl2br w:val="nil"/>
              <w:tr2bl w:val="nil"/>
            </w:tcBorders>
            <w:noWrap w:val="0"/>
            <w:vAlign w:val="center"/>
          </w:tcPr>
          <w:p w14:paraId="60CA9C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达标</w:t>
            </w:r>
          </w:p>
          <w:p w14:paraId="50AFBC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情况</w:t>
            </w:r>
          </w:p>
        </w:tc>
        <w:tc>
          <w:tcPr>
            <w:tcW w:w="0" w:type="auto"/>
            <w:tcBorders>
              <w:tl2br w:val="nil"/>
              <w:tr2bl w:val="nil"/>
            </w:tcBorders>
            <w:noWrap w:val="0"/>
            <w:vAlign w:val="center"/>
          </w:tcPr>
          <w:p w14:paraId="2C0DE2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标准限值</w:t>
            </w:r>
          </w:p>
        </w:tc>
      </w:tr>
      <w:tr w14:paraId="0AC7C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7FDDD5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pH</w:t>
            </w:r>
          </w:p>
        </w:tc>
        <w:tc>
          <w:tcPr>
            <w:tcW w:w="0" w:type="auto"/>
            <w:tcBorders>
              <w:tl2br w:val="nil"/>
              <w:tr2bl w:val="nil"/>
            </w:tcBorders>
            <w:noWrap w:val="0"/>
            <w:vAlign w:val="center"/>
          </w:tcPr>
          <w:p w14:paraId="4BDB1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A024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7.5</w:t>
            </w:r>
          </w:p>
        </w:tc>
        <w:tc>
          <w:tcPr>
            <w:tcW w:w="0" w:type="auto"/>
            <w:tcBorders>
              <w:tl2br w:val="nil"/>
              <w:tr2bl w:val="nil"/>
            </w:tcBorders>
            <w:noWrap w:val="0"/>
            <w:vAlign w:val="center"/>
          </w:tcPr>
          <w:p w14:paraId="52A43D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EEC9E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DA783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7.4</w:t>
            </w:r>
          </w:p>
        </w:tc>
        <w:tc>
          <w:tcPr>
            <w:tcW w:w="0" w:type="auto"/>
            <w:tcBorders>
              <w:tl2br w:val="nil"/>
              <w:tr2bl w:val="nil"/>
            </w:tcBorders>
            <w:noWrap w:val="0"/>
            <w:vAlign w:val="center"/>
          </w:tcPr>
          <w:p w14:paraId="0EEEA5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E158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F61E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7.8</w:t>
            </w:r>
          </w:p>
        </w:tc>
        <w:tc>
          <w:tcPr>
            <w:tcW w:w="0" w:type="auto"/>
            <w:tcBorders>
              <w:tl2br w:val="nil"/>
              <w:tr2bl w:val="nil"/>
            </w:tcBorders>
            <w:noWrap w:val="0"/>
            <w:vAlign w:val="center"/>
          </w:tcPr>
          <w:p w14:paraId="50E9C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42D25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36CA0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6.5-8.5</w:t>
            </w:r>
          </w:p>
        </w:tc>
      </w:tr>
      <w:tr w14:paraId="33DB4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0BCE0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氟化物</w:t>
            </w:r>
          </w:p>
        </w:tc>
        <w:tc>
          <w:tcPr>
            <w:tcW w:w="0" w:type="auto"/>
            <w:tcBorders>
              <w:tl2br w:val="nil"/>
              <w:tr2bl w:val="nil"/>
            </w:tcBorders>
            <w:noWrap w:val="0"/>
            <w:vAlign w:val="center"/>
          </w:tcPr>
          <w:p w14:paraId="7EB88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412CB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0.534</w:t>
            </w:r>
          </w:p>
        </w:tc>
        <w:tc>
          <w:tcPr>
            <w:tcW w:w="0" w:type="auto"/>
            <w:tcBorders>
              <w:tl2br w:val="nil"/>
              <w:tr2bl w:val="nil"/>
            </w:tcBorders>
            <w:noWrap w:val="0"/>
            <w:vAlign w:val="center"/>
          </w:tcPr>
          <w:p w14:paraId="27D8D9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0.53 </w:t>
            </w:r>
          </w:p>
        </w:tc>
        <w:tc>
          <w:tcPr>
            <w:tcW w:w="0" w:type="auto"/>
            <w:tcBorders>
              <w:tl2br w:val="nil"/>
              <w:tr2bl w:val="nil"/>
            </w:tcBorders>
            <w:noWrap w:val="0"/>
            <w:vAlign w:val="center"/>
          </w:tcPr>
          <w:p w14:paraId="4F62F4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7510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0.353</w:t>
            </w:r>
          </w:p>
        </w:tc>
        <w:tc>
          <w:tcPr>
            <w:tcW w:w="0" w:type="auto"/>
            <w:tcBorders>
              <w:tl2br w:val="nil"/>
              <w:tr2bl w:val="nil"/>
            </w:tcBorders>
            <w:noWrap w:val="0"/>
            <w:vAlign w:val="center"/>
          </w:tcPr>
          <w:p w14:paraId="0C317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0.35 </w:t>
            </w:r>
          </w:p>
        </w:tc>
        <w:tc>
          <w:tcPr>
            <w:tcW w:w="0" w:type="auto"/>
            <w:tcBorders>
              <w:tl2br w:val="nil"/>
              <w:tr2bl w:val="nil"/>
            </w:tcBorders>
            <w:noWrap w:val="0"/>
            <w:vAlign w:val="center"/>
          </w:tcPr>
          <w:p w14:paraId="41EB76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ABF94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0.669</w:t>
            </w:r>
          </w:p>
        </w:tc>
        <w:tc>
          <w:tcPr>
            <w:tcW w:w="0" w:type="auto"/>
            <w:tcBorders>
              <w:tl2br w:val="nil"/>
              <w:tr2bl w:val="nil"/>
            </w:tcBorders>
            <w:noWrap w:val="0"/>
            <w:vAlign w:val="center"/>
          </w:tcPr>
          <w:p w14:paraId="445A6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0.67 </w:t>
            </w:r>
          </w:p>
        </w:tc>
        <w:tc>
          <w:tcPr>
            <w:tcW w:w="0" w:type="auto"/>
            <w:tcBorders>
              <w:tl2br w:val="nil"/>
              <w:tr2bl w:val="nil"/>
            </w:tcBorders>
            <w:noWrap w:val="0"/>
            <w:vAlign w:val="center"/>
          </w:tcPr>
          <w:p w14:paraId="3BBEF9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92590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 xml:space="preserve"> </w:t>
            </w:r>
            <w:r>
              <w:rPr>
                <w:rFonts w:hint="eastAsia" w:ascii="Times New Roman" w:hAnsi="宋体" w:eastAsia="宋体" w:cs="Times New Roman"/>
                <w:color w:val="auto"/>
                <w:sz w:val="21"/>
                <w:szCs w:val="21"/>
                <w:highlight w:val="none"/>
                <w:lang w:val="en-US" w:eastAsia="zh-CN"/>
              </w:rPr>
              <w:t>1.0</w:t>
            </w:r>
          </w:p>
        </w:tc>
      </w:tr>
      <w:tr w14:paraId="746BB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3B560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F -</w:t>
            </w:r>
          </w:p>
        </w:tc>
        <w:tc>
          <w:tcPr>
            <w:tcW w:w="0" w:type="auto"/>
            <w:tcBorders>
              <w:tl2br w:val="nil"/>
              <w:tr2bl w:val="nil"/>
            </w:tcBorders>
            <w:noWrap w:val="0"/>
            <w:vAlign w:val="center"/>
          </w:tcPr>
          <w:p w14:paraId="2ECC9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26EF70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0.534</w:t>
            </w:r>
          </w:p>
        </w:tc>
        <w:tc>
          <w:tcPr>
            <w:tcW w:w="0" w:type="auto"/>
            <w:tcBorders>
              <w:tl2br w:val="nil"/>
              <w:tr2bl w:val="nil"/>
            </w:tcBorders>
            <w:noWrap w:val="0"/>
            <w:vAlign w:val="center"/>
          </w:tcPr>
          <w:p w14:paraId="0AD65F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0.53 </w:t>
            </w:r>
          </w:p>
        </w:tc>
        <w:tc>
          <w:tcPr>
            <w:tcW w:w="0" w:type="auto"/>
            <w:tcBorders>
              <w:tl2br w:val="nil"/>
              <w:tr2bl w:val="nil"/>
            </w:tcBorders>
            <w:noWrap w:val="0"/>
            <w:vAlign w:val="center"/>
          </w:tcPr>
          <w:p w14:paraId="27F411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D37E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0.353</w:t>
            </w:r>
          </w:p>
        </w:tc>
        <w:tc>
          <w:tcPr>
            <w:tcW w:w="0" w:type="auto"/>
            <w:tcBorders>
              <w:tl2br w:val="nil"/>
              <w:tr2bl w:val="nil"/>
            </w:tcBorders>
            <w:noWrap w:val="0"/>
            <w:vAlign w:val="center"/>
          </w:tcPr>
          <w:p w14:paraId="0A358C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0.35 </w:t>
            </w:r>
          </w:p>
        </w:tc>
        <w:tc>
          <w:tcPr>
            <w:tcW w:w="0" w:type="auto"/>
            <w:tcBorders>
              <w:tl2br w:val="nil"/>
              <w:tr2bl w:val="nil"/>
            </w:tcBorders>
            <w:noWrap w:val="0"/>
            <w:vAlign w:val="center"/>
          </w:tcPr>
          <w:p w14:paraId="08A1E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88C4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0.669</w:t>
            </w:r>
          </w:p>
        </w:tc>
        <w:tc>
          <w:tcPr>
            <w:tcW w:w="0" w:type="auto"/>
            <w:tcBorders>
              <w:tl2br w:val="nil"/>
              <w:tr2bl w:val="nil"/>
            </w:tcBorders>
            <w:noWrap w:val="0"/>
            <w:vAlign w:val="center"/>
          </w:tcPr>
          <w:p w14:paraId="567535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0.67 </w:t>
            </w:r>
          </w:p>
        </w:tc>
        <w:tc>
          <w:tcPr>
            <w:tcW w:w="0" w:type="auto"/>
            <w:tcBorders>
              <w:tl2br w:val="nil"/>
              <w:tr2bl w:val="nil"/>
            </w:tcBorders>
            <w:noWrap w:val="0"/>
            <w:vAlign w:val="center"/>
          </w:tcPr>
          <w:p w14:paraId="193588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AC4C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 xml:space="preserve"> </w:t>
            </w:r>
            <w:r>
              <w:rPr>
                <w:rFonts w:hint="eastAsia" w:ascii="Times New Roman" w:hAnsi="宋体" w:eastAsia="宋体" w:cs="Times New Roman"/>
                <w:color w:val="auto"/>
                <w:sz w:val="21"/>
                <w:szCs w:val="21"/>
                <w:highlight w:val="none"/>
                <w:lang w:val="en-US" w:eastAsia="zh-CN"/>
              </w:rPr>
              <w:t>1.0</w:t>
            </w:r>
          </w:p>
        </w:tc>
      </w:tr>
      <w:tr w14:paraId="1ABD0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0DEDDF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氯化物</w:t>
            </w:r>
          </w:p>
        </w:tc>
        <w:tc>
          <w:tcPr>
            <w:tcW w:w="0" w:type="auto"/>
            <w:tcBorders>
              <w:tl2br w:val="nil"/>
              <w:tr2bl w:val="nil"/>
            </w:tcBorders>
            <w:noWrap w:val="0"/>
            <w:vAlign w:val="center"/>
          </w:tcPr>
          <w:p w14:paraId="432E66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6CD60D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58.1</w:t>
            </w:r>
          </w:p>
        </w:tc>
        <w:tc>
          <w:tcPr>
            <w:tcW w:w="0" w:type="auto"/>
            <w:tcBorders>
              <w:tl2br w:val="nil"/>
              <w:tr2bl w:val="nil"/>
            </w:tcBorders>
            <w:noWrap w:val="0"/>
            <w:vAlign w:val="center"/>
          </w:tcPr>
          <w:p w14:paraId="136708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0.23 </w:t>
            </w:r>
          </w:p>
        </w:tc>
        <w:tc>
          <w:tcPr>
            <w:tcW w:w="0" w:type="auto"/>
            <w:tcBorders>
              <w:tl2br w:val="nil"/>
              <w:tr2bl w:val="nil"/>
            </w:tcBorders>
            <w:noWrap w:val="0"/>
            <w:vAlign w:val="center"/>
          </w:tcPr>
          <w:p w14:paraId="49F614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41A0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23.5</w:t>
            </w:r>
          </w:p>
        </w:tc>
        <w:tc>
          <w:tcPr>
            <w:tcW w:w="0" w:type="auto"/>
            <w:tcBorders>
              <w:tl2br w:val="nil"/>
              <w:tr2bl w:val="nil"/>
            </w:tcBorders>
            <w:noWrap w:val="0"/>
            <w:vAlign w:val="center"/>
          </w:tcPr>
          <w:p w14:paraId="45F62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0.09 </w:t>
            </w:r>
          </w:p>
        </w:tc>
        <w:tc>
          <w:tcPr>
            <w:tcW w:w="0" w:type="auto"/>
            <w:tcBorders>
              <w:tl2br w:val="nil"/>
              <w:tr2bl w:val="nil"/>
            </w:tcBorders>
            <w:noWrap w:val="0"/>
            <w:vAlign w:val="center"/>
          </w:tcPr>
          <w:p w14:paraId="5AB3E9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D323E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60.3</w:t>
            </w:r>
          </w:p>
        </w:tc>
        <w:tc>
          <w:tcPr>
            <w:tcW w:w="0" w:type="auto"/>
            <w:tcBorders>
              <w:tl2br w:val="nil"/>
              <w:tr2bl w:val="nil"/>
            </w:tcBorders>
            <w:noWrap w:val="0"/>
            <w:vAlign w:val="center"/>
          </w:tcPr>
          <w:p w14:paraId="75CC8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0.24 </w:t>
            </w:r>
          </w:p>
        </w:tc>
        <w:tc>
          <w:tcPr>
            <w:tcW w:w="0" w:type="auto"/>
            <w:tcBorders>
              <w:tl2br w:val="nil"/>
              <w:tr2bl w:val="nil"/>
            </w:tcBorders>
            <w:noWrap w:val="0"/>
            <w:vAlign w:val="center"/>
          </w:tcPr>
          <w:p w14:paraId="30CCDE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EF853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250</w:t>
            </w:r>
          </w:p>
        </w:tc>
      </w:tr>
      <w:tr w14:paraId="4147C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41598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Cl-</w:t>
            </w:r>
          </w:p>
        </w:tc>
        <w:tc>
          <w:tcPr>
            <w:tcW w:w="0" w:type="auto"/>
            <w:tcBorders>
              <w:tl2br w:val="nil"/>
              <w:tr2bl w:val="nil"/>
            </w:tcBorders>
            <w:noWrap w:val="0"/>
            <w:vAlign w:val="center"/>
          </w:tcPr>
          <w:p w14:paraId="074FB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69FFC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58.1</w:t>
            </w:r>
          </w:p>
        </w:tc>
        <w:tc>
          <w:tcPr>
            <w:tcW w:w="0" w:type="auto"/>
            <w:tcBorders>
              <w:tl2br w:val="nil"/>
              <w:tr2bl w:val="nil"/>
            </w:tcBorders>
            <w:noWrap w:val="0"/>
            <w:vAlign w:val="center"/>
          </w:tcPr>
          <w:p w14:paraId="23BC0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0.23 </w:t>
            </w:r>
          </w:p>
        </w:tc>
        <w:tc>
          <w:tcPr>
            <w:tcW w:w="0" w:type="auto"/>
            <w:tcBorders>
              <w:tl2br w:val="nil"/>
              <w:tr2bl w:val="nil"/>
            </w:tcBorders>
            <w:noWrap w:val="0"/>
            <w:vAlign w:val="center"/>
          </w:tcPr>
          <w:p w14:paraId="0A83C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E6B4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23.5</w:t>
            </w:r>
          </w:p>
        </w:tc>
        <w:tc>
          <w:tcPr>
            <w:tcW w:w="0" w:type="auto"/>
            <w:tcBorders>
              <w:tl2br w:val="nil"/>
              <w:tr2bl w:val="nil"/>
            </w:tcBorders>
            <w:noWrap w:val="0"/>
            <w:vAlign w:val="center"/>
          </w:tcPr>
          <w:p w14:paraId="68453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0.09 </w:t>
            </w:r>
          </w:p>
        </w:tc>
        <w:tc>
          <w:tcPr>
            <w:tcW w:w="0" w:type="auto"/>
            <w:tcBorders>
              <w:tl2br w:val="nil"/>
              <w:tr2bl w:val="nil"/>
            </w:tcBorders>
            <w:noWrap w:val="0"/>
            <w:vAlign w:val="center"/>
          </w:tcPr>
          <w:p w14:paraId="5C1082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2C31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60.3</w:t>
            </w:r>
          </w:p>
        </w:tc>
        <w:tc>
          <w:tcPr>
            <w:tcW w:w="0" w:type="auto"/>
            <w:tcBorders>
              <w:tl2br w:val="nil"/>
              <w:tr2bl w:val="nil"/>
            </w:tcBorders>
            <w:noWrap w:val="0"/>
            <w:vAlign w:val="center"/>
          </w:tcPr>
          <w:p w14:paraId="4308CD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0.24 </w:t>
            </w:r>
          </w:p>
        </w:tc>
        <w:tc>
          <w:tcPr>
            <w:tcW w:w="0" w:type="auto"/>
            <w:tcBorders>
              <w:tl2br w:val="nil"/>
              <w:tr2bl w:val="nil"/>
            </w:tcBorders>
            <w:noWrap w:val="0"/>
            <w:vAlign w:val="center"/>
          </w:tcPr>
          <w:p w14:paraId="5EE145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A8072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250</w:t>
            </w:r>
          </w:p>
        </w:tc>
      </w:tr>
      <w:tr w14:paraId="30D91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3A484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硫酸盐</w:t>
            </w:r>
          </w:p>
        </w:tc>
        <w:tc>
          <w:tcPr>
            <w:tcW w:w="0" w:type="auto"/>
            <w:tcBorders>
              <w:tl2br w:val="nil"/>
              <w:tr2bl w:val="nil"/>
            </w:tcBorders>
            <w:noWrap w:val="0"/>
            <w:vAlign w:val="center"/>
          </w:tcPr>
          <w:p w14:paraId="0B0548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2ACCE3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32.2</w:t>
            </w:r>
          </w:p>
        </w:tc>
        <w:tc>
          <w:tcPr>
            <w:tcW w:w="0" w:type="auto"/>
            <w:tcBorders>
              <w:tl2br w:val="nil"/>
              <w:tr2bl w:val="nil"/>
            </w:tcBorders>
            <w:noWrap w:val="0"/>
            <w:vAlign w:val="center"/>
          </w:tcPr>
          <w:p w14:paraId="57F75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0.13 </w:t>
            </w:r>
          </w:p>
        </w:tc>
        <w:tc>
          <w:tcPr>
            <w:tcW w:w="0" w:type="auto"/>
            <w:tcBorders>
              <w:tl2br w:val="nil"/>
              <w:tr2bl w:val="nil"/>
            </w:tcBorders>
            <w:noWrap w:val="0"/>
            <w:vAlign w:val="center"/>
          </w:tcPr>
          <w:p w14:paraId="3CD5E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92EBC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19.9</w:t>
            </w:r>
          </w:p>
        </w:tc>
        <w:tc>
          <w:tcPr>
            <w:tcW w:w="0" w:type="auto"/>
            <w:tcBorders>
              <w:tl2br w:val="nil"/>
              <w:tr2bl w:val="nil"/>
            </w:tcBorders>
            <w:noWrap w:val="0"/>
            <w:vAlign w:val="center"/>
          </w:tcPr>
          <w:p w14:paraId="79E52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0.08 </w:t>
            </w:r>
          </w:p>
        </w:tc>
        <w:tc>
          <w:tcPr>
            <w:tcW w:w="0" w:type="auto"/>
            <w:tcBorders>
              <w:tl2br w:val="nil"/>
              <w:tr2bl w:val="nil"/>
            </w:tcBorders>
            <w:noWrap w:val="0"/>
            <w:vAlign w:val="center"/>
          </w:tcPr>
          <w:p w14:paraId="4A60C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DA44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33.5</w:t>
            </w:r>
          </w:p>
        </w:tc>
        <w:tc>
          <w:tcPr>
            <w:tcW w:w="0" w:type="auto"/>
            <w:tcBorders>
              <w:tl2br w:val="nil"/>
              <w:tr2bl w:val="nil"/>
            </w:tcBorders>
            <w:noWrap w:val="0"/>
            <w:vAlign w:val="center"/>
          </w:tcPr>
          <w:p w14:paraId="63848D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0.13 </w:t>
            </w:r>
          </w:p>
        </w:tc>
        <w:tc>
          <w:tcPr>
            <w:tcW w:w="0" w:type="auto"/>
            <w:tcBorders>
              <w:tl2br w:val="nil"/>
              <w:tr2bl w:val="nil"/>
            </w:tcBorders>
            <w:noWrap w:val="0"/>
            <w:vAlign w:val="center"/>
          </w:tcPr>
          <w:p w14:paraId="046009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EBFF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≤250</w:t>
            </w:r>
          </w:p>
        </w:tc>
      </w:tr>
      <w:tr w14:paraId="6C669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31EB7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SO4 2-</w:t>
            </w:r>
          </w:p>
        </w:tc>
        <w:tc>
          <w:tcPr>
            <w:tcW w:w="0" w:type="auto"/>
            <w:tcBorders>
              <w:tl2br w:val="nil"/>
              <w:tr2bl w:val="nil"/>
            </w:tcBorders>
            <w:noWrap w:val="0"/>
            <w:vAlign w:val="center"/>
          </w:tcPr>
          <w:p w14:paraId="1BEB74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2907F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32.2</w:t>
            </w:r>
          </w:p>
        </w:tc>
        <w:tc>
          <w:tcPr>
            <w:tcW w:w="0" w:type="auto"/>
            <w:tcBorders>
              <w:tl2br w:val="nil"/>
              <w:tr2bl w:val="nil"/>
            </w:tcBorders>
            <w:noWrap w:val="0"/>
            <w:vAlign w:val="center"/>
          </w:tcPr>
          <w:p w14:paraId="5F81F1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0.13 </w:t>
            </w:r>
          </w:p>
        </w:tc>
        <w:tc>
          <w:tcPr>
            <w:tcW w:w="0" w:type="auto"/>
            <w:tcBorders>
              <w:tl2br w:val="nil"/>
              <w:tr2bl w:val="nil"/>
            </w:tcBorders>
            <w:noWrap w:val="0"/>
            <w:vAlign w:val="center"/>
          </w:tcPr>
          <w:p w14:paraId="4506A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144B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19.9</w:t>
            </w:r>
          </w:p>
        </w:tc>
        <w:tc>
          <w:tcPr>
            <w:tcW w:w="0" w:type="auto"/>
            <w:tcBorders>
              <w:tl2br w:val="nil"/>
              <w:tr2bl w:val="nil"/>
            </w:tcBorders>
            <w:noWrap w:val="0"/>
            <w:vAlign w:val="center"/>
          </w:tcPr>
          <w:p w14:paraId="0BF243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0.08 </w:t>
            </w:r>
          </w:p>
        </w:tc>
        <w:tc>
          <w:tcPr>
            <w:tcW w:w="0" w:type="auto"/>
            <w:tcBorders>
              <w:tl2br w:val="nil"/>
              <w:tr2bl w:val="nil"/>
            </w:tcBorders>
            <w:noWrap w:val="0"/>
            <w:vAlign w:val="center"/>
          </w:tcPr>
          <w:p w14:paraId="3F1D53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65671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33.5</w:t>
            </w:r>
          </w:p>
        </w:tc>
        <w:tc>
          <w:tcPr>
            <w:tcW w:w="0" w:type="auto"/>
            <w:tcBorders>
              <w:tl2br w:val="nil"/>
              <w:tr2bl w:val="nil"/>
            </w:tcBorders>
            <w:noWrap w:val="0"/>
            <w:vAlign w:val="center"/>
          </w:tcPr>
          <w:p w14:paraId="267C5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0.13 </w:t>
            </w:r>
          </w:p>
        </w:tc>
        <w:tc>
          <w:tcPr>
            <w:tcW w:w="0" w:type="auto"/>
            <w:tcBorders>
              <w:tl2br w:val="nil"/>
              <w:tr2bl w:val="nil"/>
            </w:tcBorders>
            <w:noWrap w:val="0"/>
            <w:vAlign w:val="center"/>
          </w:tcPr>
          <w:p w14:paraId="4DCAB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C10F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≤250</w:t>
            </w:r>
          </w:p>
        </w:tc>
      </w:tr>
      <w:tr w14:paraId="28CA3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33EE7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氨氮</w:t>
            </w:r>
          </w:p>
        </w:tc>
        <w:tc>
          <w:tcPr>
            <w:tcW w:w="0" w:type="auto"/>
            <w:tcBorders>
              <w:tl2br w:val="nil"/>
              <w:tr2bl w:val="nil"/>
            </w:tcBorders>
            <w:noWrap w:val="0"/>
            <w:vAlign w:val="center"/>
          </w:tcPr>
          <w:p w14:paraId="359346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5B0DA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0.098</w:t>
            </w:r>
          </w:p>
        </w:tc>
        <w:tc>
          <w:tcPr>
            <w:tcW w:w="0" w:type="auto"/>
            <w:tcBorders>
              <w:tl2br w:val="nil"/>
              <w:tr2bl w:val="nil"/>
            </w:tcBorders>
            <w:noWrap w:val="0"/>
            <w:vAlign w:val="center"/>
          </w:tcPr>
          <w:p w14:paraId="52C0A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0.20 </w:t>
            </w:r>
          </w:p>
        </w:tc>
        <w:tc>
          <w:tcPr>
            <w:tcW w:w="0" w:type="auto"/>
            <w:tcBorders>
              <w:tl2br w:val="nil"/>
              <w:tr2bl w:val="nil"/>
            </w:tcBorders>
            <w:noWrap w:val="0"/>
            <w:vAlign w:val="center"/>
          </w:tcPr>
          <w:p w14:paraId="73414C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F39D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0.025L</w:t>
            </w:r>
          </w:p>
        </w:tc>
        <w:tc>
          <w:tcPr>
            <w:tcW w:w="0" w:type="auto"/>
            <w:tcBorders>
              <w:tl2br w:val="nil"/>
              <w:tr2bl w:val="nil"/>
            </w:tcBorders>
            <w:noWrap w:val="0"/>
            <w:vAlign w:val="center"/>
          </w:tcPr>
          <w:p w14:paraId="3EBA45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0.05 </w:t>
            </w:r>
          </w:p>
        </w:tc>
        <w:tc>
          <w:tcPr>
            <w:tcW w:w="0" w:type="auto"/>
            <w:tcBorders>
              <w:tl2br w:val="nil"/>
              <w:tr2bl w:val="nil"/>
            </w:tcBorders>
            <w:noWrap w:val="0"/>
            <w:vAlign w:val="center"/>
          </w:tcPr>
          <w:p w14:paraId="4B54BF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B2C8F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0.062</w:t>
            </w:r>
          </w:p>
        </w:tc>
        <w:tc>
          <w:tcPr>
            <w:tcW w:w="0" w:type="auto"/>
            <w:tcBorders>
              <w:tl2br w:val="nil"/>
              <w:tr2bl w:val="nil"/>
            </w:tcBorders>
            <w:noWrap w:val="0"/>
            <w:vAlign w:val="center"/>
          </w:tcPr>
          <w:p w14:paraId="7D442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0.12 </w:t>
            </w:r>
          </w:p>
        </w:tc>
        <w:tc>
          <w:tcPr>
            <w:tcW w:w="0" w:type="auto"/>
            <w:tcBorders>
              <w:tl2br w:val="nil"/>
              <w:tr2bl w:val="nil"/>
            </w:tcBorders>
            <w:noWrap w:val="0"/>
            <w:vAlign w:val="center"/>
          </w:tcPr>
          <w:p w14:paraId="61462A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76112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0.</w:t>
            </w:r>
            <w:r>
              <w:rPr>
                <w:rFonts w:hint="eastAsia" w:ascii="Times New Roman" w:hAnsi="宋体" w:eastAsia="宋体" w:cs="Times New Roman"/>
                <w:color w:val="auto"/>
                <w:sz w:val="21"/>
                <w:szCs w:val="21"/>
                <w:highlight w:val="none"/>
                <w:lang w:val="en-US" w:eastAsia="zh-CN"/>
              </w:rPr>
              <w:t>50</w:t>
            </w:r>
          </w:p>
        </w:tc>
      </w:tr>
      <w:tr w14:paraId="4A6D9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6C6D69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亚硝酸盐氮</w:t>
            </w:r>
          </w:p>
        </w:tc>
        <w:tc>
          <w:tcPr>
            <w:tcW w:w="0" w:type="auto"/>
            <w:tcBorders>
              <w:tl2br w:val="nil"/>
              <w:tr2bl w:val="nil"/>
            </w:tcBorders>
            <w:noWrap w:val="0"/>
            <w:vAlign w:val="center"/>
          </w:tcPr>
          <w:p w14:paraId="3000DF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446FB8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0.003L</w:t>
            </w:r>
          </w:p>
        </w:tc>
        <w:tc>
          <w:tcPr>
            <w:tcW w:w="0" w:type="auto"/>
            <w:tcBorders>
              <w:tl2br w:val="nil"/>
              <w:tr2bl w:val="nil"/>
            </w:tcBorders>
            <w:noWrap w:val="0"/>
            <w:vAlign w:val="center"/>
          </w:tcPr>
          <w:p w14:paraId="279088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 xml:space="preserve">0.00 </w:t>
            </w:r>
          </w:p>
        </w:tc>
        <w:tc>
          <w:tcPr>
            <w:tcW w:w="0" w:type="auto"/>
            <w:tcBorders>
              <w:tl2br w:val="nil"/>
              <w:tr2bl w:val="nil"/>
            </w:tcBorders>
            <w:noWrap w:val="0"/>
            <w:vAlign w:val="center"/>
          </w:tcPr>
          <w:p w14:paraId="6A9B8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D2BEF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0.003L</w:t>
            </w:r>
          </w:p>
        </w:tc>
        <w:tc>
          <w:tcPr>
            <w:tcW w:w="0" w:type="auto"/>
            <w:tcBorders>
              <w:tl2br w:val="nil"/>
              <w:tr2bl w:val="nil"/>
            </w:tcBorders>
            <w:noWrap w:val="0"/>
            <w:vAlign w:val="center"/>
          </w:tcPr>
          <w:p w14:paraId="5A471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 xml:space="preserve">0.00 </w:t>
            </w:r>
          </w:p>
        </w:tc>
        <w:tc>
          <w:tcPr>
            <w:tcW w:w="0" w:type="auto"/>
            <w:tcBorders>
              <w:tl2br w:val="nil"/>
              <w:tr2bl w:val="nil"/>
            </w:tcBorders>
            <w:noWrap w:val="0"/>
            <w:vAlign w:val="center"/>
          </w:tcPr>
          <w:p w14:paraId="42E9F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B9858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0.003L</w:t>
            </w:r>
          </w:p>
        </w:tc>
        <w:tc>
          <w:tcPr>
            <w:tcW w:w="0" w:type="auto"/>
            <w:tcBorders>
              <w:tl2br w:val="nil"/>
              <w:tr2bl w:val="nil"/>
            </w:tcBorders>
            <w:noWrap w:val="0"/>
            <w:vAlign w:val="center"/>
          </w:tcPr>
          <w:p w14:paraId="57F97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0.00 </w:t>
            </w:r>
          </w:p>
        </w:tc>
        <w:tc>
          <w:tcPr>
            <w:tcW w:w="0" w:type="auto"/>
            <w:tcBorders>
              <w:tl2br w:val="nil"/>
              <w:tr2bl w:val="nil"/>
            </w:tcBorders>
            <w:noWrap w:val="0"/>
            <w:vAlign w:val="center"/>
          </w:tcPr>
          <w:p w14:paraId="2B8738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DFD4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≤1.00</w:t>
            </w:r>
          </w:p>
        </w:tc>
      </w:tr>
      <w:tr w14:paraId="20BF1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41220E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砷</w:t>
            </w:r>
          </w:p>
        </w:tc>
        <w:tc>
          <w:tcPr>
            <w:tcW w:w="0" w:type="auto"/>
            <w:tcBorders>
              <w:tl2br w:val="nil"/>
              <w:tr2bl w:val="nil"/>
            </w:tcBorders>
            <w:noWrap w:val="0"/>
            <w:vAlign w:val="center"/>
          </w:tcPr>
          <w:p w14:paraId="78A5E0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46862F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0.0003L</w:t>
            </w:r>
          </w:p>
        </w:tc>
        <w:tc>
          <w:tcPr>
            <w:tcW w:w="0" w:type="auto"/>
            <w:tcBorders>
              <w:tl2br w:val="nil"/>
              <w:tr2bl w:val="nil"/>
            </w:tcBorders>
            <w:noWrap w:val="0"/>
            <w:vAlign w:val="center"/>
          </w:tcPr>
          <w:p w14:paraId="507AD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0.03 </w:t>
            </w:r>
          </w:p>
        </w:tc>
        <w:tc>
          <w:tcPr>
            <w:tcW w:w="0" w:type="auto"/>
            <w:tcBorders>
              <w:tl2br w:val="nil"/>
              <w:tr2bl w:val="nil"/>
            </w:tcBorders>
            <w:noWrap w:val="0"/>
            <w:vAlign w:val="center"/>
          </w:tcPr>
          <w:p w14:paraId="054F61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3FCD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0.0003L</w:t>
            </w:r>
          </w:p>
        </w:tc>
        <w:tc>
          <w:tcPr>
            <w:tcW w:w="0" w:type="auto"/>
            <w:tcBorders>
              <w:tl2br w:val="nil"/>
              <w:tr2bl w:val="nil"/>
            </w:tcBorders>
            <w:noWrap w:val="0"/>
            <w:vAlign w:val="center"/>
          </w:tcPr>
          <w:p w14:paraId="61A10A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0.03 </w:t>
            </w:r>
          </w:p>
        </w:tc>
        <w:tc>
          <w:tcPr>
            <w:tcW w:w="0" w:type="auto"/>
            <w:tcBorders>
              <w:tl2br w:val="nil"/>
              <w:tr2bl w:val="nil"/>
            </w:tcBorders>
            <w:noWrap w:val="0"/>
            <w:vAlign w:val="center"/>
          </w:tcPr>
          <w:p w14:paraId="05932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4204A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0.0003L</w:t>
            </w:r>
          </w:p>
        </w:tc>
        <w:tc>
          <w:tcPr>
            <w:tcW w:w="0" w:type="auto"/>
            <w:tcBorders>
              <w:tl2br w:val="nil"/>
              <w:tr2bl w:val="nil"/>
            </w:tcBorders>
            <w:noWrap w:val="0"/>
            <w:vAlign w:val="center"/>
          </w:tcPr>
          <w:p w14:paraId="340FD3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0.03 </w:t>
            </w:r>
          </w:p>
        </w:tc>
        <w:tc>
          <w:tcPr>
            <w:tcW w:w="0" w:type="auto"/>
            <w:tcBorders>
              <w:tl2br w:val="nil"/>
              <w:tr2bl w:val="nil"/>
            </w:tcBorders>
            <w:noWrap w:val="0"/>
            <w:vAlign w:val="center"/>
          </w:tcPr>
          <w:p w14:paraId="0B3828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EC72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0.</w:t>
            </w:r>
            <w:r>
              <w:rPr>
                <w:rFonts w:hint="eastAsia" w:ascii="Times New Roman" w:hAnsi="宋体" w:eastAsia="宋体" w:cs="Times New Roman"/>
                <w:color w:val="auto"/>
                <w:sz w:val="21"/>
                <w:szCs w:val="21"/>
                <w:highlight w:val="none"/>
                <w:lang w:val="en-US" w:eastAsia="zh-CN"/>
              </w:rPr>
              <w:t>01</w:t>
            </w:r>
          </w:p>
        </w:tc>
      </w:tr>
      <w:tr w14:paraId="03F23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710E50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汞</w:t>
            </w:r>
          </w:p>
        </w:tc>
        <w:tc>
          <w:tcPr>
            <w:tcW w:w="0" w:type="auto"/>
            <w:tcBorders>
              <w:tl2br w:val="nil"/>
              <w:tr2bl w:val="nil"/>
            </w:tcBorders>
            <w:noWrap w:val="0"/>
            <w:vAlign w:val="center"/>
          </w:tcPr>
          <w:p w14:paraId="67681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3407A9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0.00004L</w:t>
            </w:r>
          </w:p>
        </w:tc>
        <w:tc>
          <w:tcPr>
            <w:tcW w:w="0" w:type="auto"/>
            <w:tcBorders>
              <w:tl2br w:val="nil"/>
              <w:tr2bl w:val="nil"/>
            </w:tcBorders>
            <w:noWrap w:val="0"/>
            <w:vAlign w:val="center"/>
          </w:tcPr>
          <w:p w14:paraId="6625B8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0.04 </w:t>
            </w:r>
          </w:p>
        </w:tc>
        <w:tc>
          <w:tcPr>
            <w:tcW w:w="0" w:type="auto"/>
            <w:tcBorders>
              <w:tl2br w:val="nil"/>
              <w:tr2bl w:val="nil"/>
            </w:tcBorders>
            <w:noWrap w:val="0"/>
            <w:vAlign w:val="center"/>
          </w:tcPr>
          <w:p w14:paraId="3D7B1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9E74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0.00004L</w:t>
            </w:r>
          </w:p>
        </w:tc>
        <w:tc>
          <w:tcPr>
            <w:tcW w:w="0" w:type="auto"/>
            <w:tcBorders>
              <w:tl2br w:val="nil"/>
              <w:tr2bl w:val="nil"/>
            </w:tcBorders>
            <w:noWrap w:val="0"/>
            <w:vAlign w:val="center"/>
          </w:tcPr>
          <w:p w14:paraId="43D0CB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0.04 </w:t>
            </w:r>
          </w:p>
        </w:tc>
        <w:tc>
          <w:tcPr>
            <w:tcW w:w="0" w:type="auto"/>
            <w:tcBorders>
              <w:tl2br w:val="nil"/>
              <w:tr2bl w:val="nil"/>
            </w:tcBorders>
            <w:noWrap w:val="0"/>
            <w:vAlign w:val="center"/>
          </w:tcPr>
          <w:p w14:paraId="23DA8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578B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0.00004L</w:t>
            </w:r>
          </w:p>
        </w:tc>
        <w:tc>
          <w:tcPr>
            <w:tcW w:w="0" w:type="auto"/>
            <w:tcBorders>
              <w:tl2br w:val="nil"/>
              <w:tr2bl w:val="nil"/>
            </w:tcBorders>
            <w:noWrap w:val="0"/>
            <w:vAlign w:val="center"/>
          </w:tcPr>
          <w:p w14:paraId="7B686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0.04 </w:t>
            </w:r>
          </w:p>
        </w:tc>
        <w:tc>
          <w:tcPr>
            <w:tcW w:w="0" w:type="auto"/>
            <w:tcBorders>
              <w:tl2br w:val="nil"/>
              <w:tr2bl w:val="nil"/>
            </w:tcBorders>
            <w:noWrap w:val="0"/>
            <w:vAlign w:val="center"/>
          </w:tcPr>
          <w:p w14:paraId="3A062E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3AAB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001</w:t>
            </w:r>
          </w:p>
        </w:tc>
      </w:tr>
      <w:tr w14:paraId="4721B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6A3313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铁</w:t>
            </w:r>
          </w:p>
        </w:tc>
        <w:tc>
          <w:tcPr>
            <w:tcW w:w="0" w:type="auto"/>
            <w:tcBorders>
              <w:tl2br w:val="nil"/>
              <w:tr2bl w:val="nil"/>
            </w:tcBorders>
            <w:noWrap w:val="0"/>
            <w:vAlign w:val="center"/>
          </w:tcPr>
          <w:p w14:paraId="25401D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4B8BC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0.03L</w:t>
            </w:r>
          </w:p>
        </w:tc>
        <w:tc>
          <w:tcPr>
            <w:tcW w:w="0" w:type="auto"/>
            <w:tcBorders>
              <w:tl2br w:val="nil"/>
              <w:tr2bl w:val="nil"/>
            </w:tcBorders>
            <w:noWrap w:val="0"/>
            <w:vAlign w:val="center"/>
          </w:tcPr>
          <w:p w14:paraId="4502D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0.10 </w:t>
            </w:r>
          </w:p>
        </w:tc>
        <w:tc>
          <w:tcPr>
            <w:tcW w:w="0" w:type="auto"/>
            <w:tcBorders>
              <w:tl2br w:val="nil"/>
              <w:tr2bl w:val="nil"/>
            </w:tcBorders>
            <w:noWrap w:val="0"/>
            <w:vAlign w:val="center"/>
          </w:tcPr>
          <w:p w14:paraId="49776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1FB3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0.03L</w:t>
            </w:r>
          </w:p>
        </w:tc>
        <w:tc>
          <w:tcPr>
            <w:tcW w:w="0" w:type="auto"/>
            <w:tcBorders>
              <w:tl2br w:val="nil"/>
              <w:tr2bl w:val="nil"/>
            </w:tcBorders>
            <w:noWrap w:val="0"/>
            <w:vAlign w:val="center"/>
          </w:tcPr>
          <w:p w14:paraId="7482C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0.10 </w:t>
            </w:r>
          </w:p>
        </w:tc>
        <w:tc>
          <w:tcPr>
            <w:tcW w:w="0" w:type="auto"/>
            <w:tcBorders>
              <w:tl2br w:val="nil"/>
              <w:tr2bl w:val="nil"/>
            </w:tcBorders>
            <w:noWrap w:val="0"/>
            <w:vAlign w:val="center"/>
          </w:tcPr>
          <w:p w14:paraId="277EB1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98FEF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0.03L</w:t>
            </w:r>
          </w:p>
        </w:tc>
        <w:tc>
          <w:tcPr>
            <w:tcW w:w="0" w:type="auto"/>
            <w:tcBorders>
              <w:tl2br w:val="nil"/>
              <w:tr2bl w:val="nil"/>
            </w:tcBorders>
            <w:noWrap w:val="0"/>
            <w:vAlign w:val="center"/>
          </w:tcPr>
          <w:p w14:paraId="61EE5E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0.10 </w:t>
            </w:r>
          </w:p>
        </w:tc>
        <w:tc>
          <w:tcPr>
            <w:tcW w:w="0" w:type="auto"/>
            <w:tcBorders>
              <w:tl2br w:val="nil"/>
              <w:tr2bl w:val="nil"/>
            </w:tcBorders>
            <w:noWrap w:val="0"/>
            <w:vAlign w:val="center"/>
          </w:tcPr>
          <w:p w14:paraId="25B2A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F3F61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0.</w:t>
            </w:r>
            <w:r>
              <w:rPr>
                <w:rFonts w:hint="eastAsia" w:ascii="Times New Roman" w:hAnsi="宋体" w:eastAsia="宋体" w:cs="Times New Roman"/>
                <w:color w:val="auto"/>
                <w:sz w:val="21"/>
                <w:szCs w:val="21"/>
                <w:highlight w:val="none"/>
                <w:lang w:val="en-US" w:eastAsia="zh-CN"/>
              </w:rPr>
              <w:t>3</w:t>
            </w:r>
          </w:p>
        </w:tc>
      </w:tr>
      <w:tr w14:paraId="4CFC9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41A5C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锰</w:t>
            </w:r>
          </w:p>
        </w:tc>
        <w:tc>
          <w:tcPr>
            <w:tcW w:w="0" w:type="auto"/>
            <w:tcBorders>
              <w:tl2br w:val="nil"/>
              <w:tr2bl w:val="nil"/>
            </w:tcBorders>
            <w:noWrap w:val="0"/>
            <w:vAlign w:val="center"/>
          </w:tcPr>
          <w:p w14:paraId="6F60D5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5A8219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0.01</w:t>
            </w:r>
          </w:p>
        </w:tc>
        <w:tc>
          <w:tcPr>
            <w:tcW w:w="0" w:type="auto"/>
            <w:tcBorders>
              <w:tl2br w:val="nil"/>
              <w:tr2bl w:val="nil"/>
            </w:tcBorders>
            <w:noWrap w:val="0"/>
            <w:vAlign w:val="center"/>
          </w:tcPr>
          <w:p w14:paraId="2318A9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0.10 </w:t>
            </w:r>
          </w:p>
        </w:tc>
        <w:tc>
          <w:tcPr>
            <w:tcW w:w="0" w:type="auto"/>
            <w:tcBorders>
              <w:tl2br w:val="nil"/>
              <w:tr2bl w:val="nil"/>
            </w:tcBorders>
            <w:noWrap w:val="0"/>
            <w:vAlign w:val="center"/>
          </w:tcPr>
          <w:p w14:paraId="540746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F0EAE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0.02</w:t>
            </w:r>
          </w:p>
        </w:tc>
        <w:tc>
          <w:tcPr>
            <w:tcW w:w="0" w:type="auto"/>
            <w:tcBorders>
              <w:tl2br w:val="nil"/>
              <w:tr2bl w:val="nil"/>
            </w:tcBorders>
            <w:noWrap w:val="0"/>
            <w:vAlign w:val="center"/>
          </w:tcPr>
          <w:p w14:paraId="13D2E3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0.20 </w:t>
            </w:r>
          </w:p>
        </w:tc>
        <w:tc>
          <w:tcPr>
            <w:tcW w:w="0" w:type="auto"/>
            <w:tcBorders>
              <w:tl2br w:val="nil"/>
              <w:tr2bl w:val="nil"/>
            </w:tcBorders>
            <w:noWrap w:val="0"/>
            <w:vAlign w:val="center"/>
          </w:tcPr>
          <w:p w14:paraId="04A35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70033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0.01L</w:t>
            </w:r>
          </w:p>
        </w:tc>
        <w:tc>
          <w:tcPr>
            <w:tcW w:w="0" w:type="auto"/>
            <w:tcBorders>
              <w:tl2br w:val="nil"/>
              <w:tr2bl w:val="nil"/>
            </w:tcBorders>
            <w:noWrap w:val="0"/>
            <w:vAlign w:val="center"/>
          </w:tcPr>
          <w:p w14:paraId="54F62F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0.10 </w:t>
            </w:r>
          </w:p>
        </w:tc>
        <w:tc>
          <w:tcPr>
            <w:tcW w:w="0" w:type="auto"/>
            <w:tcBorders>
              <w:tl2br w:val="nil"/>
              <w:tr2bl w:val="nil"/>
            </w:tcBorders>
            <w:noWrap w:val="0"/>
            <w:vAlign w:val="center"/>
          </w:tcPr>
          <w:p w14:paraId="2E395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6328A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0.</w:t>
            </w:r>
            <w:r>
              <w:rPr>
                <w:rFonts w:hint="eastAsia" w:ascii="Times New Roman" w:hAnsi="宋体" w:eastAsia="宋体" w:cs="Times New Roman"/>
                <w:color w:val="auto"/>
                <w:sz w:val="21"/>
                <w:szCs w:val="21"/>
                <w:highlight w:val="none"/>
                <w:lang w:val="en-US" w:eastAsia="zh-CN"/>
              </w:rPr>
              <w:t>10</w:t>
            </w:r>
          </w:p>
        </w:tc>
      </w:tr>
      <w:tr w14:paraId="45C69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58CF4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镉</w:t>
            </w:r>
          </w:p>
        </w:tc>
        <w:tc>
          <w:tcPr>
            <w:tcW w:w="0" w:type="auto"/>
            <w:tcBorders>
              <w:tl2br w:val="nil"/>
              <w:tr2bl w:val="nil"/>
            </w:tcBorders>
            <w:noWrap w:val="0"/>
            <w:vAlign w:val="center"/>
          </w:tcPr>
          <w:p w14:paraId="218E74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6D5D3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0.0001L</w:t>
            </w:r>
          </w:p>
        </w:tc>
        <w:tc>
          <w:tcPr>
            <w:tcW w:w="0" w:type="auto"/>
            <w:tcBorders>
              <w:tl2br w:val="nil"/>
              <w:tr2bl w:val="nil"/>
            </w:tcBorders>
            <w:noWrap w:val="0"/>
            <w:vAlign w:val="center"/>
          </w:tcPr>
          <w:p w14:paraId="2FAC77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0.02 </w:t>
            </w:r>
          </w:p>
        </w:tc>
        <w:tc>
          <w:tcPr>
            <w:tcW w:w="0" w:type="auto"/>
            <w:tcBorders>
              <w:tl2br w:val="nil"/>
              <w:tr2bl w:val="nil"/>
            </w:tcBorders>
            <w:noWrap w:val="0"/>
            <w:vAlign w:val="center"/>
          </w:tcPr>
          <w:p w14:paraId="6B486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6B94C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0.0001L</w:t>
            </w:r>
          </w:p>
        </w:tc>
        <w:tc>
          <w:tcPr>
            <w:tcW w:w="0" w:type="auto"/>
            <w:tcBorders>
              <w:tl2br w:val="nil"/>
              <w:tr2bl w:val="nil"/>
            </w:tcBorders>
            <w:noWrap w:val="0"/>
            <w:vAlign w:val="center"/>
          </w:tcPr>
          <w:p w14:paraId="553F0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0.02 </w:t>
            </w:r>
          </w:p>
        </w:tc>
        <w:tc>
          <w:tcPr>
            <w:tcW w:w="0" w:type="auto"/>
            <w:tcBorders>
              <w:tl2br w:val="nil"/>
              <w:tr2bl w:val="nil"/>
            </w:tcBorders>
            <w:noWrap w:val="0"/>
            <w:vAlign w:val="center"/>
          </w:tcPr>
          <w:p w14:paraId="20F383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4AA1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0.0001L</w:t>
            </w:r>
          </w:p>
        </w:tc>
        <w:tc>
          <w:tcPr>
            <w:tcW w:w="0" w:type="auto"/>
            <w:tcBorders>
              <w:tl2br w:val="nil"/>
              <w:tr2bl w:val="nil"/>
            </w:tcBorders>
            <w:noWrap w:val="0"/>
            <w:vAlign w:val="center"/>
          </w:tcPr>
          <w:p w14:paraId="180988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0.02 </w:t>
            </w:r>
          </w:p>
        </w:tc>
        <w:tc>
          <w:tcPr>
            <w:tcW w:w="0" w:type="auto"/>
            <w:tcBorders>
              <w:tl2br w:val="nil"/>
              <w:tr2bl w:val="nil"/>
            </w:tcBorders>
            <w:noWrap w:val="0"/>
            <w:vAlign w:val="center"/>
          </w:tcPr>
          <w:p w14:paraId="30241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23A9B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0.</w:t>
            </w:r>
            <w:r>
              <w:rPr>
                <w:rFonts w:hint="eastAsia" w:ascii="Times New Roman" w:hAnsi="宋体" w:eastAsia="宋体" w:cs="Times New Roman"/>
                <w:color w:val="auto"/>
                <w:sz w:val="21"/>
                <w:szCs w:val="21"/>
                <w:highlight w:val="none"/>
                <w:lang w:val="en-US" w:eastAsia="zh-CN"/>
              </w:rPr>
              <w:t>005</w:t>
            </w:r>
          </w:p>
        </w:tc>
      </w:tr>
      <w:tr w14:paraId="46873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49A402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铅</w:t>
            </w:r>
          </w:p>
        </w:tc>
        <w:tc>
          <w:tcPr>
            <w:tcW w:w="0" w:type="auto"/>
            <w:tcBorders>
              <w:tl2br w:val="nil"/>
              <w:tr2bl w:val="nil"/>
            </w:tcBorders>
            <w:noWrap w:val="0"/>
            <w:vAlign w:val="center"/>
          </w:tcPr>
          <w:p w14:paraId="7BD519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2CEB0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0.001L</w:t>
            </w:r>
          </w:p>
        </w:tc>
        <w:tc>
          <w:tcPr>
            <w:tcW w:w="0" w:type="auto"/>
            <w:tcBorders>
              <w:tl2br w:val="nil"/>
              <w:tr2bl w:val="nil"/>
            </w:tcBorders>
            <w:noWrap w:val="0"/>
            <w:vAlign w:val="center"/>
          </w:tcPr>
          <w:p w14:paraId="6EFA40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0.10 </w:t>
            </w:r>
          </w:p>
        </w:tc>
        <w:tc>
          <w:tcPr>
            <w:tcW w:w="0" w:type="auto"/>
            <w:tcBorders>
              <w:tl2br w:val="nil"/>
              <w:tr2bl w:val="nil"/>
            </w:tcBorders>
            <w:noWrap w:val="0"/>
            <w:vAlign w:val="center"/>
          </w:tcPr>
          <w:p w14:paraId="09EC2A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1FBB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0.001L</w:t>
            </w:r>
          </w:p>
        </w:tc>
        <w:tc>
          <w:tcPr>
            <w:tcW w:w="0" w:type="auto"/>
            <w:tcBorders>
              <w:tl2br w:val="nil"/>
              <w:tr2bl w:val="nil"/>
            </w:tcBorders>
            <w:noWrap w:val="0"/>
            <w:vAlign w:val="center"/>
          </w:tcPr>
          <w:p w14:paraId="372788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0.10 </w:t>
            </w:r>
          </w:p>
        </w:tc>
        <w:tc>
          <w:tcPr>
            <w:tcW w:w="0" w:type="auto"/>
            <w:tcBorders>
              <w:tl2br w:val="nil"/>
              <w:tr2bl w:val="nil"/>
            </w:tcBorders>
            <w:noWrap w:val="0"/>
            <w:vAlign w:val="center"/>
          </w:tcPr>
          <w:p w14:paraId="3BA5D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6DB3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0.001L</w:t>
            </w:r>
          </w:p>
        </w:tc>
        <w:tc>
          <w:tcPr>
            <w:tcW w:w="0" w:type="auto"/>
            <w:tcBorders>
              <w:tl2br w:val="nil"/>
              <w:tr2bl w:val="nil"/>
            </w:tcBorders>
            <w:noWrap w:val="0"/>
            <w:vAlign w:val="center"/>
          </w:tcPr>
          <w:p w14:paraId="6945AC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0.10 </w:t>
            </w:r>
          </w:p>
        </w:tc>
        <w:tc>
          <w:tcPr>
            <w:tcW w:w="0" w:type="auto"/>
            <w:tcBorders>
              <w:tl2br w:val="nil"/>
              <w:tr2bl w:val="nil"/>
            </w:tcBorders>
            <w:noWrap w:val="0"/>
            <w:vAlign w:val="center"/>
          </w:tcPr>
          <w:p w14:paraId="3E177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F0F5E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≤0.01</w:t>
            </w:r>
          </w:p>
        </w:tc>
      </w:tr>
      <w:tr w14:paraId="63DB4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5B32C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钾</w:t>
            </w:r>
          </w:p>
        </w:tc>
        <w:tc>
          <w:tcPr>
            <w:tcW w:w="0" w:type="auto"/>
            <w:tcBorders>
              <w:tl2br w:val="nil"/>
              <w:tr2bl w:val="nil"/>
            </w:tcBorders>
            <w:noWrap w:val="0"/>
            <w:vAlign w:val="center"/>
          </w:tcPr>
          <w:p w14:paraId="2F685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34C19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3.79</w:t>
            </w:r>
          </w:p>
        </w:tc>
        <w:tc>
          <w:tcPr>
            <w:tcW w:w="0" w:type="auto"/>
            <w:tcBorders>
              <w:tl2br w:val="nil"/>
              <w:tr2bl w:val="nil"/>
            </w:tcBorders>
            <w:noWrap w:val="0"/>
            <w:vAlign w:val="center"/>
          </w:tcPr>
          <w:p w14:paraId="590AD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035D5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97BA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4.11</w:t>
            </w:r>
          </w:p>
        </w:tc>
        <w:tc>
          <w:tcPr>
            <w:tcW w:w="0" w:type="auto"/>
            <w:tcBorders>
              <w:tl2br w:val="nil"/>
              <w:tr2bl w:val="nil"/>
            </w:tcBorders>
            <w:noWrap w:val="0"/>
            <w:vAlign w:val="center"/>
          </w:tcPr>
          <w:p w14:paraId="3CBAB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B478D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1452F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5.24</w:t>
            </w:r>
          </w:p>
        </w:tc>
        <w:tc>
          <w:tcPr>
            <w:tcW w:w="0" w:type="auto"/>
            <w:tcBorders>
              <w:tl2br w:val="nil"/>
              <w:tr2bl w:val="nil"/>
            </w:tcBorders>
            <w:noWrap w:val="0"/>
            <w:vAlign w:val="center"/>
          </w:tcPr>
          <w:p w14:paraId="66129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D61F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ADCCC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r w14:paraId="389B1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4FE04A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钠</w:t>
            </w:r>
          </w:p>
        </w:tc>
        <w:tc>
          <w:tcPr>
            <w:tcW w:w="0" w:type="auto"/>
            <w:tcBorders>
              <w:tl2br w:val="nil"/>
              <w:tr2bl w:val="nil"/>
            </w:tcBorders>
            <w:noWrap w:val="0"/>
            <w:vAlign w:val="center"/>
          </w:tcPr>
          <w:p w14:paraId="5E0390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2CF987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59.3</w:t>
            </w:r>
          </w:p>
        </w:tc>
        <w:tc>
          <w:tcPr>
            <w:tcW w:w="0" w:type="auto"/>
            <w:tcBorders>
              <w:tl2br w:val="nil"/>
              <w:tr2bl w:val="nil"/>
            </w:tcBorders>
            <w:noWrap w:val="0"/>
            <w:vAlign w:val="center"/>
          </w:tcPr>
          <w:p w14:paraId="2C310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0.30 </w:t>
            </w:r>
          </w:p>
        </w:tc>
        <w:tc>
          <w:tcPr>
            <w:tcW w:w="0" w:type="auto"/>
            <w:tcBorders>
              <w:tl2br w:val="nil"/>
              <w:tr2bl w:val="nil"/>
            </w:tcBorders>
            <w:noWrap w:val="0"/>
            <w:vAlign w:val="center"/>
          </w:tcPr>
          <w:p w14:paraId="5776F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6509D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b/>
                <w:bCs/>
                <w:color w:val="auto"/>
                <w:sz w:val="21"/>
                <w:szCs w:val="21"/>
                <w:highlight w:val="none"/>
                <w:lang w:val="en-US" w:eastAsia="zh-CN"/>
              </w:rPr>
            </w:pPr>
            <w:r>
              <w:rPr>
                <w:rFonts w:hint="eastAsia" w:ascii="Times New Roman" w:hAnsi="宋体" w:eastAsia="宋体" w:cs="Times New Roman"/>
                <w:b/>
                <w:bCs/>
                <w:color w:val="auto"/>
                <w:sz w:val="21"/>
                <w:szCs w:val="21"/>
                <w:highlight w:val="none"/>
                <w:lang w:val="en-US" w:eastAsia="zh-CN"/>
              </w:rPr>
              <w:t>247</w:t>
            </w:r>
          </w:p>
        </w:tc>
        <w:tc>
          <w:tcPr>
            <w:tcW w:w="0" w:type="auto"/>
            <w:tcBorders>
              <w:tl2br w:val="nil"/>
              <w:tr2bl w:val="nil"/>
            </w:tcBorders>
            <w:noWrap w:val="0"/>
            <w:vAlign w:val="center"/>
          </w:tcPr>
          <w:p w14:paraId="4CEC5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highlight w:val="none"/>
                <w:lang w:val="en-US" w:eastAsia="zh-CN"/>
              </w:rPr>
            </w:pPr>
            <w:r>
              <w:rPr>
                <w:rFonts w:hint="eastAsia" w:ascii="Times New Roman" w:hAnsi="宋体" w:eastAsia="宋体" w:cs="Times New Roman"/>
                <w:b/>
                <w:bCs/>
                <w:color w:val="auto"/>
                <w:sz w:val="21"/>
                <w:szCs w:val="21"/>
                <w:highlight w:val="none"/>
                <w:lang w:val="en-US" w:eastAsia="zh-CN"/>
              </w:rPr>
              <w:t xml:space="preserve">1.24 </w:t>
            </w:r>
          </w:p>
        </w:tc>
        <w:tc>
          <w:tcPr>
            <w:tcW w:w="0" w:type="auto"/>
            <w:tcBorders>
              <w:tl2br w:val="nil"/>
              <w:tr2bl w:val="nil"/>
            </w:tcBorders>
            <w:noWrap w:val="0"/>
            <w:vAlign w:val="center"/>
          </w:tcPr>
          <w:p w14:paraId="6471BE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highlight w:val="none"/>
                <w:lang w:val="en-US" w:eastAsia="zh-CN"/>
              </w:rPr>
            </w:pPr>
            <w:r>
              <w:rPr>
                <w:rFonts w:hint="eastAsia" w:hAnsi="宋体" w:eastAsia="宋体" w:cs="Times New Roman"/>
                <w:b/>
                <w:bCs/>
                <w:color w:val="auto"/>
                <w:sz w:val="21"/>
                <w:szCs w:val="21"/>
                <w:highlight w:val="none"/>
                <w:lang w:val="en-US" w:eastAsia="zh-CN"/>
              </w:rPr>
              <w:t>超标</w:t>
            </w:r>
          </w:p>
        </w:tc>
        <w:tc>
          <w:tcPr>
            <w:tcW w:w="0" w:type="auto"/>
            <w:tcBorders>
              <w:tl2br w:val="nil"/>
              <w:tr2bl w:val="nil"/>
            </w:tcBorders>
            <w:noWrap w:val="0"/>
            <w:vAlign w:val="center"/>
          </w:tcPr>
          <w:p w14:paraId="59B2F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b/>
                <w:bCs/>
                <w:color w:val="auto"/>
                <w:sz w:val="21"/>
                <w:szCs w:val="21"/>
                <w:highlight w:val="none"/>
                <w:lang w:val="en-US" w:eastAsia="zh-CN"/>
              </w:rPr>
            </w:pPr>
            <w:r>
              <w:rPr>
                <w:rFonts w:hint="eastAsia" w:ascii="Times New Roman" w:hAnsi="宋体" w:eastAsia="宋体" w:cs="Times New Roman"/>
                <w:b/>
                <w:bCs/>
                <w:color w:val="auto"/>
                <w:sz w:val="21"/>
                <w:szCs w:val="21"/>
                <w:highlight w:val="none"/>
                <w:lang w:val="en-US" w:eastAsia="zh-CN"/>
              </w:rPr>
              <w:t>326</w:t>
            </w:r>
          </w:p>
        </w:tc>
        <w:tc>
          <w:tcPr>
            <w:tcW w:w="0" w:type="auto"/>
            <w:tcBorders>
              <w:tl2br w:val="nil"/>
              <w:tr2bl w:val="nil"/>
            </w:tcBorders>
            <w:noWrap w:val="0"/>
            <w:vAlign w:val="center"/>
          </w:tcPr>
          <w:p w14:paraId="3A6FE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b/>
                <w:bCs/>
                <w:color w:val="auto"/>
                <w:sz w:val="21"/>
                <w:szCs w:val="21"/>
                <w:highlight w:val="none"/>
                <w:lang w:val="en-US" w:eastAsia="zh-CN"/>
              </w:rPr>
            </w:pPr>
            <w:r>
              <w:rPr>
                <w:rFonts w:hint="eastAsia" w:ascii="Times New Roman" w:hAnsi="宋体" w:eastAsia="宋体" w:cs="Times New Roman"/>
                <w:b/>
                <w:bCs/>
                <w:color w:val="auto"/>
                <w:sz w:val="21"/>
                <w:szCs w:val="21"/>
                <w:highlight w:val="none"/>
                <w:lang w:val="en-US" w:eastAsia="zh-CN"/>
              </w:rPr>
              <w:t xml:space="preserve">1.63 </w:t>
            </w:r>
          </w:p>
        </w:tc>
        <w:tc>
          <w:tcPr>
            <w:tcW w:w="0" w:type="auto"/>
            <w:tcBorders>
              <w:tl2br w:val="nil"/>
              <w:tr2bl w:val="nil"/>
            </w:tcBorders>
            <w:noWrap w:val="0"/>
            <w:vAlign w:val="center"/>
          </w:tcPr>
          <w:p w14:paraId="2E575C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hAnsi="宋体" w:eastAsia="宋体" w:cs="Times New Roman"/>
                <w:b/>
                <w:bCs/>
                <w:color w:val="auto"/>
                <w:sz w:val="21"/>
                <w:szCs w:val="21"/>
                <w:highlight w:val="none"/>
                <w:lang w:val="en-US" w:eastAsia="zh-CN"/>
              </w:rPr>
              <w:t>超标</w:t>
            </w:r>
          </w:p>
        </w:tc>
        <w:tc>
          <w:tcPr>
            <w:tcW w:w="0" w:type="auto"/>
            <w:tcBorders>
              <w:tl2br w:val="nil"/>
              <w:tr2bl w:val="nil"/>
            </w:tcBorders>
            <w:noWrap w:val="0"/>
            <w:vAlign w:val="center"/>
          </w:tcPr>
          <w:p w14:paraId="30762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≤200</w:t>
            </w:r>
          </w:p>
        </w:tc>
      </w:tr>
      <w:tr w14:paraId="047DE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43725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钙</w:t>
            </w:r>
          </w:p>
        </w:tc>
        <w:tc>
          <w:tcPr>
            <w:tcW w:w="0" w:type="auto"/>
            <w:tcBorders>
              <w:tl2br w:val="nil"/>
              <w:tr2bl w:val="nil"/>
            </w:tcBorders>
            <w:noWrap w:val="0"/>
            <w:vAlign w:val="center"/>
          </w:tcPr>
          <w:p w14:paraId="10B459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704259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36.4</w:t>
            </w:r>
          </w:p>
        </w:tc>
        <w:tc>
          <w:tcPr>
            <w:tcW w:w="0" w:type="auto"/>
            <w:tcBorders>
              <w:tl2br w:val="nil"/>
              <w:tr2bl w:val="nil"/>
            </w:tcBorders>
            <w:noWrap w:val="0"/>
            <w:vAlign w:val="center"/>
          </w:tcPr>
          <w:p w14:paraId="0723ED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958BB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DA355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93.8</w:t>
            </w:r>
          </w:p>
        </w:tc>
        <w:tc>
          <w:tcPr>
            <w:tcW w:w="0" w:type="auto"/>
            <w:tcBorders>
              <w:tl2br w:val="nil"/>
              <w:tr2bl w:val="nil"/>
            </w:tcBorders>
            <w:noWrap w:val="0"/>
            <w:vAlign w:val="center"/>
          </w:tcPr>
          <w:p w14:paraId="13C76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3C2E3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E5A5E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89.6</w:t>
            </w:r>
          </w:p>
        </w:tc>
        <w:tc>
          <w:tcPr>
            <w:tcW w:w="0" w:type="auto"/>
            <w:tcBorders>
              <w:tl2br w:val="nil"/>
              <w:tr2bl w:val="nil"/>
            </w:tcBorders>
            <w:noWrap w:val="0"/>
            <w:vAlign w:val="center"/>
          </w:tcPr>
          <w:p w14:paraId="5EA6C3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889F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34E3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r w14:paraId="2B907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3FC139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镁</w:t>
            </w:r>
          </w:p>
        </w:tc>
        <w:tc>
          <w:tcPr>
            <w:tcW w:w="0" w:type="auto"/>
            <w:tcBorders>
              <w:tl2br w:val="nil"/>
              <w:tr2bl w:val="nil"/>
            </w:tcBorders>
            <w:noWrap w:val="0"/>
            <w:vAlign w:val="center"/>
          </w:tcPr>
          <w:p w14:paraId="04037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4730CA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6.24</w:t>
            </w:r>
          </w:p>
        </w:tc>
        <w:tc>
          <w:tcPr>
            <w:tcW w:w="0" w:type="auto"/>
            <w:tcBorders>
              <w:tl2br w:val="nil"/>
              <w:tr2bl w:val="nil"/>
            </w:tcBorders>
            <w:noWrap w:val="0"/>
            <w:vAlign w:val="center"/>
          </w:tcPr>
          <w:p w14:paraId="451C3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A25A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1A568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11.7</w:t>
            </w:r>
          </w:p>
        </w:tc>
        <w:tc>
          <w:tcPr>
            <w:tcW w:w="0" w:type="auto"/>
            <w:tcBorders>
              <w:tl2br w:val="nil"/>
              <w:tr2bl w:val="nil"/>
            </w:tcBorders>
            <w:noWrap w:val="0"/>
            <w:vAlign w:val="center"/>
          </w:tcPr>
          <w:p w14:paraId="6E759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866AA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3DE8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9.55</w:t>
            </w:r>
          </w:p>
        </w:tc>
        <w:tc>
          <w:tcPr>
            <w:tcW w:w="0" w:type="auto"/>
            <w:tcBorders>
              <w:tl2br w:val="nil"/>
              <w:tr2bl w:val="nil"/>
            </w:tcBorders>
            <w:noWrap w:val="0"/>
            <w:vAlign w:val="center"/>
          </w:tcPr>
          <w:p w14:paraId="7AAAFB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069DA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D7BEC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r w14:paraId="50463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3F366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铬</w:t>
            </w: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六价</w:t>
            </w: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76B2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0A838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0.004L</w:t>
            </w:r>
          </w:p>
        </w:tc>
        <w:tc>
          <w:tcPr>
            <w:tcW w:w="0" w:type="auto"/>
            <w:tcBorders>
              <w:tl2br w:val="nil"/>
              <w:tr2bl w:val="nil"/>
            </w:tcBorders>
            <w:noWrap w:val="0"/>
            <w:vAlign w:val="center"/>
          </w:tcPr>
          <w:p w14:paraId="586C6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0.08 </w:t>
            </w:r>
          </w:p>
        </w:tc>
        <w:tc>
          <w:tcPr>
            <w:tcW w:w="0" w:type="auto"/>
            <w:tcBorders>
              <w:tl2br w:val="nil"/>
              <w:tr2bl w:val="nil"/>
            </w:tcBorders>
            <w:noWrap w:val="0"/>
            <w:vAlign w:val="center"/>
          </w:tcPr>
          <w:p w14:paraId="08483A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2F259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0.004L</w:t>
            </w:r>
          </w:p>
        </w:tc>
        <w:tc>
          <w:tcPr>
            <w:tcW w:w="0" w:type="auto"/>
            <w:tcBorders>
              <w:tl2br w:val="nil"/>
              <w:tr2bl w:val="nil"/>
            </w:tcBorders>
            <w:noWrap w:val="0"/>
            <w:vAlign w:val="center"/>
          </w:tcPr>
          <w:p w14:paraId="1E9667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0.08 </w:t>
            </w:r>
          </w:p>
        </w:tc>
        <w:tc>
          <w:tcPr>
            <w:tcW w:w="0" w:type="auto"/>
            <w:tcBorders>
              <w:tl2br w:val="nil"/>
              <w:tr2bl w:val="nil"/>
            </w:tcBorders>
            <w:noWrap w:val="0"/>
            <w:vAlign w:val="center"/>
          </w:tcPr>
          <w:p w14:paraId="2930FE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633E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0.004L</w:t>
            </w:r>
          </w:p>
        </w:tc>
        <w:tc>
          <w:tcPr>
            <w:tcW w:w="0" w:type="auto"/>
            <w:tcBorders>
              <w:tl2br w:val="nil"/>
              <w:tr2bl w:val="nil"/>
            </w:tcBorders>
            <w:noWrap w:val="0"/>
            <w:vAlign w:val="center"/>
          </w:tcPr>
          <w:p w14:paraId="6D0CA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0.08 </w:t>
            </w:r>
          </w:p>
        </w:tc>
        <w:tc>
          <w:tcPr>
            <w:tcW w:w="0" w:type="auto"/>
            <w:tcBorders>
              <w:tl2br w:val="nil"/>
              <w:tr2bl w:val="nil"/>
            </w:tcBorders>
            <w:noWrap w:val="0"/>
            <w:vAlign w:val="center"/>
          </w:tcPr>
          <w:p w14:paraId="05149F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889A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≤0.05</w:t>
            </w:r>
          </w:p>
        </w:tc>
      </w:tr>
      <w:tr w14:paraId="0F3E1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1E07E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氰化物</w:t>
            </w:r>
          </w:p>
        </w:tc>
        <w:tc>
          <w:tcPr>
            <w:tcW w:w="0" w:type="auto"/>
            <w:tcBorders>
              <w:tl2br w:val="nil"/>
              <w:tr2bl w:val="nil"/>
            </w:tcBorders>
            <w:noWrap w:val="0"/>
            <w:vAlign w:val="center"/>
          </w:tcPr>
          <w:p w14:paraId="58EB3E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1A46F7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0.002L</w:t>
            </w:r>
          </w:p>
        </w:tc>
        <w:tc>
          <w:tcPr>
            <w:tcW w:w="0" w:type="auto"/>
            <w:tcBorders>
              <w:tl2br w:val="nil"/>
              <w:tr2bl w:val="nil"/>
            </w:tcBorders>
            <w:noWrap w:val="0"/>
            <w:vAlign w:val="center"/>
          </w:tcPr>
          <w:p w14:paraId="2B0829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0.04 </w:t>
            </w:r>
          </w:p>
        </w:tc>
        <w:tc>
          <w:tcPr>
            <w:tcW w:w="0" w:type="auto"/>
            <w:tcBorders>
              <w:tl2br w:val="nil"/>
              <w:tr2bl w:val="nil"/>
            </w:tcBorders>
            <w:noWrap w:val="0"/>
            <w:vAlign w:val="center"/>
          </w:tcPr>
          <w:p w14:paraId="088B7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13E6B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0.002L</w:t>
            </w:r>
          </w:p>
        </w:tc>
        <w:tc>
          <w:tcPr>
            <w:tcW w:w="0" w:type="auto"/>
            <w:tcBorders>
              <w:tl2br w:val="nil"/>
              <w:tr2bl w:val="nil"/>
            </w:tcBorders>
            <w:noWrap w:val="0"/>
            <w:vAlign w:val="center"/>
          </w:tcPr>
          <w:p w14:paraId="69EFD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0.04 </w:t>
            </w:r>
          </w:p>
        </w:tc>
        <w:tc>
          <w:tcPr>
            <w:tcW w:w="0" w:type="auto"/>
            <w:tcBorders>
              <w:tl2br w:val="nil"/>
              <w:tr2bl w:val="nil"/>
            </w:tcBorders>
            <w:noWrap w:val="0"/>
            <w:vAlign w:val="center"/>
          </w:tcPr>
          <w:p w14:paraId="6C7867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2878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0.002L</w:t>
            </w:r>
          </w:p>
        </w:tc>
        <w:tc>
          <w:tcPr>
            <w:tcW w:w="0" w:type="auto"/>
            <w:tcBorders>
              <w:tl2br w:val="nil"/>
              <w:tr2bl w:val="nil"/>
            </w:tcBorders>
            <w:noWrap w:val="0"/>
            <w:vAlign w:val="center"/>
          </w:tcPr>
          <w:p w14:paraId="520D9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0.04 </w:t>
            </w:r>
          </w:p>
        </w:tc>
        <w:tc>
          <w:tcPr>
            <w:tcW w:w="0" w:type="auto"/>
            <w:tcBorders>
              <w:tl2br w:val="nil"/>
              <w:tr2bl w:val="nil"/>
            </w:tcBorders>
            <w:noWrap w:val="0"/>
            <w:vAlign w:val="center"/>
          </w:tcPr>
          <w:p w14:paraId="0BA57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A0B64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0.05</w:t>
            </w:r>
          </w:p>
        </w:tc>
      </w:tr>
      <w:tr w14:paraId="04633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6F0F0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硝酸盐氮</w:t>
            </w:r>
          </w:p>
        </w:tc>
        <w:tc>
          <w:tcPr>
            <w:tcW w:w="0" w:type="auto"/>
            <w:tcBorders>
              <w:tl2br w:val="nil"/>
              <w:tr2bl w:val="nil"/>
            </w:tcBorders>
            <w:noWrap w:val="0"/>
            <w:vAlign w:val="center"/>
          </w:tcPr>
          <w:p w14:paraId="12FB05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617014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9.06</w:t>
            </w:r>
          </w:p>
        </w:tc>
        <w:tc>
          <w:tcPr>
            <w:tcW w:w="0" w:type="auto"/>
            <w:tcBorders>
              <w:tl2br w:val="nil"/>
              <w:tr2bl w:val="nil"/>
            </w:tcBorders>
            <w:noWrap w:val="0"/>
            <w:vAlign w:val="center"/>
          </w:tcPr>
          <w:p w14:paraId="52175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0.45 </w:t>
            </w:r>
          </w:p>
        </w:tc>
        <w:tc>
          <w:tcPr>
            <w:tcW w:w="0" w:type="auto"/>
            <w:tcBorders>
              <w:tl2br w:val="nil"/>
              <w:tr2bl w:val="nil"/>
            </w:tcBorders>
            <w:noWrap w:val="0"/>
            <w:vAlign w:val="center"/>
          </w:tcPr>
          <w:p w14:paraId="4D4F82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3327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8.90</w:t>
            </w:r>
          </w:p>
        </w:tc>
        <w:tc>
          <w:tcPr>
            <w:tcW w:w="0" w:type="auto"/>
            <w:tcBorders>
              <w:tl2br w:val="nil"/>
              <w:tr2bl w:val="nil"/>
            </w:tcBorders>
            <w:noWrap w:val="0"/>
            <w:vAlign w:val="center"/>
          </w:tcPr>
          <w:p w14:paraId="15BA5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0.45 </w:t>
            </w:r>
          </w:p>
        </w:tc>
        <w:tc>
          <w:tcPr>
            <w:tcW w:w="0" w:type="auto"/>
            <w:tcBorders>
              <w:tl2br w:val="nil"/>
              <w:tr2bl w:val="nil"/>
            </w:tcBorders>
            <w:noWrap w:val="0"/>
            <w:vAlign w:val="center"/>
          </w:tcPr>
          <w:p w14:paraId="599E9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A5BA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8.99</w:t>
            </w:r>
          </w:p>
        </w:tc>
        <w:tc>
          <w:tcPr>
            <w:tcW w:w="0" w:type="auto"/>
            <w:tcBorders>
              <w:tl2br w:val="nil"/>
              <w:tr2bl w:val="nil"/>
            </w:tcBorders>
            <w:noWrap w:val="0"/>
            <w:vAlign w:val="center"/>
          </w:tcPr>
          <w:p w14:paraId="3A44B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0.45 </w:t>
            </w:r>
          </w:p>
        </w:tc>
        <w:tc>
          <w:tcPr>
            <w:tcW w:w="0" w:type="auto"/>
            <w:tcBorders>
              <w:tl2br w:val="nil"/>
              <w:tr2bl w:val="nil"/>
            </w:tcBorders>
            <w:noWrap w:val="0"/>
            <w:vAlign w:val="center"/>
          </w:tcPr>
          <w:p w14:paraId="4E55C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600C9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≤20.0</w:t>
            </w:r>
          </w:p>
        </w:tc>
      </w:tr>
      <w:tr w14:paraId="065F6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533A4A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挥发酚</w:t>
            </w:r>
          </w:p>
        </w:tc>
        <w:tc>
          <w:tcPr>
            <w:tcW w:w="0" w:type="auto"/>
            <w:tcBorders>
              <w:tl2br w:val="nil"/>
              <w:tr2bl w:val="nil"/>
            </w:tcBorders>
            <w:noWrap w:val="0"/>
            <w:vAlign w:val="center"/>
          </w:tcPr>
          <w:p w14:paraId="21C703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0F4294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0.0003L</w:t>
            </w:r>
          </w:p>
        </w:tc>
        <w:tc>
          <w:tcPr>
            <w:tcW w:w="0" w:type="auto"/>
            <w:tcBorders>
              <w:tl2br w:val="nil"/>
              <w:tr2bl w:val="nil"/>
            </w:tcBorders>
            <w:noWrap w:val="0"/>
            <w:vAlign w:val="center"/>
          </w:tcPr>
          <w:p w14:paraId="03967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0.15 </w:t>
            </w:r>
          </w:p>
        </w:tc>
        <w:tc>
          <w:tcPr>
            <w:tcW w:w="0" w:type="auto"/>
            <w:tcBorders>
              <w:tl2br w:val="nil"/>
              <w:tr2bl w:val="nil"/>
            </w:tcBorders>
            <w:noWrap w:val="0"/>
            <w:vAlign w:val="center"/>
          </w:tcPr>
          <w:p w14:paraId="6764B5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736AB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0.0003L</w:t>
            </w:r>
          </w:p>
        </w:tc>
        <w:tc>
          <w:tcPr>
            <w:tcW w:w="0" w:type="auto"/>
            <w:tcBorders>
              <w:tl2br w:val="nil"/>
              <w:tr2bl w:val="nil"/>
            </w:tcBorders>
            <w:noWrap w:val="0"/>
            <w:vAlign w:val="center"/>
          </w:tcPr>
          <w:p w14:paraId="4019BB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0.15 </w:t>
            </w:r>
          </w:p>
        </w:tc>
        <w:tc>
          <w:tcPr>
            <w:tcW w:w="0" w:type="auto"/>
            <w:tcBorders>
              <w:tl2br w:val="nil"/>
              <w:tr2bl w:val="nil"/>
            </w:tcBorders>
            <w:noWrap w:val="0"/>
            <w:vAlign w:val="center"/>
          </w:tcPr>
          <w:p w14:paraId="5EE75C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C237B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0.0003L</w:t>
            </w:r>
          </w:p>
        </w:tc>
        <w:tc>
          <w:tcPr>
            <w:tcW w:w="0" w:type="auto"/>
            <w:tcBorders>
              <w:tl2br w:val="nil"/>
              <w:tr2bl w:val="nil"/>
            </w:tcBorders>
            <w:noWrap w:val="0"/>
            <w:vAlign w:val="center"/>
          </w:tcPr>
          <w:p w14:paraId="00A9C5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0.15 </w:t>
            </w:r>
          </w:p>
        </w:tc>
        <w:tc>
          <w:tcPr>
            <w:tcW w:w="0" w:type="auto"/>
            <w:tcBorders>
              <w:tl2br w:val="nil"/>
              <w:tr2bl w:val="nil"/>
            </w:tcBorders>
            <w:noWrap w:val="0"/>
            <w:vAlign w:val="center"/>
          </w:tcPr>
          <w:p w14:paraId="12CD54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9B0BE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0.002</w:t>
            </w:r>
          </w:p>
        </w:tc>
      </w:tr>
      <w:tr w14:paraId="2F9BE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7679C8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高锰酸盐指数</w:t>
            </w:r>
          </w:p>
        </w:tc>
        <w:tc>
          <w:tcPr>
            <w:tcW w:w="0" w:type="auto"/>
            <w:tcBorders>
              <w:tl2br w:val="nil"/>
              <w:tr2bl w:val="nil"/>
            </w:tcBorders>
            <w:noWrap w:val="0"/>
            <w:vAlign w:val="center"/>
          </w:tcPr>
          <w:p w14:paraId="26E9C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14E71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1.90</w:t>
            </w:r>
          </w:p>
        </w:tc>
        <w:tc>
          <w:tcPr>
            <w:tcW w:w="0" w:type="auto"/>
            <w:tcBorders>
              <w:tl2br w:val="nil"/>
              <w:tr2bl w:val="nil"/>
            </w:tcBorders>
            <w:noWrap w:val="0"/>
            <w:vAlign w:val="center"/>
          </w:tcPr>
          <w:p w14:paraId="43F17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0.63 </w:t>
            </w:r>
          </w:p>
        </w:tc>
        <w:tc>
          <w:tcPr>
            <w:tcW w:w="0" w:type="auto"/>
            <w:tcBorders>
              <w:tl2br w:val="nil"/>
              <w:tr2bl w:val="nil"/>
            </w:tcBorders>
            <w:noWrap w:val="0"/>
            <w:vAlign w:val="center"/>
          </w:tcPr>
          <w:p w14:paraId="6F8B05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116E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1.62</w:t>
            </w:r>
          </w:p>
        </w:tc>
        <w:tc>
          <w:tcPr>
            <w:tcW w:w="0" w:type="auto"/>
            <w:tcBorders>
              <w:tl2br w:val="nil"/>
              <w:tr2bl w:val="nil"/>
            </w:tcBorders>
            <w:noWrap w:val="0"/>
            <w:vAlign w:val="center"/>
          </w:tcPr>
          <w:p w14:paraId="5B4DDA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0.54 </w:t>
            </w:r>
          </w:p>
        </w:tc>
        <w:tc>
          <w:tcPr>
            <w:tcW w:w="0" w:type="auto"/>
            <w:tcBorders>
              <w:tl2br w:val="nil"/>
              <w:tr2bl w:val="nil"/>
            </w:tcBorders>
            <w:noWrap w:val="0"/>
            <w:vAlign w:val="center"/>
          </w:tcPr>
          <w:p w14:paraId="0DACF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193AD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1.17</w:t>
            </w:r>
          </w:p>
        </w:tc>
        <w:tc>
          <w:tcPr>
            <w:tcW w:w="0" w:type="auto"/>
            <w:tcBorders>
              <w:tl2br w:val="nil"/>
              <w:tr2bl w:val="nil"/>
            </w:tcBorders>
            <w:noWrap w:val="0"/>
            <w:vAlign w:val="center"/>
          </w:tcPr>
          <w:p w14:paraId="198FE1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0.39 </w:t>
            </w:r>
          </w:p>
        </w:tc>
        <w:tc>
          <w:tcPr>
            <w:tcW w:w="0" w:type="auto"/>
            <w:tcBorders>
              <w:tl2br w:val="nil"/>
              <w:tr2bl w:val="nil"/>
            </w:tcBorders>
            <w:noWrap w:val="0"/>
            <w:vAlign w:val="center"/>
          </w:tcPr>
          <w:p w14:paraId="478516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9FD8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3.0</w:t>
            </w:r>
          </w:p>
        </w:tc>
      </w:tr>
      <w:tr w14:paraId="0A824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14703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溶解性总固体</w:t>
            </w:r>
          </w:p>
        </w:tc>
        <w:tc>
          <w:tcPr>
            <w:tcW w:w="0" w:type="auto"/>
            <w:tcBorders>
              <w:tl2br w:val="nil"/>
              <w:tr2bl w:val="nil"/>
            </w:tcBorders>
            <w:noWrap w:val="0"/>
            <w:vAlign w:val="center"/>
          </w:tcPr>
          <w:p w14:paraId="032EE5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53E3B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256</w:t>
            </w:r>
          </w:p>
        </w:tc>
        <w:tc>
          <w:tcPr>
            <w:tcW w:w="0" w:type="auto"/>
            <w:tcBorders>
              <w:tl2br w:val="nil"/>
              <w:tr2bl w:val="nil"/>
            </w:tcBorders>
            <w:noWrap w:val="0"/>
            <w:vAlign w:val="center"/>
          </w:tcPr>
          <w:p w14:paraId="25785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0.26 </w:t>
            </w:r>
          </w:p>
        </w:tc>
        <w:tc>
          <w:tcPr>
            <w:tcW w:w="0" w:type="auto"/>
            <w:tcBorders>
              <w:tl2br w:val="nil"/>
              <w:tr2bl w:val="nil"/>
            </w:tcBorders>
            <w:noWrap w:val="0"/>
            <w:vAlign w:val="center"/>
          </w:tcPr>
          <w:p w14:paraId="720B2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8B95B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826</w:t>
            </w:r>
          </w:p>
        </w:tc>
        <w:tc>
          <w:tcPr>
            <w:tcW w:w="0" w:type="auto"/>
            <w:tcBorders>
              <w:tl2br w:val="nil"/>
              <w:tr2bl w:val="nil"/>
            </w:tcBorders>
            <w:noWrap w:val="0"/>
            <w:vAlign w:val="center"/>
          </w:tcPr>
          <w:p w14:paraId="218FAF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0.83 </w:t>
            </w:r>
          </w:p>
        </w:tc>
        <w:tc>
          <w:tcPr>
            <w:tcW w:w="0" w:type="auto"/>
            <w:tcBorders>
              <w:tl2br w:val="nil"/>
              <w:tr2bl w:val="nil"/>
            </w:tcBorders>
            <w:noWrap w:val="0"/>
            <w:vAlign w:val="center"/>
          </w:tcPr>
          <w:p w14:paraId="0479E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6F163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966</w:t>
            </w:r>
          </w:p>
        </w:tc>
        <w:tc>
          <w:tcPr>
            <w:tcW w:w="0" w:type="auto"/>
            <w:tcBorders>
              <w:tl2br w:val="nil"/>
              <w:tr2bl w:val="nil"/>
            </w:tcBorders>
            <w:noWrap w:val="0"/>
            <w:vAlign w:val="center"/>
          </w:tcPr>
          <w:p w14:paraId="2F93AE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0.97 </w:t>
            </w:r>
          </w:p>
        </w:tc>
        <w:tc>
          <w:tcPr>
            <w:tcW w:w="0" w:type="auto"/>
            <w:tcBorders>
              <w:tl2br w:val="nil"/>
              <w:tr2bl w:val="nil"/>
            </w:tcBorders>
            <w:noWrap w:val="0"/>
            <w:vAlign w:val="center"/>
          </w:tcPr>
          <w:p w14:paraId="2E3FB8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6676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1000</w:t>
            </w:r>
          </w:p>
        </w:tc>
      </w:tr>
      <w:tr w14:paraId="6DB6F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23EE8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总大肠菌群</w:t>
            </w:r>
          </w:p>
        </w:tc>
        <w:tc>
          <w:tcPr>
            <w:tcW w:w="0" w:type="auto"/>
            <w:tcBorders>
              <w:tl2br w:val="nil"/>
              <w:tr2bl w:val="nil"/>
            </w:tcBorders>
            <w:noWrap w:val="0"/>
            <w:vAlign w:val="center"/>
          </w:tcPr>
          <w:p w14:paraId="579481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CFU</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100m</w:t>
            </w:r>
            <w:r>
              <w:rPr>
                <w:rFonts w:hint="default" w:ascii="Times New Roman" w:hAnsi="宋体" w:eastAsia="宋体" w:cs="Times New Roman"/>
                <w:color w:val="auto"/>
                <w:sz w:val="21"/>
                <w:szCs w:val="21"/>
                <w:highlight w:val="none"/>
                <w:lang w:val="en-US" w:eastAsia="zh-CN"/>
              </w:rPr>
              <w:t>L</w:t>
            </w:r>
          </w:p>
        </w:tc>
        <w:tc>
          <w:tcPr>
            <w:tcW w:w="0" w:type="auto"/>
            <w:tcBorders>
              <w:tl2br w:val="nil"/>
              <w:tr2bl w:val="nil"/>
            </w:tcBorders>
            <w:noWrap w:val="0"/>
            <w:vAlign w:val="center"/>
          </w:tcPr>
          <w:p w14:paraId="03C1D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w:t>
            </w:r>
          </w:p>
        </w:tc>
        <w:tc>
          <w:tcPr>
            <w:tcW w:w="0" w:type="auto"/>
            <w:tcBorders>
              <w:tl2br w:val="nil"/>
              <w:tr2bl w:val="nil"/>
            </w:tcBorders>
            <w:noWrap w:val="0"/>
            <w:vAlign w:val="center"/>
          </w:tcPr>
          <w:p w14:paraId="14A3E3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0.00 </w:t>
            </w:r>
          </w:p>
        </w:tc>
        <w:tc>
          <w:tcPr>
            <w:tcW w:w="0" w:type="auto"/>
            <w:tcBorders>
              <w:tl2br w:val="nil"/>
              <w:tr2bl w:val="nil"/>
            </w:tcBorders>
            <w:noWrap w:val="0"/>
            <w:vAlign w:val="center"/>
          </w:tcPr>
          <w:p w14:paraId="78FAB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1BC52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w:t>
            </w:r>
          </w:p>
        </w:tc>
        <w:tc>
          <w:tcPr>
            <w:tcW w:w="0" w:type="auto"/>
            <w:tcBorders>
              <w:tl2br w:val="nil"/>
              <w:tr2bl w:val="nil"/>
            </w:tcBorders>
            <w:noWrap w:val="0"/>
            <w:vAlign w:val="center"/>
          </w:tcPr>
          <w:p w14:paraId="7A976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0.00 </w:t>
            </w:r>
          </w:p>
        </w:tc>
        <w:tc>
          <w:tcPr>
            <w:tcW w:w="0" w:type="auto"/>
            <w:tcBorders>
              <w:tl2br w:val="nil"/>
              <w:tr2bl w:val="nil"/>
            </w:tcBorders>
            <w:noWrap w:val="0"/>
            <w:vAlign w:val="center"/>
          </w:tcPr>
          <w:p w14:paraId="4BA1F9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5F0C5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w:t>
            </w:r>
          </w:p>
        </w:tc>
        <w:tc>
          <w:tcPr>
            <w:tcW w:w="0" w:type="auto"/>
            <w:tcBorders>
              <w:tl2br w:val="nil"/>
              <w:tr2bl w:val="nil"/>
            </w:tcBorders>
            <w:noWrap w:val="0"/>
            <w:vAlign w:val="center"/>
          </w:tcPr>
          <w:p w14:paraId="56B1A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0.00 </w:t>
            </w:r>
          </w:p>
        </w:tc>
        <w:tc>
          <w:tcPr>
            <w:tcW w:w="0" w:type="auto"/>
            <w:tcBorders>
              <w:tl2br w:val="nil"/>
              <w:tr2bl w:val="nil"/>
            </w:tcBorders>
            <w:noWrap w:val="0"/>
            <w:vAlign w:val="center"/>
          </w:tcPr>
          <w:p w14:paraId="506BA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6DDD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3.0</w:t>
            </w:r>
          </w:p>
        </w:tc>
      </w:tr>
      <w:tr w14:paraId="4B451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4D8F7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总硬度</w:t>
            </w:r>
          </w:p>
        </w:tc>
        <w:tc>
          <w:tcPr>
            <w:tcW w:w="0" w:type="auto"/>
            <w:tcBorders>
              <w:tl2br w:val="nil"/>
              <w:tr2bl w:val="nil"/>
            </w:tcBorders>
            <w:noWrap w:val="0"/>
            <w:vAlign w:val="center"/>
          </w:tcPr>
          <w:p w14:paraId="726ED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2672F7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121</w:t>
            </w:r>
          </w:p>
        </w:tc>
        <w:tc>
          <w:tcPr>
            <w:tcW w:w="0" w:type="auto"/>
            <w:tcBorders>
              <w:tl2br w:val="nil"/>
              <w:tr2bl w:val="nil"/>
            </w:tcBorders>
            <w:noWrap w:val="0"/>
            <w:vAlign w:val="center"/>
          </w:tcPr>
          <w:p w14:paraId="631496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0.27 </w:t>
            </w:r>
          </w:p>
        </w:tc>
        <w:tc>
          <w:tcPr>
            <w:tcW w:w="0" w:type="auto"/>
            <w:tcBorders>
              <w:tl2br w:val="nil"/>
              <w:tr2bl w:val="nil"/>
            </w:tcBorders>
            <w:noWrap w:val="0"/>
            <w:vAlign w:val="center"/>
          </w:tcPr>
          <w:p w14:paraId="500075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C66D7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286</w:t>
            </w:r>
          </w:p>
        </w:tc>
        <w:tc>
          <w:tcPr>
            <w:tcW w:w="0" w:type="auto"/>
            <w:tcBorders>
              <w:tl2br w:val="nil"/>
              <w:tr2bl w:val="nil"/>
            </w:tcBorders>
            <w:noWrap w:val="0"/>
            <w:vAlign w:val="center"/>
          </w:tcPr>
          <w:p w14:paraId="005CB6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0.64 </w:t>
            </w:r>
          </w:p>
        </w:tc>
        <w:tc>
          <w:tcPr>
            <w:tcW w:w="0" w:type="auto"/>
            <w:tcBorders>
              <w:tl2br w:val="nil"/>
              <w:tr2bl w:val="nil"/>
            </w:tcBorders>
            <w:noWrap w:val="0"/>
            <w:vAlign w:val="center"/>
          </w:tcPr>
          <w:p w14:paraId="67216C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99C0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277</w:t>
            </w:r>
          </w:p>
        </w:tc>
        <w:tc>
          <w:tcPr>
            <w:tcW w:w="0" w:type="auto"/>
            <w:tcBorders>
              <w:tl2br w:val="nil"/>
              <w:tr2bl w:val="nil"/>
            </w:tcBorders>
            <w:noWrap w:val="0"/>
            <w:vAlign w:val="center"/>
          </w:tcPr>
          <w:p w14:paraId="391CC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0.62 </w:t>
            </w:r>
          </w:p>
        </w:tc>
        <w:tc>
          <w:tcPr>
            <w:tcW w:w="0" w:type="auto"/>
            <w:tcBorders>
              <w:tl2br w:val="nil"/>
              <w:tr2bl w:val="nil"/>
            </w:tcBorders>
            <w:noWrap w:val="0"/>
            <w:vAlign w:val="center"/>
          </w:tcPr>
          <w:p w14:paraId="7DECB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A5D5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≤450</w:t>
            </w:r>
          </w:p>
        </w:tc>
      </w:tr>
      <w:tr w14:paraId="08EBF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tl2br w:val="nil"/>
              <w:tr2bl w:val="nil"/>
            </w:tcBorders>
            <w:noWrap w:val="0"/>
            <w:vAlign w:val="center"/>
          </w:tcPr>
          <w:p w14:paraId="1C416C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菌落总数</w:t>
            </w:r>
          </w:p>
        </w:tc>
        <w:tc>
          <w:tcPr>
            <w:tcW w:w="0" w:type="auto"/>
            <w:tcBorders>
              <w:tl2br w:val="nil"/>
              <w:tr2bl w:val="nil"/>
            </w:tcBorders>
            <w:noWrap w:val="0"/>
            <w:vAlign w:val="center"/>
          </w:tcPr>
          <w:p w14:paraId="2638A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CFU</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m</w:t>
            </w:r>
            <w:r>
              <w:rPr>
                <w:rFonts w:hint="default" w:ascii="Times New Roman" w:hAnsi="宋体" w:eastAsia="宋体" w:cs="Times New Roman"/>
                <w:color w:val="auto"/>
                <w:sz w:val="21"/>
                <w:szCs w:val="21"/>
                <w:highlight w:val="none"/>
                <w:lang w:val="en-US" w:eastAsia="zh-CN"/>
              </w:rPr>
              <w:t>L</w:t>
            </w:r>
          </w:p>
        </w:tc>
        <w:tc>
          <w:tcPr>
            <w:tcW w:w="0" w:type="auto"/>
            <w:tcBorders>
              <w:tl2br w:val="nil"/>
              <w:tr2bl w:val="nil"/>
            </w:tcBorders>
            <w:noWrap w:val="0"/>
            <w:vAlign w:val="center"/>
          </w:tcPr>
          <w:p w14:paraId="4B904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27</w:t>
            </w:r>
          </w:p>
        </w:tc>
        <w:tc>
          <w:tcPr>
            <w:tcW w:w="0" w:type="auto"/>
            <w:tcBorders>
              <w:tl2br w:val="nil"/>
              <w:tr2bl w:val="nil"/>
            </w:tcBorders>
            <w:noWrap w:val="0"/>
            <w:vAlign w:val="center"/>
          </w:tcPr>
          <w:p w14:paraId="20299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0.27 </w:t>
            </w:r>
          </w:p>
        </w:tc>
        <w:tc>
          <w:tcPr>
            <w:tcW w:w="0" w:type="auto"/>
            <w:tcBorders>
              <w:tl2br w:val="nil"/>
              <w:tr2bl w:val="nil"/>
            </w:tcBorders>
            <w:noWrap w:val="0"/>
            <w:vAlign w:val="center"/>
          </w:tcPr>
          <w:p w14:paraId="1A116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E446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32</w:t>
            </w:r>
          </w:p>
        </w:tc>
        <w:tc>
          <w:tcPr>
            <w:tcW w:w="0" w:type="auto"/>
            <w:tcBorders>
              <w:tl2br w:val="nil"/>
              <w:tr2bl w:val="nil"/>
            </w:tcBorders>
            <w:noWrap w:val="0"/>
            <w:vAlign w:val="center"/>
          </w:tcPr>
          <w:p w14:paraId="03B91E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0.32 </w:t>
            </w:r>
          </w:p>
        </w:tc>
        <w:tc>
          <w:tcPr>
            <w:tcW w:w="0" w:type="auto"/>
            <w:tcBorders>
              <w:tl2br w:val="nil"/>
              <w:tr2bl w:val="nil"/>
            </w:tcBorders>
            <w:noWrap w:val="0"/>
            <w:vAlign w:val="center"/>
          </w:tcPr>
          <w:p w14:paraId="79F4C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6BC1D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24</w:t>
            </w:r>
          </w:p>
        </w:tc>
        <w:tc>
          <w:tcPr>
            <w:tcW w:w="0" w:type="auto"/>
            <w:tcBorders>
              <w:tl2br w:val="nil"/>
              <w:tr2bl w:val="nil"/>
            </w:tcBorders>
            <w:noWrap w:val="0"/>
            <w:vAlign w:val="center"/>
          </w:tcPr>
          <w:p w14:paraId="2E91B9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 xml:space="preserve">0.24 </w:t>
            </w:r>
          </w:p>
        </w:tc>
        <w:tc>
          <w:tcPr>
            <w:tcW w:w="0" w:type="auto"/>
            <w:tcBorders>
              <w:tl2br w:val="nil"/>
              <w:tr2bl w:val="nil"/>
            </w:tcBorders>
            <w:noWrap w:val="0"/>
            <w:vAlign w:val="center"/>
          </w:tcPr>
          <w:p w14:paraId="14411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D9DCE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≤100</w:t>
            </w:r>
          </w:p>
        </w:tc>
      </w:tr>
      <w:tr w14:paraId="135A8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14:paraId="18073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碱度</w:t>
            </w:r>
          </w:p>
          <w:p w14:paraId="61CBFF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6985C5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碳酸盐（CO32-）</w:t>
            </w:r>
          </w:p>
        </w:tc>
        <w:tc>
          <w:tcPr>
            <w:tcW w:w="0" w:type="auto"/>
            <w:tcBorders>
              <w:tl2br w:val="nil"/>
              <w:tr2bl w:val="nil"/>
            </w:tcBorders>
            <w:noWrap w:val="0"/>
            <w:vAlign w:val="center"/>
          </w:tcPr>
          <w:p w14:paraId="4F36D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5D9D0E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w:t>
            </w:r>
          </w:p>
        </w:tc>
        <w:tc>
          <w:tcPr>
            <w:tcW w:w="0" w:type="auto"/>
            <w:tcBorders>
              <w:tl2br w:val="nil"/>
              <w:tr2bl w:val="nil"/>
            </w:tcBorders>
            <w:noWrap w:val="0"/>
            <w:vAlign w:val="center"/>
          </w:tcPr>
          <w:p w14:paraId="6D3BE4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E783D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6999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w:t>
            </w:r>
          </w:p>
        </w:tc>
        <w:tc>
          <w:tcPr>
            <w:tcW w:w="0" w:type="auto"/>
            <w:tcBorders>
              <w:tl2br w:val="nil"/>
              <w:tr2bl w:val="nil"/>
            </w:tcBorders>
            <w:noWrap w:val="0"/>
            <w:vAlign w:val="center"/>
          </w:tcPr>
          <w:p w14:paraId="1D9BDB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AB672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7D236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w:t>
            </w:r>
          </w:p>
        </w:tc>
        <w:tc>
          <w:tcPr>
            <w:tcW w:w="0" w:type="auto"/>
            <w:tcBorders>
              <w:tl2br w:val="nil"/>
              <w:tr2bl w:val="nil"/>
            </w:tcBorders>
            <w:noWrap w:val="0"/>
            <w:vAlign w:val="center"/>
          </w:tcPr>
          <w:p w14:paraId="054469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7F6DF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072A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r w14:paraId="2D9CE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14:paraId="79282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04442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重碳酸盐</w:t>
            </w:r>
          </w:p>
          <w:p w14:paraId="681A41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碱度（以CaCO3计）</w:t>
            </w:r>
          </w:p>
        </w:tc>
        <w:tc>
          <w:tcPr>
            <w:tcW w:w="0" w:type="auto"/>
            <w:tcBorders>
              <w:tl2br w:val="nil"/>
              <w:tr2bl w:val="nil"/>
            </w:tcBorders>
            <w:noWrap w:val="0"/>
            <w:vAlign w:val="center"/>
          </w:tcPr>
          <w:p w14:paraId="3610A2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mg/L</w:t>
            </w:r>
          </w:p>
        </w:tc>
        <w:tc>
          <w:tcPr>
            <w:tcW w:w="0" w:type="auto"/>
            <w:tcBorders>
              <w:tl2br w:val="nil"/>
              <w:tr2bl w:val="nil"/>
            </w:tcBorders>
            <w:noWrap w:val="0"/>
            <w:vAlign w:val="center"/>
          </w:tcPr>
          <w:p w14:paraId="01503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114</w:t>
            </w:r>
          </w:p>
        </w:tc>
        <w:tc>
          <w:tcPr>
            <w:tcW w:w="0" w:type="auto"/>
            <w:tcBorders>
              <w:tl2br w:val="nil"/>
              <w:tr2bl w:val="nil"/>
            </w:tcBorders>
            <w:noWrap w:val="0"/>
            <w:vAlign w:val="center"/>
          </w:tcPr>
          <w:p w14:paraId="63D4F7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FBF99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A64F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750</w:t>
            </w:r>
          </w:p>
        </w:tc>
        <w:tc>
          <w:tcPr>
            <w:tcW w:w="0" w:type="auto"/>
            <w:tcBorders>
              <w:tl2br w:val="nil"/>
              <w:tr2bl w:val="nil"/>
            </w:tcBorders>
            <w:noWrap w:val="0"/>
            <w:vAlign w:val="center"/>
          </w:tcPr>
          <w:p w14:paraId="4C7E3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8C913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77D540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781</w:t>
            </w:r>
          </w:p>
        </w:tc>
        <w:tc>
          <w:tcPr>
            <w:tcW w:w="0" w:type="auto"/>
            <w:tcBorders>
              <w:tl2br w:val="nil"/>
              <w:tr2bl w:val="nil"/>
            </w:tcBorders>
            <w:noWrap w:val="0"/>
            <w:vAlign w:val="center"/>
          </w:tcPr>
          <w:p w14:paraId="0FEF5D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A52D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2DE60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bl>
    <w:p w14:paraId="25BB238B">
      <w:pPr>
        <w:pStyle w:val="26"/>
        <w:rPr>
          <w:rFonts w:hint="eastAsia"/>
          <w:color w:val="auto"/>
          <w:highlight w:val="none"/>
        </w:rPr>
        <w:sectPr>
          <w:pgSz w:w="16838" w:h="11906" w:orient="landscape"/>
          <w:pgMar w:top="1701" w:right="1418" w:bottom="1418" w:left="1247" w:header="851" w:footer="680" w:gutter="0"/>
          <w:pgBorders>
            <w:top w:val="none" w:sz="0" w:space="0"/>
            <w:left w:val="none" w:sz="0" w:space="0"/>
            <w:bottom w:val="none" w:sz="0" w:space="0"/>
            <w:right w:val="none" w:sz="0" w:space="0"/>
          </w:pgBorders>
          <w:pgNumType w:fmt="decimal"/>
          <w:cols w:space="720" w:num="1"/>
          <w:docGrid w:linePitch="326" w:charSpace="0"/>
        </w:sectPr>
      </w:pPr>
    </w:p>
    <w:p w14:paraId="51A5C35B">
      <w:pPr>
        <w:ind w:firstLine="480"/>
        <w:rPr>
          <w:rFonts w:ascii="Calibri" w:hAnsi="Calibri" w:cs="宋体"/>
          <w:color w:val="auto"/>
          <w:kern w:val="0"/>
          <w:highlight w:val="none"/>
        </w:rPr>
      </w:pPr>
      <w:r>
        <w:rPr>
          <w:color w:val="auto"/>
          <w:highlight w:val="none"/>
        </w:rPr>
        <w:t>由表</w:t>
      </w:r>
      <w:r>
        <w:rPr>
          <w:rFonts w:hint="eastAsia"/>
          <w:color w:val="auto"/>
          <w:highlight w:val="none"/>
        </w:rPr>
        <w:t>4.3-</w:t>
      </w:r>
      <w:r>
        <w:rPr>
          <w:rFonts w:hint="eastAsia"/>
          <w:color w:val="auto"/>
          <w:highlight w:val="none"/>
          <w:lang w:val="en-US" w:eastAsia="zh-CN"/>
        </w:rPr>
        <w:t>5</w:t>
      </w:r>
      <w:r>
        <w:rPr>
          <w:rFonts w:hint="eastAsia" w:ascii="Calibri" w:hAnsi="Calibri" w:cs="宋体"/>
          <w:color w:val="auto"/>
          <w:kern w:val="0"/>
          <w:highlight w:val="none"/>
        </w:rPr>
        <w:t>可知，</w:t>
      </w:r>
      <w:r>
        <w:rPr>
          <w:rFonts w:hint="eastAsia"/>
          <w:color w:val="auto"/>
          <w:highlight w:val="none"/>
        </w:rPr>
        <w:t>评价区</w:t>
      </w:r>
      <w:r>
        <w:rPr>
          <w:rFonts w:hint="eastAsia"/>
          <w:color w:val="auto"/>
          <w:highlight w:val="none"/>
          <w:lang w:val="en-US" w:eastAsia="zh-CN"/>
        </w:rPr>
        <w:t>所有</w:t>
      </w:r>
      <w:r>
        <w:rPr>
          <w:rFonts w:hint="eastAsia"/>
          <w:color w:val="auto"/>
          <w:highlight w:val="none"/>
        </w:rPr>
        <w:t>监测因子</w:t>
      </w:r>
      <w:r>
        <w:rPr>
          <w:rFonts w:hint="eastAsia"/>
          <w:color w:val="auto"/>
          <w:highlight w:val="none"/>
          <w:lang w:val="en-US" w:eastAsia="zh-CN"/>
        </w:rPr>
        <w:t>中钠离子有超标现象，钠离子超标是因区域地质条件造成，其他因子</w:t>
      </w:r>
      <w:r>
        <w:rPr>
          <w:rFonts w:hint="eastAsia"/>
          <w:color w:val="auto"/>
          <w:highlight w:val="none"/>
        </w:rPr>
        <w:t>均达到《地下水环境质量标准》（GB/T14848—2017）Ⅲ类标准要求。</w:t>
      </w:r>
    </w:p>
    <w:p w14:paraId="033F8883">
      <w:pPr>
        <w:pStyle w:val="5"/>
        <w:rPr>
          <w:color w:val="auto"/>
          <w:highlight w:val="none"/>
        </w:rPr>
      </w:pPr>
      <w:r>
        <w:rPr>
          <w:rFonts w:hint="eastAsia"/>
          <w:color w:val="auto"/>
          <w:highlight w:val="none"/>
        </w:rPr>
        <w:t>土壤</w:t>
      </w:r>
      <w:r>
        <w:rPr>
          <w:color w:val="auto"/>
          <w:highlight w:val="none"/>
        </w:rPr>
        <w:t>环境质量现状调查与评价</w:t>
      </w:r>
    </w:p>
    <w:p w14:paraId="58BD4A3D">
      <w:pPr>
        <w:overflowPunct w:val="0"/>
        <w:ind w:firstLine="480"/>
        <w:rPr>
          <w:rFonts w:hint="eastAsia" w:ascii="Times New Roman" w:hAnsi="Times New Roman" w:eastAsia="宋体" w:cs="Times New Roman"/>
          <w:color w:val="auto"/>
          <w:highlight w:val="none"/>
        </w:rPr>
      </w:pPr>
      <w:r>
        <w:rPr>
          <w:rFonts w:hint="eastAsia"/>
          <w:color w:val="auto"/>
          <w:highlight w:val="none"/>
        </w:rPr>
        <w:t>本项目土壤环境质量现状监测工作</w:t>
      </w:r>
      <w:r>
        <w:rPr>
          <w:rFonts w:hint="eastAsia" w:ascii="Times New Roman" w:hAnsi="Times New Roman" w:eastAsia="宋体" w:cs="Times New Roman"/>
          <w:color w:val="auto"/>
          <w:highlight w:val="none"/>
        </w:rPr>
        <w:t>委托</w:t>
      </w:r>
      <w:r>
        <w:rPr>
          <w:rFonts w:hint="eastAsia" w:ascii="Times New Roman" w:hAnsi="Times New Roman" w:eastAsia="宋体" w:cs="Times New Roman"/>
          <w:color w:val="auto"/>
          <w:highlight w:val="none"/>
          <w:lang w:val="en-US" w:eastAsia="zh-CN"/>
        </w:rPr>
        <w:t>内蒙古奥博森环保科技服务有限公司</w:t>
      </w:r>
      <w:r>
        <w:rPr>
          <w:rFonts w:hint="eastAsia" w:ascii="Times New Roman" w:hAnsi="Times New Roman" w:eastAsia="宋体" w:cs="Times New Roman"/>
          <w:color w:val="auto"/>
          <w:highlight w:val="none"/>
        </w:rPr>
        <w:t xml:space="preserve">于 2024 年 </w:t>
      </w: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rPr>
        <w:t xml:space="preserve"> 月</w:t>
      </w:r>
      <w:r>
        <w:rPr>
          <w:rFonts w:hint="eastAsia" w:ascii="Times New Roman" w:hAnsi="Times New Roman" w:eastAsia="宋体" w:cs="Times New Roman"/>
          <w:color w:val="auto"/>
          <w:highlight w:val="none"/>
          <w:lang w:val="en-US" w:eastAsia="zh-CN"/>
        </w:rPr>
        <w:t>21</w:t>
      </w:r>
      <w:r>
        <w:rPr>
          <w:rFonts w:hint="eastAsia" w:ascii="Times New Roman" w:hAnsi="Times New Roman" w:eastAsia="宋体" w:cs="Times New Roman"/>
          <w:color w:val="auto"/>
          <w:highlight w:val="none"/>
        </w:rPr>
        <w:t>日对项目</w:t>
      </w:r>
      <w:r>
        <w:rPr>
          <w:rFonts w:hint="eastAsia" w:ascii="Times New Roman" w:hAnsi="Times New Roman" w:eastAsia="宋体" w:cs="Times New Roman"/>
          <w:color w:val="auto"/>
          <w:highlight w:val="none"/>
          <w:lang w:val="en-US" w:eastAsia="zh-CN"/>
        </w:rPr>
        <w:t>厂区内土壤进行了采样监测</w:t>
      </w:r>
      <w:r>
        <w:rPr>
          <w:rFonts w:hint="eastAsia" w:ascii="Times New Roman" w:hAnsi="Times New Roman" w:eastAsia="宋体" w:cs="Times New Roman"/>
          <w:color w:val="auto"/>
          <w:highlight w:val="none"/>
        </w:rPr>
        <w:t>。</w:t>
      </w:r>
    </w:p>
    <w:p w14:paraId="6A8AA121">
      <w:pPr>
        <w:pStyle w:val="6"/>
        <w:rPr>
          <w:color w:val="auto"/>
          <w:highlight w:val="none"/>
        </w:rPr>
      </w:pPr>
      <w:r>
        <w:rPr>
          <w:rFonts w:hint="eastAsia"/>
          <w:color w:val="auto"/>
          <w:highlight w:val="none"/>
          <w:lang w:val="en-US" w:eastAsia="zh-CN"/>
        </w:rPr>
        <w:t xml:space="preserve"> </w:t>
      </w:r>
      <w:r>
        <w:rPr>
          <w:rFonts w:hint="eastAsia"/>
          <w:color w:val="auto"/>
          <w:highlight w:val="none"/>
        </w:rPr>
        <w:t>监测布点</w:t>
      </w:r>
      <w:r>
        <w:rPr>
          <w:rFonts w:hint="eastAsia"/>
          <w:color w:val="auto"/>
          <w:highlight w:val="none"/>
          <w:lang w:val="en-US" w:eastAsia="zh-CN"/>
        </w:rPr>
        <w:t>及监测因子</w:t>
      </w:r>
    </w:p>
    <w:p w14:paraId="5EBA535D">
      <w:pPr>
        <w:ind w:firstLine="480"/>
        <w:rPr>
          <w:color w:val="auto"/>
          <w:highlight w:val="none"/>
        </w:rPr>
      </w:pPr>
      <w:r>
        <w:rPr>
          <w:rFonts w:hint="eastAsia"/>
          <w:color w:val="auto"/>
          <w:highlight w:val="none"/>
        </w:rPr>
        <w:t>本次评价土壤监测共布设</w:t>
      </w:r>
      <w:r>
        <w:rPr>
          <w:rFonts w:hint="eastAsia"/>
          <w:color w:val="auto"/>
          <w:highlight w:val="none"/>
          <w:lang w:val="en-US" w:eastAsia="zh-CN"/>
        </w:rPr>
        <w:t>3</w:t>
      </w:r>
      <w:r>
        <w:rPr>
          <w:rFonts w:hint="eastAsia"/>
          <w:color w:val="auto"/>
          <w:highlight w:val="none"/>
        </w:rPr>
        <w:t>个监测点，</w:t>
      </w:r>
      <w:r>
        <w:rPr>
          <w:rFonts w:hint="eastAsia"/>
          <w:color w:val="auto"/>
          <w:highlight w:val="none"/>
          <w:lang w:val="en-US" w:eastAsia="zh-CN"/>
        </w:rPr>
        <w:t>全部为</w:t>
      </w:r>
      <w:r>
        <w:rPr>
          <w:rFonts w:hint="eastAsia"/>
          <w:color w:val="auto"/>
          <w:highlight w:val="none"/>
        </w:rPr>
        <w:t>占地范围内表层样，满足</w:t>
      </w:r>
      <w:r>
        <w:rPr>
          <w:rFonts w:hint="eastAsia"/>
          <w:color w:val="auto"/>
          <w:highlight w:val="none"/>
          <w:lang w:val="en-GB"/>
        </w:rPr>
        <w:t>《环境影响评价技术导则 土壤环境（试行）》（HJ964-2018）要求</w:t>
      </w:r>
      <w:r>
        <w:rPr>
          <w:rFonts w:hint="eastAsia"/>
          <w:color w:val="auto"/>
          <w:highlight w:val="none"/>
          <w:lang w:val="en-US" w:eastAsia="zh-CN"/>
        </w:rPr>
        <w:t>布点要求</w:t>
      </w:r>
      <w:r>
        <w:rPr>
          <w:rFonts w:hint="eastAsia"/>
          <w:color w:val="auto"/>
          <w:highlight w:val="none"/>
        </w:rPr>
        <w:t>。</w:t>
      </w:r>
    </w:p>
    <w:p w14:paraId="604028AB">
      <w:pPr>
        <w:ind w:firstLine="480"/>
        <w:rPr>
          <w:color w:val="auto"/>
          <w:highlight w:val="none"/>
        </w:rPr>
      </w:pPr>
      <w:r>
        <w:rPr>
          <w:rFonts w:hint="eastAsia"/>
          <w:color w:val="auto"/>
          <w:highlight w:val="none"/>
          <w:lang w:val="en-US" w:eastAsia="zh-CN"/>
        </w:rPr>
        <w:t>本项目土壤质量现状</w:t>
      </w:r>
      <w:r>
        <w:rPr>
          <w:color w:val="auto"/>
          <w:highlight w:val="none"/>
        </w:rPr>
        <w:t>监测点位</w:t>
      </w:r>
      <w:r>
        <w:rPr>
          <w:rFonts w:hint="eastAsia"/>
          <w:color w:val="auto"/>
          <w:highlight w:val="none"/>
        </w:rPr>
        <w:t>及监测项目</w:t>
      </w:r>
      <w:r>
        <w:rPr>
          <w:color w:val="auto"/>
          <w:highlight w:val="none"/>
        </w:rPr>
        <w:t>设置情况见下表</w:t>
      </w:r>
      <w:r>
        <w:rPr>
          <w:rFonts w:hint="eastAsia"/>
          <w:color w:val="auto"/>
          <w:highlight w:val="none"/>
        </w:rPr>
        <w:t>4.3-</w:t>
      </w:r>
      <w:r>
        <w:rPr>
          <w:rFonts w:hint="eastAsia"/>
          <w:color w:val="auto"/>
          <w:highlight w:val="none"/>
          <w:lang w:val="en-US" w:eastAsia="zh-CN"/>
        </w:rPr>
        <w:t>7</w:t>
      </w:r>
      <w:r>
        <w:rPr>
          <w:rFonts w:hint="eastAsia"/>
          <w:color w:val="auto"/>
          <w:highlight w:val="none"/>
        </w:rPr>
        <w:t>，如图4.3-</w:t>
      </w:r>
      <w:r>
        <w:rPr>
          <w:rFonts w:hint="eastAsia"/>
          <w:color w:val="auto"/>
          <w:highlight w:val="none"/>
          <w:lang w:val="en-US" w:eastAsia="zh-CN"/>
        </w:rPr>
        <w:t>2</w:t>
      </w:r>
      <w:r>
        <w:rPr>
          <w:rFonts w:hint="eastAsia"/>
          <w:color w:val="auto"/>
          <w:highlight w:val="none"/>
        </w:rPr>
        <w:t>所示</w:t>
      </w:r>
      <w:r>
        <w:rPr>
          <w:color w:val="auto"/>
          <w:highlight w:val="none"/>
        </w:rPr>
        <w:t>。</w:t>
      </w:r>
    </w:p>
    <w:p w14:paraId="183F78B1">
      <w:pPr>
        <w:ind w:firstLine="0" w:firstLineChars="0"/>
        <w:jc w:val="center"/>
        <w:rPr>
          <w:b/>
          <w:color w:val="auto"/>
          <w:highlight w:val="none"/>
        </w:rPr>
      </w:pPr>
      <w:r>
        <w:rPr>
          <w:rFonts w:hint="eastAsia"/>
          <w:b/>
          <w:color w:val="auto"/>
          <w:highlight w:val="none"/>
        </w:rPr>
        <w:t>表</w:t>
      </w:r>
      <w:r>
        <w:rPr>
          <w:b/>
          <w:color w:val="auto"/>
          <w:highlight w:val="none"/>
        </w:rPr>
        <w:t>4.</w:t>
      </w:r>
      <w:r>
        <w:rPr>
          <w:rFonts w:hint="eastAsia"/>
          <w:b/>
          <w:color w:val="auto"/>
          <w:highlight w:val="none"/>
        </w:rPr>
        <w:t>3</w:t>
      </w:r>
      <w:r>
        <w:rPr>
          <w:b/>
          <w:color w:val="auto"/>
          <w:highlight w:val="none"/>
        </w:rPr>
        <w:t>-</w:t>
      </w:r>
      <w:r>
        <w:rPr>
          <w:rFonts w:hint="eastAsia"/>
          <w:b/>
          <w:color w:val="auto"/>
          <w:highlight w:val="none"/>
          <w:lang w:val="en-US" w:eastAsia="zh-CN"/>
        </w:rPr>
        <w:t>7</w:t>
      </w:r>
      <w:r>
        <w:rPr>
          <w:rFonts w:hint="eastAsia"/>
          <w:color w:val="auto"/>
          <w:highlight w:val="none"/>
        </w:rPr>
        <w:t xml:space="preserve">   </w:t>
      </w:r>
      <w:r>
        <w:rPr>
          <w:rFonts w:ascii="Times New Roman" w:hAnsi="Times New Roman"/>
          <w:b/>
          <w:bCs/>
          <w:color w:val="auto"/>
          <w:sz w:val="24"/>
          <w:highlight w:val="none"/>
        </w:rPr>
        <w:t>土壤环境现状监测点位及监测项目一览表</w:t>
      </w:r>
    </w:p>
    <w:tbl>
      <w:tblPr>
        <w:tblStyle w:val="4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647"/>
        <w:gridCol w:w="2347"/>
        <w:gridCol w:w="2250"/>
        <w:gridCol w:w="1222"/>
      </w:tblGrid>
      <w:tr w14:paraId="0C80B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52" w:type="pct"/>
            <w:tcBorders>
              <w:tl2br w:val="nil"/>
              <w:tr2bl w:val="nil"/>
            </w:tcBorders>
            <w:noWrap w:val="0"/>
            <w:vAlign w:val="center"/>
          </w:tcPr>
          <w:p w14:paraId="17DF52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检测点编号</w:t>
            </w:r>
          </w:p>
        </w:tc>
        <w:tc>
          <w:tcPr>
            <w:tcW w:w="915" w:type="pct"/>
            <w:tcBorders>
              <w:tl2br w:val="nil"/>
              <w:tr2bl w:val="nil"/>
            </w:tcBorders>
            <w:noWrap w:val="0"/>
            <w:vAlign w:val="center"/>
          </w:tcPr>
          <w:p w14:paraId="5B206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位置</w:t>
            </w:r>
          </w:p>
        </w:tc>
        <w:tc>
          <w:tcPr>
            <w:tcW w:w="1304" w:type="pct"/>
            <w:tcBorders>
              <w:tl2br w:val="nil"/>
              <w:tr2bl w:val="nil"/>
            </w:tcBorders>
            <w:noWrap w:val="0"/>
            <w:vAlign w:val="center"/>
          </w:tcPr>
          <w:p w14:paraId="3C9B20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检测项目</w:t>
            </w:r>
          </w:p>
        </w:tc>
        <w:tc>
          <w:tcPr>
            <w:tcW w:w="1250" w:type="pct"/>
            <w:tcBorders>
              <w:tl2br w:val="nil"/>
              <w:tr2bl w:val="nil"/>
            </w:tcBorders>
            <w:noWrap w:val="0"/>
            <w:vAlign w:val="center"/>
          </w:tcPr>
          <w:p w14:paraId="5C1BAF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检测频次</w:t>
            </w:r>
          </w:p>
        </w:tc>
        <w:tc>
          <w:tcPr>
            <w:tcW w:w="676" w:type="pct"/>
            <w:tcBorders>
              <w:tl2br w:val="nil"/>
              <w:tr2bl w:val="nil"/>
            </w:tcBorders>
            <w:noWrap w:val="0"/>
            <w:vAlign w:val="center"/>
          </w:tcPr>
          <w:p w14:paraId="43282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备注</w:t>
            </w:r>
          </w:p>
        </w:tc>
      </w:tr>
      <w:tr w14:paraId="1D88A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52" w:type="pct"/>
            <w:tcBorders>
              <w:tl2br w:val="nil"/>
              <w:tr2bl w:val="nil"/>
            </w:tcBorders>
            <w:noWrap w:val="0"/>
            <w:vAlign w:val="center"/>
          </w:tcPr>
          <w:p w14:paraId="65D90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T1</w:t>
            </w:r>
          </w:p>
        </w:tc>
        <w:tc>
          <w:tcPr>
            <w:tcW w:w="915" w:type="pct"/>
            <w:tcBorders>
              <w:tl2br w:val="nil"/>
              <w:tr2bl w:val="nil"/>
            </w:tcBorders>
            <w:noWrap w:val="0"/>
            <w:vAlign w:val="center"/>
          </w:tcPr>
          <w:p w14:paraId="7A9B439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N4</w:t>
            </w:r>
            <w:r>
              <w:rPr>
                <w:rFonts w:hint="eastAsia" w:ascii="Times New Roman" w:hAnsi="Times New Roman" w:eastAsia="宋体"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°1</w:t>
            </w:r>
            <w:r>
              <w:rPr>
                <w:rFonts w:hint="eastAsia"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12</w:t>
            </w:r>
            <w:r>
              <w:rPr>
                <w:rFonts w:hint="default" w:ascii="Times New Roman" w:hAnsi="Times New Roman" w:eastAsia="宋体" w:cs="Times New Roman"/>
                <w:i w:val="0"/>
                <w:color w:val="auto"/>
                <w:kern w:val="0"/>
                <w:sz w:val="21"/>
                <w:szCs w:val="21"/>
                <w:highlight w:val="none"/>
                <w:u w:val="none"/>
                <w:lang w:val="en-US" w:eastAsia="zh-CN" w:bidi="ar"/>
              </w:rPr>
              <w:t>″</w:t>
            </w:r>
          </w:p>
          <w:p w14:paraId="432E0BD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宋体"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E11</w:t>
            </w:r>
            <w:r>
              <w:rPr>
                <w:rFonts w:hint="eastAsia" w:ascii="Times New Roman" w:hAnsi="Times New Roman" w:eastAsia="宋体" w:cs="Times New Roman"/>
                <w:i w:val="0"/>
                <w:color w:val="auto"/>
                <w:kern w:val="0"/>
                <w:sz w:val="21"/>
                <w:szCs w:val="21"/>
                <w:highlight w:val="none"/>
                <w:u w:val="none"/>
                <w:lang w:val="en-US" w:eastAsia="zh-CN" w:bidi="ar"/>
              </w:rPr>
              <w:t>6</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34</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35</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1304" w:type="pct"/>
            <w:tcBorders>
              <w:tl2br w:val="nil"/>
              <w:tr2bl w:val="nil"/>
            </w:tcBorders>
            <w:noWrap w:val="0"/>
            <w:vAlign w:val="center"/>
          </w:tcPr>
          <w:p w14:paraId="42562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基本因子</w:t>
            </w:r>
            <w:r>
              <w:rPr>
                <w:rFonts w:hint="default" w:ascii="Times New Roman" w:hAnsi="宋体" w:eastAsia="宋体" w:cs="Times New Roman"/>
                <w:color w:val="auto"/>
                <w:sz w:val="21"/>
                <w:szCs w:val="21"/>
                <w:highlight w:val="none"/>
                <w:lang w:val="en-US" w:eastAsia="zh-CN"/>
              </w:rPr>
              <w:t>45项</w:t>
            </w:r>
          </w:p>
        </w:tc>
        <w:tc>
          <w:tcPr>
            <w:tcW w:w="1250" w:type="pct"/>
            <w:vMerge w:val="restart"/>
            <w:tcBorders>
              <w:tl2br w:val="nil"/>
              <w:tr2bl w:val="nil"/>
            </w:tcBorders>
            <w:noWrap w:val="0"/>
            <w:vAlign w:val="center"/>
          </w:tcPr>
          <w:p w14:paraId="6AEBF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检测1天，1次/点/天</w:t>
            </w:r>
          </w:p>
        </w:tc>
        <w:tc>
          <w:tcPr>
            <w:tcW w:w="676" w:type="pct"/>
            <w:tcBorders>
              <w:tl2br w:val="nil"/>
              <w:tr2bl w:val="nil"/>
            </w:tcBorders>
            <w:noWrap w:val="0"/>
            <w:vAlign w:val="center"/>
          </w:tcPr>
          <w:p w14:paraId="5AFFB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表层样</w:t>
            </w:r>
          </w:p>
        </w:tc>
      </w:tr>
      <w:tr w14:paraId="268D0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52" w:type="pct"/>
            <w:tcBorders>
              <w:tl2br w:val="nil"/>
              <w:tr2bl w:val="nil"/>
            </w:tcBorders>
            <w:noWrap w:val="0"/>
            <w:vAlign w:val="center"/>
          </w:tcPr>
          <w:p w14:paraId="0670A6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T2</w:t>
            </w:r>
          </w:p>
        </w:tc>
        <w:tc>
          <w:tcPr>
            <w:tcW w:w="915" w:type="pct"/>
            <w:tcBorders>
              <w:tl2br w:val="nil"/>
              <w:tr2bl w:val="nil"/>
            </w:tcBorders>
            <w:noWrap w:val="0"/>
            <w:vAlign w:val="center"/>
          </w:tcPr>
          <w:p w14:paraId="03608F2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N4</w:t>
            </w:r>
            <w:r>
              <w:rPr>
                <w:rFonts w:hint="eastAsia" w:ascii="Times New Roman" w:hAnsi="Times New Roman" w:eastAsia="宋体"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°1</w:t>
            </w:r>
            <w:r>
              <w:rPr>
                <w:rFonts w:hint="eastAsia"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10</w:t>
            </w:r>
            <w:r>
              <w:rPr>
                <w:rFonts w:hint="default" w:ascii="Times New Roman" w:hAnsi="Times New Roman" w:eastAsia="宋体" w:cs="Times New Roman"/>
                <w:i w:val="0"/>
                <w:color w:val="auto"/>
                <w:kern w:val="0"/>
                <w:sz w:val="21"/>
                <w:szCs w:val="21"/>
                <w:highlight w:val="none"/>
                <w:u w:val="none"/>
                <w:lang w:val="en-US" w:eastAsia="zh-CN" w:bidi="ar"/>
              </w:rPr>
              <w:t>″</w:t>
            </w:r>
          </w:p>
          <w:p w14:paraId="2E15EE7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宋体"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E11</w:t>
            </w:r>
            <w:r>
              <w:rPr>
                <w:rFonts w:hint="eastAsia" w:ascii="Times New Roman" w:hAnsi="Times New Roman" w:eastAsia="宋体" w:cs="Times New Roman"/>
                <w:i w:val="0"/>
                <w:color w:val="auto"/>
                <w:kern w:val="0"/>
                <w:sz w:val="21"/>
                <w:szCs w:val="21"/>
                <w:highlight w:val="none"/>
                <w:u w:val="none"/>
                <w:lang w:val="en-US" w:eastAsia="zh-CN" w:bidi="ar"/>
              </w:rPr>
              <w:t>6</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34</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35</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1304" w:type="pct"/>
            <w:vMerge w:val="restart"/>
            <w:tcBorders>
              <w:tl2br w:val="nil"/>
              <w:tr2bl w:val="nil"/>
            </w:tcBorders>
            <w:noWrap w:val="0"/>
            <w:vAlign w:val="center"/>
          </w:tcPr>
          <w:p w14:paraId="7BCA6A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特征因子氟化物</w:t>
            </w:r>
          </w:p>
        </w:tc>
        <w:tc>
          <w:tcPr>
            <w:tcW w:w="1250" w:type="pct"/>
            <w:vMerge w:val="continue"/>
            <w:tcBorders>
              <w:tl2br w:val="nil"/>
              <w:tr2bl w:val="nil"/>
            </w:tcBorders>
            <w:noWrap w:val="0"/>
            <w:vAlign w:val="center"/>
          </w:tcPr>
          <w:p w14:paraId="1CE72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676" w:type="pct"/>
            <w:tcBorders>
              <w:tl2br w:val="nil"/>
              <w:tr2bl w:val="nil"/>
            </w:tcBorders>
            <w:noWrap w:val="0"/>
            <w:vAlign w:val="center"/>
          </w:tcPr>
          <w:p w14:paraId="1C8F0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表层样</w:t>
            </w:r>
          </w:p>
        </w:tc>
      </w:tr>
      <w:tr w14:paraId="551E5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52" w:type="pct"/>
            <w:tcBorders>
              <w:tl2br w:val="nil"/>
              <w:tr2bl w:val="nil"/>
            </w:tcBorders>
            <w:noWrap w:val="0"/>
            <w:vAlign w:val="center"/>
          </w:tcPr>
          <w:p w14:paraId="3B8D54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T3</w:t>
            </w:r>
          </w:p>
        </w:tc>
        <w:tc>
          <w:tcPr>
            <w:tcW w:w="915" w:type="pct"/>
            <w:tcBorders>
              <w:tl2br w:val="nil"/>
              <w:tr2bl w:val="nil"/>
            </w:tcBorders>
            <w:noWrap w:val="0"/>
            <w:vAlign w:val="center"/>
          </w:tcPr>
          <w:p w14:paraId="2299093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N4</w:t>
            </w:r>
            <w:r>
              <w:rPr>
                <w:rFonts w:hint="eastAsia" w:ascii="Times New Roman" w:hAnsi="Times New Roman" w:eastAsia="宋体"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°1</w:t>
            </w:r>
            <w:r>
              <w:rPr>
                <w:rFonts w:hint="eastAsia"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09</w:t>
            </w:r>
            <w:r>
              <w:rPr>
                <w:rFonts w:hint="default" w:ascii="Times New Roman" w:hAnsi="Times New Roman" w:eastAsia="宋体" w:cs="Times New Roman"/>
                <w:i w:val="0"/>
                <w:color w:val="auto"/>
                <w:kern w:val="0"/>
                <w:sz w:val="21"/>
                <w:szCs w:val="21"/>
                <w:highlight w:val="none"/>
                <w:u w:val="none"/>
                <w:lang w:val="en-US" w:eastAsia="zh-CN" w:bidi="ar"/>
              </w:rPr>
              <w:t>″</w:t>
            </w:r>
          </w:p>
          <w:p w14:paraId="1C0A7DD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宋体"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E11</w:t>
            </w:r>
            <w:r>
              <w:rPr>
                <w:rFonts w:hint="eastAsia" w:ascii="Times New Roman" w:hAnsi="Times New Roman" w:eastAsia="宋体" w:cs="Times New Roman"/>
                <w:i w:val="0"/>
                <w:color w:val="auto"/>
                <w:kern w:val="0"/>
                <w:sz w:val="21"/>
                <w:szCs w:val="21"/>
                <w:highlight w:val="none"/>
                <w:u w:val="none"/>
                <w:lang w:val="en-US" w:eastAsia="zh-CN" w:bidi="ar"/>
              </w:rPr>
              <w:t>6</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34</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ascii="Times New Roman" w:hAnsi="Times New Roman" w:eastAsia="宋体" w:cs="Times New Roman"/>
                <w:i w:val="0"/>
                <w:color w:val="auto"/>
                <w:kern w:val="0"/>
                <w:sz w:val="21"/>
                <w:szCs w:val="21"/>
                <w:highlight w:val="none"/>
                <w:u w:val="none"/>
                <w:lang w:val="en-US" w:eastAsia="zh-CN" w:bidi="ar"/>
              </w:rPr>
              <w:t>35</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1304" w:type="pct"/>
            <w:vMerge w:val="continue"/>
            <w:tcBorders>
              <w:tl2br w:val="nil"/>
              <w:tr2bl w:val="nil"/>
            </w:tcBorders>
            <w:noWrap w:val="0"/>
            <w:vAlign w:val="center"/>
          </w:tcPr>
          <w:p w14:paraId="409C9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250" w:type="pct"/>
            <w:vMerge w:val="continue"/>
            <w:tcBorders>
              <w:tl2br w:val="nil"/>
              <w:tr2bl w:val="nil"/>
            </w:tcBorders>
            <w:noWrap w:val="0"/>
            <w:vAlign w:val="center"/>
          </w:tcPr>
          <w:p w14:paraId="33A18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676" w:type="pct"/>
            <w:tcBorders>
              <w:tl2br w:val="nil"/>
              <w:tr2bl w:val="nil"/>
            </w:tcBorders>
            <w:noWrap w:val="0"/>
            <w:vAlign w:val="center"/>
          </w:tcPr>
          <w:p w14:paraId="18DD40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表层样</w:t>
            </w:r>
          </w:p>
        </w:tc>
      </w:tr>
      <w:tr w14:paraId="58381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000" w:type="pct"/>
            <w:gridSpan w:val="5"/>
            <w:tcBorders>
              <w:tl2br w:val="nil"/>
              <w:tr2bl w:val="nil"/>
            </w:tcBorders>
            <w:noWrap w:val="0"/>
            <w:vAlign w:val="center"/>
          </w:tcPr>
          <w:p w14:paraId="30402C0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备注：表层样应在0-0.2m取样。</w:t>
            </w:r>
          </w:p>
        </w:tc>
      </w:tr>
    </w:tbl>
    <w:p w14:paraId="469B7C5C">
      <w:pPr>
        <w:ind w:left="480" w:firstLine="0" w:firstLineChars="0"/>
        <w:rPr>
          <w:color w:val="auto"/>
          <w:highlight w:val="none"/>
        </w:rPr>
      </w:pPr>
    </w:p>
    <w:p w14:paraId="668076FA">
      <w:pPr>
        <w:ind w:left="480" w:firstLine="0" w:firstLineChars="0"/>
        <w:rPr>
          <w:color w:val="auto"/>
          <w:highlight w:val="none"/>
        </w:rPr>
      </w:pPr>
    </w:p>
    <w:p w14:paraId="759BF3F6">
      <w:pPr>
        <w:ind w:left="480" w:firstLine="0" w:firstLineChars="0"/>
        <w:rPr>
          <w:color w:val="auto"/>
          <w:highlight w:val="none"/>
        </w:rPr>
        <w:sectPr>
          <w:pgSz w:w="11906" w:h="16838"/>
          <w:pgMar w:top="1418" w:right="1418" w:bottom="1247" w:left="1701" w:header="851" w:footer="680" w:gutter="0"/>
          <w:pgBorders>
            <w:top w:val="none" w:sz="0" w:space="0"/>
            <w:left w:val="none" w:sz="0" w:space="0"/>
            <w:bottom w:val="none" w:sz="0" w:space="0"/>
            <w:right w:val="none" w:sz="0" w:space="0"/>
          </w:pgBorders>
          <w:pgNumType w:fmt="decimal"/>
          <w:cols w:space="720" w:num="1"/>
          <w:docGrid w:linePitch="326" w:charSpace="0"/>
        </w:sectPr>
      </w:pPr>
    </w:p>
    <w:p w14:paraId="1E02CABB">
      <w:pPr>
        <w:ind w:left="48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7726045" cy="5124450"/>
            <wp:effectExtent l="0" t="0" r="8255" b="0"/>
            <wp:docPr id="17" name="图片 41" descr="土壤、噪声现状监测点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土壤、噪声现状监测点位分布图"/>
                    <pic:cNvPicPr>
                      <a:picLocks noChangeAspect="1"/>
                    </pic:cNvPicPr>
                  </pic:nvPicPr>
                  <pic:blipFill>
                    <a:blip r:embed="rId64"/>
                    <a:stretch>
                      <a:fillRect/>
                    </a:stretch>
                  </pic:blipFill>
                  <pic:spPr>
                    <a:xfrm>
                      <a:off x="0" y="0"/>
                      <a:ext cx="7726045" cy="5124450"/>
                    </a:xfrm>
                    <a:prstGeom prst="rect">
                      <a:avLst/>
                    </a:prstGeom>
                    <a:noFill/>
                    <a:ln>
                      <a:noFill/>
                    </a:ln>
                  </pic:spPr>
                </pic:pic>
              </a:graphicData>
            </a:graphic>
          </wp:inline>
        </w:drawing>
      </w:r>
    </w:p>
    <w:p w14:paraId="3B6DFE89">
      <w:pPr>
        <w:ind w:left="480" w:firstLine="0" w:firstLineChars="0"/>
        <w:jc w:val="center"/>
        <w:rPr>
          <w:b/>
          <w:bCs/>
          <w:color w:val="auto"/>
          <w:highlight w:val="none"/>
        </w:rPr>
        <w:sectPr>
          <w:pgSz w:w="16838" w:h="11906" w:orient="landscape"/>
          <w:pgMar w:top="1701" w:right="1418" w:bottom="1418" w:left="1247" w:header="851" w:footer="680" w:gutter="0"/>
          <w:pgBorders>
            <w:top w:val="none" w:sz="0" w:space="0"/>
            <w:left w:val="none" w:sz="0" w:space="0"/>
            <w:bottom w:val="none" w:sz="0" w:space="0"/>
            <w:right w:val="none" w:sz="0" w:space="0"/>
          </w:pgBorders>
          <w:pgNumType w:fmt="decimal"/>
          <w:cols w:space="720" w:num="1"/>
          <w:docGrid w:linePitch="326" w:charSpace="0"/>
        </w:sectPr>
      </w:pPr>
      <w:r>
        <w:rPr>
          <w:rFonts w:hint="eastAsia"/>
          <w:b/>
          <w:bCs/>
          <w:color w:val="auto"/>
          <w:highlight w:val="none"/>
        </w:rPr>
        <w:t>图4.3-</w:t>
      </w:r>
      <w:r>
        <w:rPr>
          <w:rFonts w:hint="eastAsia"/>
          <w:b/>
          <w:bCs/>
          <w:color w:val="auto"/>
          <w:highlight w:val="none"/>
          <w:lang w:val="en-US" w:eastAsia="zh-CN"/>
        </w:rPr>
        <w:t>2</w:t>
      </w:r>
      <w:r>
        <w:rPr>
          <w:rFonts w:hint="eastAsia"/>
          <w:b/>
          <w:bCs/>
          <w:color w:val="auto"/>
          <w:highlight w:val="none"/>
        </w:rPr>
        <w:t xml:space="preserve">  本项目土壤环境质量和声环境质量现状监测点位布点图</w:t>
      </w:r>
    </w:p>
    <w:p w14:paraId="2FBECEDF">
      <w:pPr>
        <w:pStyle w:val="6"/>
        <w:rPr>
          <w:color w:val="auto"/>
          <w:highlight w:val="none"/>
        </w:rPr>
      </w:pPr>
      <w:r>
        <w:rPr>
          <w:rFonts w:hint="eastAsia"/>
          <w:color w:val="auto"/>
          <w:highlight w:val="none"/>
          <w:lang w:val="en-US" w:eastAsia="zh-CN"/>
        </w:rPr>
        <w:t xml:space="preserve"> </w:t>
      </w:r>
      <w:r>
        <w:rPr>
          <w:color w:val="auto"/>
          <w:highlight w:val="none"/>
        </w:rPr>
        <w:t>监测方法</w:t>
      </w:r>
    </w:p>
    <w:p w14:paraId="2944D2E5">
      <w:pPr>
        <w:ind w:firstLine="480"/>
        <w:rPr>
          <w:color w:val="auto"/>
          <w:highlight w:val="none"/>
        </w:rPr>
      </w:pPr>
      <w:r>
        <w:rPr>
          <w:color w:val="auto"/>
          <w:kern w:val="0"/>
          <w:highlight w:val="none"/>
        </w:rPr>
        <w:t>采样和分析方法按《土壤环境监测技术规范》（HJ/T166－2004）及《土壤环境质量</w:t>
      </w:r>
      <w:r>
        <w:rPr>
          <w:rFonts w:hint="eastAsia"/>
          <w:color w:val="auto"/>
          <w:kern w:val="0"/>
          <w:highlight w:val="none"/>
          <w:lang w:val="en-US" w:eastAsia="zh-CN"/>
        </w:rPr>
        <w:t>-</w:t>
      </w:r>
      <w:r>
        <w:rPr>
          <w:color w:val="auto"/>
          <w:kern w:val="0"/>
          <w:highlight w:val="none"/>
        </w:rPr>
        <w:t>建设用地土壤污染风险管控标准（试行）》（GB36600-2018）中相关要求进行，</w:t>
      </w:r>
      <w:r>
        <w:rPr>
          <w:color w:val="auto"/>
          <w:highlight w:val="none"/>
        </w:rPr>
        <w:t>具体检测分析方法见</w:t>
      </w:r>
      <w:r>
        <w:rPr>
          <w:rFonts w:hint="eastAsia"/>
          <w:color w:val="auto"/>
          <w:highlight w:val="none"/>
          <w:lang w:val="en-US" w:eastAsia="zh-CN"/>
        </w:rPr>
        <w:t>表4.3-8</w:t>
      </w:r>
      <w:r>
        <w:rPr>
          <w:color w:val="auto"/>
          <w:highlight w:val="none"/>
        </w:rPr>
        <w:t>。</w:t>
      </w:r>
    </w:p>
    <w:p w14:paraId="32A5E511">
      <w:pPr>
        <w:ind w:firstLine="0" w:firstLineChars="0"/>
        <w:jc w:val="center"/>
        <w:rPr>
          <w:rFonts w:hint="eastAsia"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表4.</w:t>
      </w:r>
      <w:r>
        <w:rPr>
          <w:rFonts w:hint="eastAsia" w:ascii="Times New Roman" w:hAnsi="Times New Roman" w:eastAsia="宋体" w:cs="Times New Roman"/>
          <w:b/>
          <w:color w:val="auto"/>
          <w:highlight w:val="none"/>
          <w:lang w:val="en-US" w:eastAsia="zh-CN"/>
        </w:rPr>
        <w:t>3</w:t>
      </w:r>
      <w:r>
        <w:rPr>
          <w:rFonts w:hint="eastAsia" w:ascii="Times New Roman" w:hAnsi="Times New Roman" w:eastAsia="宋体" w:cs="Times New Roman"/>
          <w:b/>
          <w:color w:val="auto"/>
          <w:highlight w:val="none"/>
        </w:rPr>
        <w:t>-</w:t>
      </w:r>
      <w:r>
        <w:rPr>
          <w:rFonts w:hint="eastAsia" w:ascii="Times New Roman" w:hAnsi="Times New Roman" w:eastAsia="宋体" w:cs="Times New Roman"/>
          <w:b/>
          <w:color w:val="auto"/>
          <w:highlight w:val="none"/>
          <w:lang w:val="en-US" w:eastAsia="zh-CN"/>
        </w:rPr>
        <w:t>8</w:t>
      </w:r>
      <w:r>
        <w:rPr>
          <w:rFonts w:hint="eastAsia" w:ascii="Times New Roman" w:hAnsi="Times New Roman" w:eastAsia="宋体" w:cs="Times New Roman"/>
          <w:b/>
          <w:color w:val="auto"/>
          <w:highlight w:val="none"/>
        </w:rPr>
        <w:t xml:space="preserve">    </w:t>
      </w:r>
      <w:r>
        <w:rPr>
          <w:rFonts w:hint="eastAsia" w:ascii="Times New Roman" w:hAnsi="Times New Roman" w:eastAsia="宋体" w:cs="Times New Roman"/>
          <w:b/>
          <w:color w:val="auto"/>
          <w:highlight w:val="none"/>
          <w:lang w:val="en-US" w:eastAsia="zh-CN"/>
        </w:rPr>
        <w:t>土壤环境质量现状</w:t>
      </w:r>
      <w:r>
        <w:rPr>
          <w:rFonts w:hint="eastAsia" w:ascii="Times New Roman" w:hAnsi="Times New Roman" w:eastAsia="宋体" w:cs="Times New Roman"/>
          <w:b/>
          <w:color w:val="auto"/>
          <w:highlight w:val="none"/>
        </w:rPr>
        <w:t>检测项目及检测方法一览表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2043"/>
        <w:gridCol w:w="4026"/>
        <w:gridCol w:w="1886"/>
      </w:tblGrid>
      <w:tr w14:paraId="2C82C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67B2A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序号</w:t>
            </w:r>
          </w:p>
        </w:tc>
        <w:tc>
          <w:tcPr>
            <w:tcW w:w="2043" w:type="dxa"/>
            <w:tcBorders>
              <w:tl2br w:val="nil"/>
              <w:tr2bl w:val="nil"/>
            </w:tcBorders>
            <w:noWrap w:val="0"/>
            <w:vAlign w:val="center"/>
          </w:tcPr>
          <w:p w14:paraId="67F37F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检测</w:t>
            </w:r>
            <w:r>
              <w:rPr>
                <w:rFonts w:hint="default" w:ascii="Times New Roman" w:hAnsi="宋体" w:eastAsia="宋体" w:cs="Times New Roman"/>
                <w:color w:val="auto"/>
                <w:sz w:val="21"/>
                <w:szCs w:val="21"/>
                <w:highlight w:val="none"/>
                <w:lang w:val="en-US" w:eastAsia="zh-CN"/>
              </w:rPr>
              <w:t>项目</w:t>
            </w:r>
          </w:p>
        </w:tc>
        <w:tc>
          <w:tcPr>
            <w:tcW w:w="4026" w:type="dxa"/>
            <w:tcBorders>
              <w:tl2br w:val="nil"/>
              <w:tr2bl w:val="nil"/>
            </w:tcBorders>
            <w:noWrap w:val="0"/>
            <w:vAlign w:val="center"/>
          </w:tcPr>
          <w:p w14:paraId="52F831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分析方法及标准代号</w:t>
            </w:r>
          </w:p>
        </w:tc>
        <w:tc>
          <w:tcPr>
            <w:tcW w:w="1886" w:type="dxa"/>
            <w:tcBorders>
              <w:tl2br w:val="nil"/>
              <w:tr2bl w:val="nil"/>
            </w:tcBorders>
            <w:noWrap w:val="0"/>
            <w:vAlign w:val="center"/>
          </w:tcPr>
          <w:p w14:paraId="7385C5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检出限</w:t>
            </w:r>
          </w:p>
        </w:tc>
      </w:tr>
      <w:tr w14:paraId="77758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362C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w:t>
            </w:r>
          </w:p>
        </w:tc>
        <w:tc>
          <w:tcPr>
            <w:tcW w:w="2043" w:type="dxa"/>
            <w:tcBorders>
              <w:tl2br w:val="nil"/>
              <w:tr2bl w:val="nil"/>
            </w:tcBorders>
            <w:noWrap w:val="0"/>
            <w:vAlign w:val="center"/>
          </w:tcPr>
          <w:p w14:paraId="61C73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pH</w:t>
            </w:r>
          </w:p>
        </w:tc>
        <w:tc>
          <w:tcPr>
            <w:tcW w:w="4026" w:type="dxa"/>
            <w:tcBorders>
              <w:tl2br w:val="nil"/>
              <w:tr2bl w:val="nil"/>
            </w:tcBorders>
            <w:noWrap w:val="0"/>
            <w:vAlign w:val="center"/>
          </w:tcPr>
          <w:p w14:paraId="07AA62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 pH值的测定  电位法》HJ962-2018</w:t>
            </w:r>
          </w:p>
        </w:tc>
        <w:tc>
          <w:tcPr>
            <w:tcW w:w="1886" w:type="dxa"/>
            <w:tcBorders>
              <w:tl2br w:val="nil"/>
              <w:tr2bl w:val="nil"/>
            </w:tcBorders>
            <w:noWrap w:val="0"/>
            <w:vAlign w:val="center"/>
          </w:tcPr>
          <w:p w14:paraId="30461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r>
      <w:tr w14:paraId="0CC48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FA56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w:t>
            </w:r>
          </w:p>
        </w:tc>
        <w:tc>
          <w:tcPr>
            <w:tcW w:w="2043" w:type="dxa"/>
            <w:tcBorders>
              <w:tl2br w:val="nil"/>
              <w:tr2bl w:val="nil"/>
            </w:tcBorders>
            <w:noWrap w:val="0"/>
            <w:vAlign w:val="center"/>
          </w:tcPr>
          <w:p w14:paraId="36F01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铅</w:t>
            </w:r>
          </w:p>
        </w:tc>
        <w:tc>
          <w:tcPr>
            <w:tcW w:w="4026" w:type="dxa"/>
            <w:vMerge w:val="restart"/>
            <w:tcBorders>
              <w:tl2br w:val="nil"/>
              <w:tr2bl w:val="nil"/>
            </w:tcBorders>
            <w:noWrap w:val="0"/>
            <w:vAlign w:val="center"/>
          </w:tcPr>
          <w:p w14:paraId="5C9D60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《土壤质量 铅、镉的测定 石墨炉原子吸收分光光度法》GB/T17141-1997</w:t>
            </w:r>
          </w:p>
        </w:tc>
        <w:tc>
          <w:tcPr>
            <w:tcW w:w="1886" w:type="dxa"/>
            <w:tcBorders>
              <w:tl2br w:val="nil"/>
              <w:tr2bl w:val="nil"/>
            </w:tcBorders>
            <w:noWrap w:val="0"/>
            <w:vAlign w:val="center"/>
          </w:tcPr>
          <w:p w14:paraId="5F1D0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0.1mg/kg</w:t>
            </w:r>
          </w:p>
        </w:tc>
      </w:tr>
      <w:tr w14:paraId="66EAB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3ABBE2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w:t>
            </w:r>
          </w:p>
        </w:tc>
        <w:tc>
          <w:tcPr>
            <w:tcW w:w="2043" w:type="dxa"/>
            <w:tcBorders>
              <w:tl2br w:val="nil"/>
              <w:tr2bl w:val="nil"/>
            </w:tcBorders>
            <w:noWrap w:val="0"/>
            <w:vAlign w:val="center"/>
          </w:tcPr>
          <w:p w14:paraId="16C3B8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镉</w:t>
            </w:r>
          </w:p>
        </w:tc>
        <w:tc>
          <w:tcPr>
            <w:tcW w:w="4026" w:type="dxa"/>
            <w:vMerge w:val="continue"/>
            <w:tcBorders>
              <w:tl2br w:val="nil"/>
              <w:tr2bl w:val="nil"/>
            </w:tcBorders>
            <w:noWrap w:val="0"/>
            <w:vAlign w:val="center"/>
          </w:tcPr>
          <w:p w14:paraId="4DF6D7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5DD0FA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0.01mg/kg</w:t>
            </w:r>
          </w:p>
        </w:tc>
      </w:tr>
      <w:tr w14:paraId="11505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7B5BB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w:t>
            </w:r>
          </w:p>
        </w:tc>
        <w:tc>
          <w:tcPr>
            <w:tcW w:w="2043" w:type="dxa"/>
            <w:tcBorders>
              <w:tl2br w:val="nil"/>
              <w:tr2bl w:val="nil"/>
            </w:tcBorders>
            <w:noWrap w:val="0"/>
            <w:vAlign w:val="center"/>
          </w:tcPr>
          <w:p w14:paraId="1FA80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铜</w:t>
            </w:r>
          </w:p>
        </w:tc>
        <w:tc>
          <w:tcPr>
            <w:tcW w:w="4026" w:type="dxa"/>
            <w:vMerge w:val="restart"/>
            <w:tcBorders>
              <w:tl2br w:val="nil"/>
              <w:tr2bl w:val="nil"/>
            </w:tcBorders>
            <w:noWrap w:val="0"/>
            <w:vAlign w:val="center"/>
          </w:tcPr>
          <w:p w14:paraId="4E4CE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w:t>
            </w:r>
            <w:r>
              <w:rPr>
                <w:rFonts w:hint="eastAsia" w:ascii="Times New Roman" w:hAnsi="宋体" w:eastAsia="宋体" w:cs="Times New Roman"/>
                <w:color w:val="auto"/>
                <w:sz w:val="21"/>
                <w:szCs w:val="21"/>
                <w:highlight w:val="none"/>
                <w:lang w:val="en-US" w:eastAsia="zh-CN"/>
              </w:rPr>
              <w:t>和沉积物  铜、锌、铅、镍、铬的测定火焰原子吸收分光光度法</w:t>
            </w:r>
            <w:r>
              <w:rPr>
                <w:rFonts w:hint="default" w:ascii="Times New Roman" w:hAnsi="宋体" w:eastAsia="宋体" w:cs="Times New Roman"/>
                <w:color w:val="auto"/>
                <w:sz w:val="21"/>
                <w:szCs w:val="21"/>
                <w:highlight w:val="none"/>
                <w:lang w:val="en-US" w:eastAsia="zh-CN"/>
              </w:rPr>
              <w:t>》</w:t>
            </w:r>
            <w:r>
              <w:rPr>
                <w:rFonts w:hint="eastAsia" w:ascii="Times New Roman" w:hAnsi="宋体" w:eastAsia="宋体" w:cs="Times New Roman"/>
                <w:color w:val="auto"/>
                <w:sz w:val="21"/>
                <w:szCs w:val="21"/>
                <w:highlight w:val="none"/>
                <w:lang w:val="en-US" w:eastAsia="zh-CN"/>
              </w:rPr>
              <w:t>HJ491-2019</w:t>
            </w:r>
          </w:p>
        </w:tc>
        <w:tc>
          <w:tcPr>
            <w:tcW w:w="1886" w:type="dxa"/>
            <w:tcBorders>
              <w:tl2br w:val="nil"/>
              <w:tr2bl w:val="nil"/>
            </w:tcBorders>
            <w:noWrap w:val="0"/>
            <w:vAlign w:val="center"/>
          </w:tcPr>
          <w:p w14:paraId="700332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w:t>
            </w:r>
            <w:r>
              <w:rPr>
                <w:rFonts w:hint="default" w:ascii="Times New Roman" w:hAnsi="宋体" w:eastAsia="宋体" w:cs="Times New Roman"/>
                <w:color w:val="auto"/>
                <w:sz w:val="21"/>
                <w:szCs w:val="21"/>
                <w:highlight w:val="none"/>
                <w:lang w:val="en-US" w:eastAsia="zh-CN"/>
              </w:rPr>
              <w:t>mg/kg</w:t>
            </w:r>
          </w:p>
        </w:tc>
      </w:tr>
      <w:tr w14:paraId="4A98D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78786E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w:t>
            </w:r>
          </w:p>
        </w:tc>
        <w:tc>
          <w:tcPr>
            <w:tcW w:w="2043" w:type="dxa"/>
            <w:tcBorders>
              <w:tl2br w:val="nil"/>
              <w:tr2bl w:val="nil"/>
            </w:tcBorders>
            <w:noWrap w:val="0"/>
            <w:vAlign w:val="center"/>
          </w:tcPr>
          <w:p w14:paraId="118CA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镍</w:t>
            </w:r>
          </w:p>
        </w:tc>
        <w:tc>
          <w:tcPr>
            <w:tcW w:w="4026" w:type="dxa"/>
            <w:vMerge w:val="continue"/>
            <w:tcBorders>
              <w:tl2br w:val="nil"/>
              <w:tr2bl w:val="nil"/>
            </w:tcBorders>
            <w:noWrap w:val="0"/>
            <w:vAlign w:val="center"/>
          </w:tcPr>
          <w:p w14:paraId="0A60AC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6DD8C5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w:t>
            </w:r>
            <w:r>
              <w:rPr>
                <w:rFonts w:hint="default" w:ascii="Times New Roman" w:hAnsi="宋体" w:eastAsia="宋体" w:cs="Times New Roman"/>
                <w:color w:val="auto"/>
                <w:sz w:val="21"/>
                <w:szCs w:val="21"/>
                <w:highlight w:val="none"/>
                <w:lang w:val="en-US" w:eastAsia="zh-CN"/>
              </w:rPr>
              <w:t>mg/kg</w:t>
            </w:r>
          </w:p>
        </w:tc>
      </w:tr>
      <w:tr w14:paraId="2BCCF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2BAC0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w:t>
            </w:r>
          </w:p>
        </w:tc>
        <w:tc>
          <w:tcPr>
            <w:tcW w:w="2043" w:type="dxa"/>
            <w:tcBorders>
              <w:tl2br w:val="nil"/>
              <w:tr2bl w:val="nil"/>
            </w:tcBorders>
            <w:noWrap w:val="0"/>
            <w:vAlign w:val="center"/>
          </w:tcPr>
          <w:p w14:paraId="65F10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六价铬</w:t>
            </w:r>
          </w:p>
        </w:tc>
        <w:tc>
          <w:tcPr>
            <w:tcW w:w="4026" w:type="dxa"/>
            <w:tcBorders>
              <w:tl2br w:val="nil"/>
              <w:tr2bl w:val="nil"/>
            </w:tcBorders>
            <w:noWrap w:val="0"/>
            <w:vAlign w:val="center"/>
          </w:tcPr>
          <w:p w14:paraId="0DEC2D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《土壤和沉积物 六价铬的测定 碱溶液提取-火焰原子吸收分光光度法》HJ1082-2019</w:t>
            </w:r>
          </w:p>
        </w:tc>
        <w:tc>
          <w:tcPr>
            <w:tcW w:w="1886" w:type="dxa"/>
            <w:tcBorders>
              <w:tl2br w:val="nil"/>
              <w:tr2bl w:val="nil"/>
            </w:tcBorders>
            <w:noWrap w:val="0"/>
            <w:vAlign w:val="center"/>
          </w:tcPr>
          <w:p w14:paraId="173F5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w:t>
            </w:r>
            <w:r>
              <w:rPr>
                <w:rFonts w:hint="default" w:ascii="Times New Roman" w:hAnsi="宋体" w:eastAsia="宋体" w:cs="Times New Roman"/>
                <w:color w:val="auto"/>
                <w:sz w:val="21"/>
                <w:szCs w:val="21"/>
                <w:highlight w:val="none"/>
                <w:lang w:val="en-US" w:eastAsia="zh-CN"/>
              </w:rPr>
              <w:t>mg/kg</w:t>
            </w:r>
          </w:p>
        </w:tc>
      </w:tr>
      <w:tr w14:paraId="16301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658EC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w:t>
            </w:r>
          </w:p>
        </w:tc>
        <w:tc>
          <w:tcPr>
            <w:tcW w:w="2043" w:type="dxa"/>
            <w:tcBorders>
              <w:tl2br w:val="nil"/>
              <w:tr2bl w:val="nil"/>
            </w:tcBorders>
            <w:noWrap w:val="0"/>
            <w:vAlign w:val="center"/>
          </w:tcPr>
          <w:p w14:paraId="0BAFF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砷</w:t>
            </w:r>
          </w:p>
        </w:tc>
        <w:tc>
          <w:tcPr>
            <w:tcW w:w="4026" w:type="dxa"/>
            <w:vMerge w:val="restart"/>
            <w:tcBorders>
              <w:tl2br w:val="nil"/>
              <w:tr2bl w:val="nil"/>
            </w:tcBorders>
            <w:noWrap w:val="0"/>
            <w:vAlign w:val="center"/>
          </w:tcPr>
          <w:p w14:paraId="28182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w:t>
            </w:r>
            <w:r>
              <w:rPr>
                <w:rFonts w:hint="eastAsia" w:ascii="Times New Roman" w:hAnsi="宋体" w:eastAsia="宋体" w:cs="Times New Roman"/>
                <w:color w:val="auto"/>
                <w:sz w:val="21"/>
                <w:szCs w:val="21"/>
                <w:highlight w:val="none"/>
                <w:lang w:val="en-US" w:eastAsia="zh-CN"/>
              </w:rPr>
              <w:t>和沉积物 汞、砷、硒、铋、锑的测定 微波消解/原子荧光法</w:t>
            </w:r>
            <w:r>
              <w:rPr>
                <w:rFonts w:hint="default" w:ascii="Times New Roman" w:hAnsi="宋体" w:eastAsia="宋体" w:cs="Times New Roman"/>
                <w:color w:val="auto"/>
                <w:sz w:val="21"/>
                <w:szCs w:val="21"/>
                <w:highlight w:val="none"/>
                <w:lang w:val="en-US" w:eastAsia="zh-CN"/>
              </w:rPr>
              <w:t>》HJ</w:t>
            </w:r>
            <w:r>
              <w:rPr>
                <w:rFonts w:hint="eastAsia" w:ascii="Times New Roman" w:hAnsi="宋体" w:eastAsia="宋体" w:cs="Times New Roman"/>
                <w:color w:val="auto"/>
                <w:sz w:val="21"/>
                <w:szCs w:val="21"/>
                <w:highlight w:val="none"/>
                <w:lang w:val="en-US" w:eastAsia="zh-CN"/>
              </w:rPr>
              <w:t>680-2013</w:t>
            </w:r>
          </w:p>
        </w:tc>
        <w:tc>
          <w:tcPr>
            <w:tcW w:w="1886" w:type="dxa"/>
            <w:tcBorders>
              <w:tl2br w:val="nil"/>
              <w:tr2bl w:val="nil"/>
            </w:tcBorders>
            <w:noWrap w:val="0"/>
            <w:vAlign w:val="center"/>
          </w:tcPr>
          <w:p w14:paraId="7DE5D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0.01</w:t>
            </w:r>
            <w:r>
              <w:rPr>
                <w:rFonts w:hint="default" w:ascii="Times New Roman" w:hAnsi="宋体" w:eastAsia="宋体" w:cs="Times New Roman"/>
                <w:color w:val="auto"/>
                <w:sz w:val="21"/>
                <w:szCs w:val="21"/>
                <w:highlight w:val="none"/>
                <w:lang w:val="en-US" w:eastAsia="zh-CN"/>
              </w:rPr>
              <w:t>mg/kg</w:t>
            </w:r>
          </w:p>
        </w:tc>
      </w:tr>
      <w:tr w14:paraId="63420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639FA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w:t>
            </w:r>
          </w:p>
        </w:tc>
        <w:tc>
          <w:tcPr>
            <w:tcW w:w="2043" w:type="dxa"/>
            <w:tcBorders>
              <w:tl2br w:val="nil"/>
              <w:tr2bl w:val="nil"/>
            </w:tcBorders>
            <w:noWrap w:val="0"/>
            <w:vAlign w:val="center"/>
          </w:tcPr>
          <w:p w14:paraId="1E681B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汞</w:t>
            </w:r>
          </w:p>
        </w:tc>
        <w:tc>
          <w:tcPr>
            <w:tcW w:w="4026" w:type="dxa"/>
            <w:vMerge w:val="continue"/>
            <w:tcBorders>
              <w:tl2br w:val="nil"/>
              <w:tr2bl w:val="nil"/>
            </w:tcBorders>
            <w:noWrap w:val="0"/>
            <w:vAlign w:val="center"/>
          </w:tcPr>
          <w:p w14:paraId="7BEC36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D8A6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0.002</w:t>
            </w:r>
            <w:r>
              <w:rPr>
                <w:rFonts w:hint="default" w:ascii="Times New Roman" w:hAnsi="宋体" w:eastAsia="宋体" w:cs="Times New Roman"/>
                <w:color w:val="auto"/>
                <w:sz w:val="21"/>
                <w:szCs w:val="21"/>
                <w:highlight w:val="none"/>
                <w:lang w:val="en-US" w:eastAsia="zh-CN"/>
              </w:rPr>
              <w:t>mg/kg</w:t>
            </w:r>
          </w:p>
        </w:tc>
      </w:tr>
      <w:tr w14:paraId="17E7C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0490B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9</w:t>
            </w:r>
          </w:p>
        </w:tc>
        <w:tc>
          <w:tcPr>
            <w:tcW w:w="2043" w:type="dxa"/>
            <w:tcBorders>
              <w:tl2br w:val="nil"/>
              <w:tr2bl w:val="nil"/>
            </w:tcBorders>
            <w:noWrap w:val="0"/>
            <w:vAlign w:val="center"/>
          </w:tcPr>
          <w:p w14:paraId="279CA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氟化物</w:t>
            </w:r>
          </w:p>
        </w:tc>
        <w:tc>
          <w:tcPr>
            <w:tcW w:w="4026" w:type="dxa"/>
            <w:tcBorders>
              <w:tl2br w:val="nil"/>
              <w:tr2bl w:val="nil"/>
            </w:tcBorders>
            <w:noWrap w:val="0"/>
            <w:vAlign w:val="center"/>
          </w:tcPr>
          <w:p w14:paraId="62969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 水溶性氟化物和总氟化物的测定 离子选择电极法》HJ 873-2017</w:t>
            </w:r>
          </w:p>
        </w:tc>
        <w:tc>
          <w:tcPr>
            <w:tcW w:w="1886" w:type="dxa"/>
            <w:tcBorders>
              <w:tl2br w:val="nil"/>
              <w:tr2bl w:val="nil"/>
            </w:tcBorders>
            <w:noWrap w:val="0"/>
            <w:vAlign w:val="center"/>
          </w:tcPr>
          <w:p w14:paraId="2E4DE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63</w:t>
            </w:r>
            <w:r>
              <w:rPr>
                <w:rFonts w:hint="default" w:ascii="Times New Roman" w:hAnsi="宋体" w:eastAsia="宋体" w:cs="Times New Roman"/>
                <w:color w:val="auto"/>
                <w:sz w:val="21"/>
                <w:szCs w:val="21"/>
                <w:highlight w:val="none"/>
                <w:lang w:val="en-US" w:eastAsia="zh-CN"/>
              </w:rPr>
              <w:t>mg/kg</w:t>
            </w:r>
          </w:p>
        </w:tc>
      </w:tr>
      <w:tr w14:paraId="7D1C0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6D3D4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10</w:t>
            </w:r>
          </w:p>
        </w:tc>
        <w:tc>
          <w:tcPr>
            <w:tcW w:w="2043" w:type="dxa"/>
            <w:tcBorders>
              <w:tl2br w:val="nil"/>
              <w:tr2bl w:val="nil"/>
            </w:tcBorders>
            <w:noWrap w:val="0"/>
            <w:vAlign w:val="center"/>
          </w:tcPr>
          <w:p w14:paraId="5BD77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*四氯化碳</w:t>
            </w:r>
          </w:p>
        </w:tc>
        <w:tc>
          <w:tcPr>
            <w:tcW w:w="4026" w:type="dxa"/>
            <w:vMerge w:val="restart"/>
            <w:tcBorders>
              <w:tl2br w:val="nil"/>
              <w:tr2bl w:val="nil"/>
            </w:tcBorders>
            <w:noWrap w:val="0"/>
            <w:vAlign w:val="center"/>
          </w:tcPr>
          <w:p w14:paraId="19829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《土壤和沉积物挥发性有机物的测定</w:t>
            </w:r>
            <w:r>
              <w:rPr>
                <w:rFonts w:hint="eastAsia" w:ascii="Times New Roman" w:hAnsi="宋体" w:eastAsia="宋体" w:cs="Times New Roman"/>
                <w:color w:val="auto"/>
                <w:sz w:val="21"/>
                <w:szCs w:val="21"/>
                <w:highlight w:val="none"/>
                <w:lang w:val="en-US" w:eastAsia="zh-CN"/>
              </w:rPr>
              <w:t>吹扫捕集</w:t>
            </w:r>
            <w:r>
              <w:rPr>
                <w:rFonts w:hint="default" w:ascii="Times New Roman" w:hAnsi="宋体" w:eastAsia="宋体" w:cs="Times New Roman"/>
                <w:color w:val="auto"/>
                <w:sz w:val="21"/>
                <w:szCs w:val="21"/>
                <w:highlight w:val="none"/>
                <w:lang w:val="en-US" w:eastAsia="zh-CN"/>
              </w:rPr>
              <w:t xml:space="preserve">/气相色谱-质谱法》（HJ </w:t>
            </w:r>
            <w:r>
              <w:rPr>
                <w:rFonts w:hint="eastAsia" w:ascii="Times New Roman" w:hAnsi="宋体" w:eastAsia="宋体" w:cs="Times New Roman"/>
                <w:color w:val="auto"/>
                <w:sz w:val="21"/>
                <w:szCs w:val="21"/>
                <w:highlight w:val="none"/>
                <w:lang w:val="en-US" w:eastAsia="zh-CN"/>
              </w:rPr>
              <w:t>605</w:t>
            </w:r>
            <w:r>
              <w:rPr>
                <w:rFonts w:hint="default" w:ascii="Times New Roman" w:hAnsi="宋体" w:eastAsia="宋体" w:cs="Times New Roman"/>
                <w:color w:val="auto"/>
                <w:sz w:val="21"/>
                <w:szCs w:val="21"/>
                <w:highlight w:val="none"/>
                <w:lang w:val="en-US" w:eastAsia="zh-CN"/>
              </w:rPr>
              <w:t>-201</w:t>
            </w:r>
            <w:r>
              <w:rPr>
                <w:rFonts w:hint="eastAsia" w:ascii="Times New Roman" w:hAnsi="宋体" w:eastAsia="宋体" w:cs="Times New Roman"/>
                <w:color w:val="auto"/>
                <w:sz w:val="21"/>
                <w:szCs w:val="21"/>
                <w:highlight w:val="none"/>
                <w:lang w:val="en-US" w:eastAsia="zh-CN"/>
              </w:rPr>
              <w:t>1</w:t>
            </w:r>
            <w:r>
              <w:rPr>
                <w:rFonts w:hint="default" w:ascii="Times New Roman" w:hAnsi="宋体" w:eastAsia="宋体" w:cs="Times New Roman"/>
                <w:color w:val="auto"/>
                <w:sz w:val="21"/>
                <w:szCs w:val="21"/>
                <w:highlight w:val="none"/>
                <w:lang w:val="en-US" w:eastAsia="zh-CN"/>
              </w:rPr>
              <w:t>）</w:t>
            </w:r>
          </w:p>
          <w:p w14:paraId="71274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6BDFB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1.3</w:t>
            </w:r>
            <w:r>
              <w:rPr>
                <w:rFonts w:hint="default" w:ascii="Times New Roman" w:hAnsi="宋体" w:eastAsia="宋体" w:cs="Times New Roman"/>
                <w:color w:val="auto"/>
                <w:sz w:val="21"/>
                <w:szCs w:val="21"/>
                <w:highlight w:val="none"/>
                <w:lang w:val="en-US" w:eastAsia="zh-CN"/>
              </w:rPr>
              <w:t>μg/kg</w:t>
            </w:r>
          </w:p>
        </w:tc>
      </w:tr>
      <w:tr w14:paraId="0C89D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0ECAB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11</w:t>
            </w:r>
          </w:p>
        </w:tc>
        <w:tc>
          <w:tcPr>
            <w:tcW w:w="2043" w:type="dxa"/>
            <w:tcBorders>
              <w:tl2br w:val="nil"/>
              <w:tr2bl w:val="nil"/>
            </w:tcBorders>
            <w:noWrap w:val="0"/>
            <w:vAlign w:val="center"/>
          </w:tcPr>
          <w:p w14:paraId="6ECF1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*氯仿</w:t>
            </w:r>
          </w:p>
        </w:tc>
        <w:tc>
          <w:tcPr>
            <w:tcW w:w="4026" w:type="dxa"/>
            <w:vMerge w:val="continue"/>
            <w:tcBorders>
              <w:tl2br w:val="nil"/>
              <w:tr2bl w:val="nil"/>
            </w:tcBorders>
            <w:noWrap w:val="0"/>
            <w:vAlign w:val="center"/>
          </w:tcPr>
          <w:p w14:paraId="622B8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17797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1.1</w:t>
            </w:r>
            <w:r>
              <w:rPr>
                <w:rFonts w:hint="default" w:ascii="Times New Roman" w:hAnsi="宋体" w:eastAsia="宋体" w:cs="Times New Roman"/>
                <w:color w:val="auto"/>
                <w:sz w:val="21"/>
                <w:szCs w:val="21"/>
                <w:highlight w:val="none"/>
                <w:lang w:val="en-US" w:eastAsia="zh-CN"/>
              </w:rPr>
              <w:t>μg/kg</w:t>
            </w:r>
          </w:p>
        </w:tc>
      </w:tr>
      <w:tr w14:paraId="44506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2CB5D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12</w:t>
            </w:r>
          </w:p>
        </w:tc>
        <w:tc>
          <w:tcPr>
            <w:tcW w:w="2043" w:type="dxa"/>
            <w:tcBorders>
              <w:tl2br w:val="nil"/>
              <w:tr2bl w:val="nil"/>
            </w:tcBorders>
            <w:noWrap w:val="0"/>
            <w:vAlign w:val="center"/>
          </w:tcPr>
          <w:p w14:paraId="27E085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*氯甲烷</w:t>
            </w:r>
          </w:p>
        </w:tc>
        <w:tc>
          <w:tcPr>
            <w:tcW w:w="4026" w:type="dxa"/>
            <w:vMerge w:val="continue"/>
            <w:tcBorders>
              <w:tl2br w:val="nil"/>
              <w:tr2bl w:val="nil"/>
            </w:tcBorders>
            <w:noWrap w:val="0"/>
            <w:vAlign w:val="center"/>
          </w:tcPr>
          <w:p w14:paraId="13BB8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055AC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1.0</w:t>
            </w:r>
            <w:r>
              <w:rPr>
                <w:rFonts w:hint="default" w:ascii="Times New Roman" w:hAnsi="宋体" w:eastAsia="宋体" w:cs="Times New Roman"/>
                <w:color w:val="auto"/>
                <w:sz w:val="21"/>
                <w:szCs w:val="21"/>
                <w:highlight w:val="none"/>
                <w:lang w:val="en-US" w:eastAsia="zh-CN"/>
              </w:rPr>
              <w:t>μg/kg</w:t>
            </w:r>
          </w:p>
        </w:tc>
      </w:tr>
      <w:tr w14:paraId="5D356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3D3CAD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13</w:t>
            </w:r>
          </w:p>
        </w:tc>
        <w:tc>
          <w:tcPr>
            <w:tcW w:w="2043" w:type="dxa"/>
            <w:tcBorders>
              <w:tl2br w:val="nil"/>
              <w:tr2bl w:val="nil"/>
            </w:tcBorders>
            <w:noWrap w:val="0"/>
            <w:vAlign w:val="center"/>
          </w:tcPr>
          <w:p w14:paraId="334C9E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*1,1-二氯乙烷</w:t>
            </w:r>
          </w:p>
        </w:tc>
        <w:tc>
          <w:tcPr>
            <w:tcW w:w="4026" w:type="dxa"/>
            <w:vMerge w:val="continue"/>
            <w:tcBorders>
              <w:tl2br w:val="nil"/>
              <w:tr2bl w:val="nil"/>
            </w:tcBorders>
            <w:noWrap w:val="0"/>
            <w:vAlign w:val="center"/>
          </w:tcPr>
          <w:p w14:paraId="55E58A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4B5B3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μg/kg</w:t>
            </w:r>
          </w:p>
        </w:tc>
      </w:tr>
      <w:tr w14:paraId="68488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36809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14</w:t>
            </w:r>
          </w:p>
        </w:tc>
        <w:tc>
          <w:tcPr>
            <w:tcW w:w="2043" w:type="dxa"/>
            <w:tcBorders>
              <w:tl2br w:val="nil"/>
              <w:tr2bl w:val="nil"/>
            </w:tcBorders>
            <w:noWrap w:val="0"/>
            <w:vAlign w:val="center"/>
          </w:tcPr>
          <w:p w14:paraId="35432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*1,2-二氯乙烷</w:t>
            </w:r>
          </w:p>
        </w:tc>
        <w:tc>
          <w:tcPr>
            <w:tcW w:w="4026" w:type="dxa"/>
            <w:vMerge w:val="continue"/>
            <w:tcBorders>
              <w:tl2br w:val="nil"/>
              <w:tr2bl w:val="nil"/>
            </w:tcBorders>
            <w:noWrap w:val="0"/>
            <w:vAlign w:val="center"/>
          </w:tcPr>
          <w:p w14:paraId="4E2610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E2729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1.3μg/kg</w:t>
            </w:r>
          </w:p>
        </w:tc>
      </w:tr>
      <w:tr w14:paraId="1D588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706AFC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15</w:t>
            </w:r>
          </w:p>
        </w:tc>
        <w:tc>
          <w:tcPr>
            <w:tcW w:w="2043" w:type="dxa"/>
            <w:tcBorders>
              <w:tl2br w:val="nil"/>
              <w:tr2bl w:val="nil"/>
            </w:tcBorders>
            <w:noWrap w:val="0"/>
            <w:vAlign w:val="center"/>
          </w:tcPr>
          <w:p w14:paraId="5CAC0A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*1,1-二氯乙烯</w:t>
            </w:r>
          </w:p>
        </w:tc>
        <w:tc>
          <w:tcPr>
            <w:tcW w:w="4026" w:type="dxa"/>
            <w:vMerge w:val="continue"/>
            <w:tcBorders>
              <w:tl2br w:val="nil"/>
              <w:tr2bl w:val="nil"/>
            </w:tcBorders>
            <w:noWrap w:val="0"/>
            <w:vAlign w:val="center"/>
          </w:tcPr>
          <w:p w14:paraId="3AB0C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E67C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1.0</w:t>
            </w:r>
            <w:r>
              <w:rPr>
                <w:rFonts w:hint="default" w:ascii="Times New Roman" w:hAnsi="宋体" w:eastAsia="宋体" w:cs="Times New Roman"/>
                <w:color w:val="auto"/>
                <w:sz w:val="21"/>
                <w:szCs w:val="21"/>
                <w:highlight w:val="none"/>
                <w:lang w:val="en-US" w:eastAsia="zh-CN"/>
              </w:rPr>
              <w:t>μg/kg</w:t>
            </w:r>
          </w:p>
        </w:tc>
      </w:tr>
      <w:tr w14:paraId="62139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5F3E8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16</w:t>
            </w:r>
          </w:p>
        </w:tc>
        <w:tc>
          <w:tcPr>
            <w:tcW w:w="2043" w:type="dxa"/>
            <w:tcBorders>
              <w:tl2br w:val="nil"/>
              <w:tr2bl w:val="nil"/>
            </w:tcBorders>
            <w:noWrap w:val="0"/>
            <w:vAlign w:val="center"/>
          </w:tcPr>
          <w:p w14:paraId="20FF4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*顺-1,2-二氯乙烯</w:t>
            </w:r>
          </w:p>
        </w:tc>
        <w:tc>
          <w:tcPr>
            <w:tcW w:w="4026" w:type="dxa"/>
            <w:vMerge w:val="continue"/>
            <w:tcBorders>
              <w:tl2br w:val="nil"/>
              <w:tr2bl w:val="nil"/>
            </w:tcBorders>
            <w:noWrap w:val="0"/>
            <w:vAlign w:val="center"/>
          </w:tcPr>
          <w:p w14:paraId="2C0F35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3C4CF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1.3</w:t>
            </w:r>
            <w:r>
              <w:rPr>
                <w:rFonts w:hint="default" w:ascii="Times New Roman" w:hAnsi="宋体" w:eastAsia="宋体" w:cs="Times New Roman"/>
                <w:color w:val="auto"/>
                <w:sz w:val="21"/>
                <w:szCs w:val="21"/>
                <w:highlight w:val="none"/>
                <w:lang w:val="en-US" w:eastAsia="zh-CN"/>
              </w:rPr>
              <w:t>μg/kg</w:t>
            </w:r>
          </w:p>
        </w:tc>
      </w:tr>
      <w:tr w14:paraId="222A4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3ED7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17</w:t>
            </w:r>
          </w:p>
        </w:tc>
        <w:tc>
          <w:tcPr>
            <w:tcW w:w="2043" w:type="dxa"/>
            <w:tcBorders>
              <w:tl2br w:val="nil"/>
              <w:tr2bl w:val="nil"/>
            </w:tcBorders>
            <w:noWrap w:val="0"/>
            <w:vAlign w:val="center"/>
          </w:tcPr>
          <w:p w14:paraId="1C032A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*反-1,2-二氯乙烯</w:t>
            </w:r>
          </w:p>
        </w:tc>
        <w:tc>
          <w:tcPr>
            <w:tcW w:w="4026" w:type="dxa"/>
            <w:vMerge w:val="continue"/>
            <w:tcBorders>
              <w:tl2br w:val="nil"/>
              <w:tr2bl w:val="nil"/>
            </w:tcBorders>
            <w:noWrap w:val="0"/>
            <w:vAlign w:val="center"/>
          </w:tcPr>
          <w:p w14:paraId="52E9E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138FB5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1.4</w:t>
            </w:r>
            <w:r>
              <w:rPr>
                <w:rFonts w:hint="default" w:ascii="Times New Roman" w:hAnsi="宋体" w:eastAsia="宋体" w:cs="Times New Roman"/>
                <w:color w:val="auto"/>
                <w:sz w:val="21"/>
                <w:szCs w:val="21"/>
                <w:highlight w:val="none"/>
                <w:lang w:val="en-US" w:eastAsia="zh-CN"/>
              </w:rPr>
              <w:t>μg/kg</w:t>
            </w:r>
          </w:p>
        </w:tc>
      </w:tr>
      <w:tr w14:paraId="112CB1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67D3CA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18</w:t>
            </w:r>
          </w:p>
        </w:tc>
        <w:tc>
          <w:tcPr>
            <w:tcW w:w="2043" w:type="dxa"/>
            <w:tcBorders>
              <w:tl2br w:val="nil"/>
              <w:tr2bl w:val="nil"/>
            </w:tcBorders>
            <w:noWrap w:val="0"/>
            <w:vAlign w:val="center"/>
          </w:tcPr>
          <w:p w14:paraId="1A2528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*二氯甲烷</w:t>
            </w:r>
          </w:p>
        </w:tc>
        <w:tc>
          <w:tcPr>
            <w:tcW w:w="4026" w:type="dxa"/>
            <w:vMerge w:val="continue"/>
            <w:tcBorders>
              <w:tl2br w:val="nil"/>
              <w:tr2bl w:val="nil"/>
            </w:tcBorders>
            <w:noWrap w:val="0"/>
            <w:vAlign w:val="center"/>
          </w:tcPr>
          <w:p w14:paraId="1FE9E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2CDE8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1.5</w:t>
            </w:r>
            <w:r>
              <w:rPr>
                <w:rFonts w:hint="default" w:ascii="Times New Roman" w:hAnsi="宋体" w:eastAsia="宋体" w:cs="Times New Roman"/>
                <w:color w:val="auto"/>
                <w:sz w:val="21"/>
                <w:szCs w:val="21"/>
                <w:highlight w:val="none"/>
                <w:lang w:val="en-US" w:eastAsia="zh-CN"/>
              </w:rPr>
              <w:t>μg/kg</w:t>
            </w:r>
          </w:p>
        </w:tc>
      </w:tr>
      <w:tr w14:paraId="6871C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1F2190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19</w:t>
            </w:r>
          </w:p>
        </w:tc>
        <w:tc>
          <w:tcPr>
            <w:tcW w:w="2043" w:type="dxa"/>
            <w:tcBorders>
              <w:tl2br w:val="nil"/>
              <w:tr2bl w:val="nil"/>
            </w:tcBorders>
            <w:noWrap w:val="0"/>
            <w:vAlign w:val="center"/>
          </w:tcPr>
          <w:p w14:paraId="391359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*1,2-二氯丙烷</w:t>
            </w:r>
          </w:p>
        </w:tc>
        <w:tc>
          <w:tcPr>
            <w:tcW w:w="4026" w:type="dxa"/>
            <w:vMerge w:val="restart"/>
            <w:tcBorders>
              <w:tl2br w:val="nil"/>
              <w:tr2bl w:val="nil"/>
            </w:tcBorders>
            <w:noWrap w:val="0"/>
            <w:vAlign w:val="center"/>
          </w:tcPr>
          <w:p w14:paraId="4158B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《土壤和沉积物挥发性有机物的测定</w:t>
            </w:r>
            <w:r>
              <w:rPr>
                <w:rFonts w:hint="eastAsia" w:ascii="Times New Roman" w:hAnsi="宋体" w:eastAsia="宋体" w:cs="Times New Roman"/>
                <w:color w:val="auto"/>
                <w:sz w:val="21"/>
                <w:szCs w:val="21"/>
                <w:highlight w:val="none"/>
                <w:lang w:val="en-US" w:eastAsia="zh-CN"/>
              </w:rPr>
              <w:t>吹扫捕集</w:t>
            </w:r>
            <w:r>
              <w:rPr>
                <w:rFonts w:hint="default" w:ascii="Times New Roman" w:hAnsi="宋体" w:eastAsia="宋体" w:cs="Times New Roman"/>
                <w:color w:val="auto"/>
                <w:sz w:val="21"/>
                <w:szCs w:val="21"/>
                <w:highlight w:val="none"/>
                <w:lang w:val="en-US" w:eastAsia="zh-CN"/>
              </w:rPr>
              <w:t xml:space="preserve">/气相色谱-质谱法》（HJ </w:t>
            </w:r>
            <w:r>
              <w:rPr>
                <w:rFonts w:hint="eastAsia" w:ascii="Times New Roman" w:hAnsi="宋体" w:eastAsia="宋体" w:cs="Times New Roman"/>
                <w:color w:val="auto"/>
                <w:sz w:val="21"/>
                <w:szCs w:val="21"/>
                <w:highlight w:val="none"/>
                <w:lang w:val="en-US" w:eastAsia="zh-CN"/>
              </w:rPr>
              <w:t>605</w:t>
            </w:r>
            <w:r>
              <w:rPr>
                <w:rFonts w:hint="default" w:ascii="Times New Roman" w:hAnsi="宋体" w:eastAsia="宋体" w:cs="Times New Roman"/>
                <w:color w:val="auto"/>
                <w:sz w:val="21"/>
                <w:szCs w:val="21"/>
                <w:highlight w:val="none"/>
                <w:lang w:val="en-US" w:eastAsia="zh-CN"/>
              </w:rPr>
              <w:t>-201</w:t>
            </w:r>
            <w:r>
              <w:rPr>
                <w:rFonts w:hint="eastAsia" w:ascii="Times New Roman" w:hAnsi="宋体" w:eastAsia="宋体" w:cs="Times New Roman"/>
                <w:color w:val="auto"/>
                <w:sz w:val="21"/>
                <w:szCs w:val="21"/>
                <w:highlight w:val="none"/>
                <w:lang w:val="en-US" w:eastAsia="zh-CN"/>
              </w:rPr>
              <w:t>1</w:t>
            </w:r>
            <w:r>
              <w:rPr>
                <w:rFonts w:hint="default" w:ascii="Times New Roman" w:hAnsi="宋体" w:eastAsia="宋体" w:cs="Times New Roman"/>
                <w:color w:val="auto"/>
                <w:sz w:val="21"/>
                <w:szCs w:val="21"/>
                <w:highlight w:val="none"/>
                <w:lang w:val="en-US" w:eastAsia="zh-CN"/>
              </w:rPr>
              <w:t>）</w:t>
            </w:r>
          </w:p>
        </w:tc>
        <w:tc>
          <w:tcPr>
            <w:tcW w:w="1886" w:type="dxa"/>
            <w:tcBorders>
              <w:tl2br w:val="nil"/>
              <w:tr2bl w:val="nil"/>
            </w:tcBorders>
            <w:noWrap w:val="0"/>
            <w:vAlign w:val="center"/>
          </w:tcPr>
          <w:p w14:paraId="74C095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1</w:t>
            </w:r>
            <w:r>
              <w:rPr>
                <w:rFonts w:hint="default" w:ascii="Times New Roman" w:hAnsi="宋体" w:eastAsia="宋体" w:cs="Times New Roman"/>
                <w:color w:val="auto"/>
                <w:sz w:val="21"/>
                <w:szCs w:val="21"/>
                <w:highlight w:val="none"/>
                <w:lang w:val="en-US" w:eastAsia="zh-CN"/>
              </w:rPr>
              <w:t>μg/kg</w:t>
            </w:r>
          </w:p>
        </w:tc>
      </w:tr>
      <w:tr w14:paraId="4E657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F87F2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20</w:t>
            </w:r>
          </w:p>
        </w:tc>
        <w:tc>
          <w:tcPr>
            <w:tcW w:w="2043" w:type="dxa"/>
            <w:tcBorders>
              <w:tl2br w:val="nil"/>
              <w:tr2bl w:val="nil"/>
            </w:tcBorders>
            <w:noWrap w:val="0"/>
            <w:vAlign w:val="center"/>
          </w:tcPr>
          <w:p w14:paraId="65308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*1,1,1,2-四氯乙烷</w:t>
            </w:r>
          </w:p>
        </w:tc>
        <w:tc>
          <w:tcPr>
            <w:tcW w:w="4026" w:type="dxa"/>
            <w:vMerge w:val="continue"/>
            <w:tcBorders>
              <w:tl2br w:val="nil"/>
              <w:tr2bl w:val="nil"/>
            </w:tcBorders>
            <w:noWrap w:val="0"/>
            <w:vAlign w:val="center"/>
          </w:tcPr>
          <w:p w14:paraId="5E8475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94AB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μg/kg</w:t>
            </w:r>
          </w:p>
        </w:tc>
      </w:tr>
      <w:tr w14:paraId="29276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BD3C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21</w:t>
            </w:r>
          </w:p>
        </w:tc>
        <w:tc>
          <w:tcPr>
            <w:tcW w:w="2043" w:type="dxa"/>
            <w:tcBorders>
              <w:tl2br w:val="nil"/>
              <w:tr2bl w:val="nil"/>
            </w:tcBorders>
            <w:noWrap w:val="0"/>
            <w:vAlign w:val="center"/>
          </w:tcPr>
          <w:p w14:paraId="3497B3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*1,1,2,2-四氯乙烷</w:t>
            </w:r>
          </w:p>
        </w:tc>
        <w:tc>
          <w:tcPr>
            <w:tcW w:w="4026" w:type="dxa"/>
            <w:vMerge w:val="continue"/>
            <w:tcBorders>
              <w:tl2br w:val="nil"/>
              <w:tr2bl w:val="nil"/>
            </w:tcBorders>
            <w:noWrap w:val="0"/>
            <w:vAlign w:val="center"/>
          </w:tcPr>
          <w:p w14:paraId="574A74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3D6FB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μg/kg</w:t>
            </w:r>
          </w:p>
        </w:tc>
      </w:tr>
      <w:tr w14:paraId="0B3F4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173CF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22</w:t>
            </w:r>
          </w:p>
        </w:tc>
        <w:tc>
          <w:tcPr>
            <w:tcW w:w="2043" w:type="dxa"/>
            <w:tcBorders>
              <w:tl2br w:val="nil"/>
              <w:tr2bl w:val="nil"/>
            </w:tcBorders>
            <w:noWrap w:val="0"/>
            <w:vAlign w:val="center"/>
          </w:tcPr>
          <w:p w14:paraId="239CF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*四氯乙烯</w:t>
            </w:r>
          </w:p>
        </w:tc>
        <w:tc>
          <w:tcPr>
            <w:tcW w:w="4026" w:type="dxa"/>
            <w:vMerge w:val="continue"/>
            <w:tcBorders>
              <w:tl2br w:val="nil"/>
              <w:tr2bl w:val="nil"/>
            </w:tcBorders>
            <w:noWrap w:val="0"/>
            <w:vAlign w:val="center"/>
          </w:tcPr>
          <w:p w14:paraId="32A91A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104B9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1.4</w:t>
            </w:r>
            <w:r>
              <w:rPr>
                <w:rFonts w:hint="default" w:ascii="Times New Roman" w:hAnsi="宋体" w:eastAsia="宋体" w:cs="Times New Roman"/>
                <w:color w:val="auto"/>
                <w:sz w:val="21"/>
                <w:szCs w:val="21"/>
                <w:highlight w:val="none"/>
                <w:lang w:val="en-US" w:eastAsia="zh-CN"/>
              </w:rPr>
              <w:t>μg/kg</w:t>
            </w:r>
          </w:p>
        </w:tc>
      </w:tr>
      <w:tr w14:paraId="341DB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7CFA79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23</w:t>
            </w:r>
          </w:p>
        </w:tc>
        <w:tc>
          <w:tcPr>
            <w:tcW w:w="2043" w:type="dxa"/>
            <w:tcBorders>
              <w:tl2br w:val="nil"/>
              <w:tr2bl w:val="nil"/>
            </w:tcBorders>
            <w:noWrap w:val="0"/>
            <w:vAlign w:val="center"/>
          </w:tcPr>
          <w:p w14:paraId="08DCA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*1,1,1-三氯乙烷</w:t>
            </w:r>
          </w:p>
        </w:tc>
        <w:tc>
          <w:tcPr>
            <w:tcW w:w="4026" w:type="dxa"/>
            <w:vMerge w:val="continue"/>
            <w:tcBorders>
              <w:tl2br w:val="nil"/>
              <w:tr2bl w:val="nil"/>
            </w:tcBorders>
            <w:noWrap w:val="0"/>
            <w:vAlign w:val="center"/>
          </w:tcPr>
          <w:p w14:paraId="46A0D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275E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3</w:t>
            </w:r>
            <w:r>
              <w:rPr>
                <w:rFonts w:hint="default" w:ascii="Times New Roman" w:hAnsi="宋体" w:eastAsia="宋体" w:cs="Times New Roman"/>
                <w:color w:val="auto"/>
                <w:sz w:val="21"/>
                <w:szCs w:val="21"/>
                <w:highlight w:val="none"/>
                <w:lang w:val="en-US" w:eastAsia="zh-CN"/>
              </w:rPr>
              <w:t>μg/kg</w:t>
            </w:r>
          </w:p>
        </w:tc>
      </w:tr>
      <w:tr w14:paraId="3D2DB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5CCE0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24</w:t>
            </w:r>
          </w:p>
        </w:tc>
        <w:tc>
          <w:tcPr>
            <w:tcW w:w="2043" w:type="dxa"/>
            <w:tcBorders>
              <w:tl2br w:val="nil"/>
              <w:tr2bl w:val="nil"/>
            </w:tcBorders>
            <w:noWrap w:val="0"/>
            <w:vAlign w:val="center"/>
          </w:tcPr>
          <w:p w14:paraId="79921F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*1,1,2-三氯乙烷</w:t>
            </w:r>
          </w:p>
        </w:tc>
        <w:tc>
          <w:tcPr>
            <w:tcW w:w="4026" w:type="dxa"/>
            <w:vMerge w:val="continue"/>
            <w:tcBorders>
              <w:tl2br w:val="nil"/>
              <w:tr2bl w:val="nil"/>
            </w:tcBorders>
            <w:noWrap w:val="0"/>
            <w:vAlign w:val="center"/>
          </w:tcPr>
          <w:p w14:paraId="0342C2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15C624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μg/kg</w:t>
            </w:r>
          </w:p>
        </w:tc>
      </w:tr>
      <w:tr w14:paraId="6EAC6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00E818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25</w:t>
            </w:r>
          </w:p>
        </w:tc>
        <w:tc>
          <w:tcPr>
            <w:tcW w:w="2043" w:type="dxa"/>
            <w:tcBorders>
              <w:tl2br w:val="nil"/>
              <w:tr2bl w:val="nil"/>
            </w:tcBorders>
            <w:noWrap w:val="0"/>
            <w:vAlign w:val="center"/>
          </w:tcPr>
          <w:p w14:paraId="4031B5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*三氯乙烯</w:t>
            </w:r>
          </w:p>
        </w:tc>
        <w:tc>
          <w:tcPr>
            <w:tcW w:w="4026" w:type="dxa"/>
            <w:vMerge w:val="continue"/>
            <w:tcBorders>
              <w:tl2br w:val="nil"/>
              <w:tr2bl w:val="nil"/>
            </w:tcBorders>
            <w:noWrap w:val="0"/>
            <w:vAlign w:val="center"/>
          </w:tcPr>
          <w:p w14:paraId="0E6FA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0643A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1.2</w:t>
            </w:r>
            <w:r>
              <w:rPr>
                <w:rFonts w:hint="default" w:ascii="Times New Roman" w:hAnsi="宋体" w:eastAsia="宋体" w:cs="Times New Roman"/>
                <w:color w:val="auto"/>
                <w:sz w:val="21"/>
                <w:szCs w:val="21"/>
                <w:highlight w:val="none"/>
                <w:lang w:val="en-US" w:eastAsia="zh-CN"/>
              </w:rPr>
              <w:t>μg/kg</w:t>
            </w:r>
          </w:p>
        </w:tc>
      </w:tr>
      <w:tr w14:paraId="3CB7D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A8C0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26</w:t>
            </w:r>
          </w:p>
        </w:tc>
        <w:tc>
          <w:tcPr>
            <w:tcW w:w="2043" w:type="dxa"/>
            <w:tcBorders>
              <w:tl2br w:val="nil"/>
              <w:tr2bl w:val="nil"/>
            </w:tcBorders>
            <w:noWrap w:val="0"/>
            <w:vAlign w:val="center"/>
          </w:tcPr>
          <w:p w14:paraId="5A11F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*1,2,3-三氯丙烷</w:t>
            </w:r>
          </w:p>
        </w:tc>
        <w:tc>
          <w:tcPr>
            <w:tcW w:w="4026" w:type="dxa"/>
            <w:vMerge w:val="continue"/>
            <w:tcBorders>
              <w:tl2br w:val="nil"/>
              <w:tr2bl w:val="nil"/>
            </w:tcBorders>
            <w:noWrap w:val="0"/>
            <w:vAlign w:val="center"/>
          </w:tcPr>
          <w:p w14:paraId="170BF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5C571F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μg/kg</w:t>
            </w:r>
          </w:p>
        </w:tc>
      </w:tr>
      <w:tr w14:paraId="3D0AF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091CA8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27</w:t>
            </w:r>
          </w:p>
        </w:tc>
        <w:tc>
          <w:tcPr>
            <w:tcW w:w="2043" w:type="dxa"/>
            <w:tcBorders>
              <w:tl2br w:val="nil"/>
              <w:tr2bl w:val="nil"/>
            </w:tcBorders>
            <w:noWrap w:val="0"/>
            <w:vAlign w:val="center"/>
          </w:tcPr>
          <w:p w14:paraId="111529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*氯乙烯</w:t>
            </w:r>
          </w:p>
        </w:tc>
        <w:tc>
          <w:tcPr>
            <w:tcW w:w="4026" w:type="dxa"/>
            <w:vMerge w:val="continue"/>
            <w:tcBorders>
              <w:tl2br w:val="nil"/>
              <w:tr2bl w:val="nil"/>
            </w:tcBorders>
            <w:noWrap w:val="0"/>
            <w:vAlign w:val="center"/>
          </w:tcPr>
          <w:p w14:paraId="7633FD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1E79F6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0</w:t>
            </w:r>
            <w:r>
              <w:rPr>
                <w:rFonts w:hint="default" w:ascii="Times New Roman" w:hAnsi="宋体" w:eastAsia="宋体" w:cs="Times New Roman"/>
                <w:color w:val="auto"/>
                <w:sz w:val="21"/>
                <w:szCs w:val="21"/>
                <w:highlight w:val="none"/>
                <w:lang w:val="en-US" w:eastAsia="zh-CN"/>
              </w:rPr>
              <w:t>μg/kg</w:t>
            </w:r>
          </w:p>
        </w:tc>
      </w:tr>
      <w:tr w14:paraId="385FD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57B041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28</w:t>
            </w:r>
          </w:p>
        </w:tc>
        <w:tc>
          <w:tcPr>
            <w:tcW w:w="2043" w:type="dxa"/>
            <w:tcBorders>
              <w:tl2br w:val="nil"/>
              <w:tr2bl w:val="nil"/>
            </w:tcBorders>
            <w:noWrap w:val="0"/>
            <w:vAlign w:val="center"/>
          </w:tcPr>
          <w:p w14:paraId="4B3A1D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*苯</w:t>
            </w:r>
          </w:p>
        </w:tc>
        <w:tc>
          <w:tcPr>
            <w:tcW w:w="4026" w:type="dxa"/>
            <w:vMerge w:val="continue"/>
            <w:tcBorders>
              <w:tl2br w:val="nil"/>
              <w:tr2bl w:val="nil"/>
            </w:tcBorders>
            <w:noWrap w:val="0"/>
            <w:vAlign w:val="center"/>
          </w:tcPr>
          <w:p w14:paraId="55E2AC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96456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9</w:t>
            </w:r>
            <w:r>
              <w:rPr>
                <w:rFonts w:hint="default" w:ascii="Times New Roman" w:hAnsi="宋体" w:eastAsia="宋体" w:cs="Times New Roman"/>
                <w:color w:val="auto"/>
                <w:sz w:val="21"/>
                <w:szCs w:val="21"/>
                <w:highlight w:val="none"/>
                <w:lang w:val="en-US" w:eastAsia="zh-CN"/>
              </w:rPr>
              <w:t>μg/kg</w:t>
            </w:r>
          </w:p>
        </w:tc>
      </w:tr>
      <w:tr w14:paraId="116D5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266FC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29</w:t>
            </w:r>
          </w:p>
        </w:tc>
        <w:tc>
          <w:tcPr>
            <w:tcW w:w="2043" w:type="dxa"/>
            <w:tcBorders>
              <w:tl2br w:val="nil"/>
              <w:tr2bl w:val="nil"/>
            </w:tcBorders>
            <w:noWrap w:val="0"/>
            <w:vAlign w:val="center"/>
          </w:tcPr>
          <w:p w14:paraId="430644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*氯苯</w:t>
            </w:r>
          </w:p>
        </w:tc>
        <w:tc>
          <w:tcPr>
            <w:tcW w:w="4026" w:type="dxa"/>
            <w:vMerge w:val="continue"/>
            <w:tcBorders>
              <w:tl2br w:val="nil"/>
              <w:tr2bl w:val="nil"/>
            </w:tcBorders>
            <w:noWrap w:val="0"/>
            <w:vAlign w:val="center"/>
          </w:tcPr>
          <w:p w14:paraId="3FFB0C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572005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μg/kg</w:t>
            </w:r>
          </w:p>
        </w:tc>
      </w:tr>
      <w:tr w14:paraId="53A2C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48545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30</w:t>
            </w:r>
          </w:p>
        </w:tc>
        <w:tc>
          <w:tcPr>
            <w:tcW w:w="2043" w:type="dxa"/>
            <w:tcBorders>
              <w:tl2br w:val="nil"/>
              <w:tr2bl w:val="nil"/>
            </w:tcBorders>
            <w:noWrap w:val="0"/>
            <w:vAlign w:val="center"/>
          </w:tcPr>
          <w:p w14:paraId="58F8B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*1，2-二氯苯</w:t>
            </w:r>
          </w:p>
        </w:tc>
        <w:tc>
          <w:tcPr>
            <w:tcW w:w="4026" w:type="dxa"/>
            <w:vMerge w:val="continue"/>
            <w:tcBorders>
              <w:tl2br w:val="nil"/>
              <w:tr2bl w:val="nil"/>
            </w:tcBorders>
            <w:noWrap w:val="0"/>
            <w:vAlign w:val="center"/>
          </w:tcPr>
          <w:p w14:paraId="22959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60E86C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5</w:t>
            </w:r>
            <w:r>
              <w:rPr>
                <w:rFonts w:hint="default" w:ascii="Times New Roman" w:hAnsi="宋体" w:eastAsia="宋体" w:cs="Times New Roman"/>
                <w:color w:val="auto"/>
                <w:sz w:val="21"/>
                <w:szCs w:val="21"/>
                <w:highlight w:val="none"/>
                <w:lang w:val="en-US" w:eastAsia="zh-CN"/>
              </w:rPr>
              <w:t>μg/kg</w:t>
            </w:r>
          </w:p>
        </w:tc>
      </w:tr>
      <w:tr w14:paraId="5B3A2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739A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31</w:t>
            </w:r>
          </w:p>
        </w:tc>
        <w:tc>
          <w:tcPr>
            <w:tcW w:w="2043" w:type="dxa"/>
            <w:tcBorders>
              <w:tl2br w:val="nil"/>
              <w:tr2bl w:val="nil"/>
            </w:tcBorders>
            <w:noWrap w:val="0"/>
            <w:vAlign w:val="center"/>
          </w:tcPr>
          <w:p w14:paraId="71BA4D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*1，4-二氯苯</w:t>
            </w:r>
          </w:p>
        </w:tc>
        <w:tc>
          <w:tcPr>
            <w:tcW w:w="4026" w:type="dxa"/>
            <w:vMerge w:val="continue"/>
            <w:tcBorders>
              <w:tl2br w:val="nil"/>
              <w:tr2bl w:val="nil"/>
            </w:tcBorders>
            <w:noWrap w:val="0"/>
            <w:vAlign w:val="center"/>
          </w:tcPr>
          <w:p w14:paraId="77564E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8F3C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5</w:t>
            </w:r>
            <w:r>
              <w:rPr>
                <w:rFonts w:hint="default" w:ascii="Times New Roman" w:hAnsi="宋体" w:eastAsia="宋体" w:cs="Times New Roman"/>
                <w:color w:val="auto"/>
                <w:sz w:val="21"/>
                <w:szCs w:val="21"/>
                <w:highlight w:val="none"/>
                <w:lang w:val="en-US" w:eastAsia="zh-CN"/>
              </w:rPr>
              <w:t>μg/kg</w:t>
            </w:r>
          </w:p>
        </w:tc>
      </w:tr>
      <w:tr w14:paraId="29830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08E1C1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32</w:t>
            </w:r>
          </w:p>
        </w:tc>
        <w:tc>
          <w:tcPr>
            <w:tcW w:w="2043" w:type="dxa"/>
            <w:tcBorders>
              <w:tl2br w:val="nil"/>
              <w:tr2bl w:val="nil"/>
            </w:tcBorders>
            <w:noWrap w:val="0"/>
            <w:vAlign w:val="center"/>
          </w:tcPr>
          <w:p w14:paraId="0F897D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*乙苯</w:t>
            </w:r>
          </w:p>
        </w:tc>
        <w:tc>
          <w:tcPr>
            <w:tcW w:w="4026" w:type="dxa"/>
            <w:vMerge w:val="continue"/>
            <w:tcBorders>
              <w:tl2br w:val="nil"/>
              <w:tr2bl w:val="nil"/>
            </w:tcBorders>
            <w:noWrap w:val="0"/>
            <w:vAlign w:val="center"/>
          </w:tcPr>
          <w:p w14:paraId="3B770E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4DE877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μg/kg</w:t>
            </w:r>
          </w:p>
        </w:tc>
      </w:tr>
      <w:tr w14:paraId="610D3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2C148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33</w:t>
            </w:r>
          </w:p>
        </w:tc>
        <w:tc>
          <w:tcPr>
            <w:tcW w:w="2043" w:type="dxa"/>
            <w:tcBorders>
              <w:tl2br w:val="nil"/>
              <w:tr2bl w:val="nil"/>
            </w:tcBorders>
            <w:noWrap w:val="0"/>
            <w:vAlign w:val="center"/>
          </w:tcPr>
          <w:p w14:paraId="10D7A6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*苯乙烯</w:t>
            </w:r>
          </w:p>
        </w:tc>
        <w:tc>
          <w:tcPr>
            <w:tcW w:w="4026" w:type="dxa"/>
            <w:vMerge w:val="continue"/>
            <w:tcBorders>
              <w:tl2br w:val="nil"/>
              <w:tr2bl w:val="nil"/>
            </w:tcBorders>
            <w:noWrap w:val="0"/>
            <w:vAlign w:val="center"/>
          </w:tcPr>
          <w:p w14:paraId="47F2AE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73DA9C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1</w:t>
            </w:r>
            <w:r>
              <w:rPr>
                <w:rFonts w:hint="default" w:ascii="Times New Roman" w:hAnsi="宋体" w:eastAsia="宋体" w:cs="Times New Roman"/>
                <w:color w:val="auto"/>
                <w:sz w:val="21"/>
                <w:szCs w:val="21"/>
                <w:highlight w:val="none"/>
                <w:lang w:val="en-US" w:eastAsia="zh-CN"/>
              </w:rPr>
              <w:t>μg/kg</w:t>
            </w:r>
          </w:p>
        </w:tc>
      </w:tr>
      <w:tr w14:paraId="410D1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68EAE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34</w:t>
            </w:r>
          </w:p>
        </w:tc>
        <w:tc>
          <w:tcPr>
            <w:tcW w:w="2043" w:type="dxa"/>
            <w:tcBorders>
              <w:tl2br w:val="nil"/>
              <w:tr2bl w:val="nil"/>
            </w:tcBorders>
            <w:noWrap w:val="0"/>
            <w:vAlign w:val="center"/>
          </w:tcPr>
          <w:p w14:paraId="568AE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*甲苯</w:t>
            </w:r>
          </w:p>
        </w:tc>
        <w:tc>
          <w:tcPr>
            <w:tcW w:w="4026" w:type="dxa"/>
            <w:vMerge w:val="continue"/>
            <w:tcBorders>
              <w:tl2br w:val="nil"/>
              <w:tr2bl w:val="nil"/>
            </w:tcBorders>
            <w:noWrap w:val="0"/>
            <w:vAlign w:val="center"/>
          </w:tcPr>
          <w:p w14:paraId="62441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1BB93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1.3</w:t>
            </w:r>
            <w:r>
              <w:rPr>
                <w:rFonts w:hint="default" w:ascii="Times New Roman" w:hAnsi="宋体" w:eastAsia="宋体" w:cs="Times New Roman"/>
                <w:color w:val="auto"/>
                <w:sz w:val="21"/>
                <w:szCs w:val="21"/>
                <w:highlight w:val="none"/>
                <w:lang w:val="en-US" w:eastAsia="zh-CN"/>
              </w:rPr>
              <w:t>μg/kg</w:t>
            </w:r>
          </w:p>
        </w:tc>
      </w:tr>
      <w:tr w14:paraId="74D33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490883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35</w:t>
            </w:r>
          </w:p>
        </w:tc>
        <w:tc>
          <w:tcPr>
            <w:tcW w:w="2043" w:type="dxa"/>
            <w:tcBorders>
              <w:tl2br w:val="nil"/>
              <w:tr2bl w:val="nil"/>
            </w:tcBorders>
            <w:noWrap w:val="0"/>
            <w:vAlign w:val="center"/>
          </w:tcPr>
          <w:p w14:paraId="22604C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*间二甲苯+对二甲苯</w:t>
            </w:r>
          </w:p>
        </w:tc>
        <w:tc>
          <w:tcPr>
            <w:tcW w:w="4026" w:type="dxa"/>
            <w:vMerge w:val="continue"/>
            <w:tcBorders>
              <w:tl2br w:val="nil"/>
              <w:tr2bl w:val="nil"/>
            </w:tcBorders>
            <w:noWrap w:val="0"/>
            <w:vAlign w:val="center"/>
          </w:tcPr>
          <w:p w14:paraId="637C4C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19FDDD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1.2</w:t>
            </w:r>
            <w:r>
              <w:rPr>
                <w:rFonts w:hint="default" w:ascii="Times New Roman" w:hAnsi="宋体" w:eastAsia="宋体" w:cs="Times New Roman"/>
                <w:color w:val="auto"/>
                <w:sz w:val="21"/>
                <w:szCs w:val="21"/>
                <w:highlight w:val="none"/>
                <w:lang w:val="en-US" w:eastAsia="zh-CN"/>
              </w:rPr>
              <w:t>μg/kg</w:t>
            </w:r>
          </w:p>
        </w:tc>
      </w:tr>
      <w:tr w14:paraId="1B2DD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06897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36</w:t>
            </w:r>
          </w:p>
        </w:tc>
        <w:tc>
          <w:tcPr>
            <w:tcW w:w="2043" w:type="dxa"/>
            <w:tcBorders>
              <w:tl2br w:val="nil"/>
              <w:tr2bl w:val="nil"/>
            </w:tcBorders>
            <w:noWrap w:val="0"/>
            <w:vAlign w:val="center"/>
          </w:tcPr>
          <w:p w14:paraId="1A9648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*邻二甲苯</w:t>
            </w:r>
          </w:p>
        </w:tc>
        <w:tc>
          <w:tcPr>
            <w:tcW w:w="4026" w:type="dxa"/>
            <w:vMerge w:val="continue"/>
            <w:tcBorders>
              <w:tl2br w:val="nil"/>
              <w:tr2bl w:val="nil"/>
            </w:tcBorders>
            <w:noWrap w:val="0"/>
            <w:vAlign w:val="center"/>
          </w:tcPr>
          <w:p w14:paraId="052DB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05C51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1.</w:t>
            </w:r>
            <w:r>
              <w:rPr>
                <w:rFonts w:hint="eastAsia" w:ascii="Times New Roman" w:hAnsi="宋体" w:eastAsia="宋体" w:cs="Times New Roman"/>
                <w:color w:val="auto"/>
                <w:sz w:val="21"/>
                <w:szCs w:val="21"/>
                <w:highlight w:val="none"/>
                <w:lang w:val="en-US" w:eastAsia="zh-CN"/>
              </w:rPr>
              <w:t>2</w:t>
            </w:r>
            <w:r>
              <w:rPr>
                <w:rFonts w:hint="default" w:ascii="Times New Roman" w:hAnsi="宋体" w:eastAsia="宋体" w:cs="Times New Roman"/>
                <w:color w:val="auto"/>
                <w:sz w:val="21"/>
                <w:szCs w:val="21"/>
                <w:highlight w:val="none"/>
                <w:lang w:val="en-US" w:eastAsia="zh-CN"/>
              </w:rPr>
              <w:t>μg/kg</w:t>
            </w:r>
          </w:p>
        </w:tc>
      </w:tr>
      <w:tr w14:paraId="71048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596400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37</w:t>
            </w:r>
          </w:p>
        </w:tc>
        <w:tc>
          <w:tcPr>
            <w:tcW w:w="2043" w:type="dxa"/>
            <w:tcBorders>
              <w:tl2br w:val="nil"/>
              <w:tr2bl w:val="nil"/>
            </w:tcBorders>
            <w:noWrap w:val="0"/>
            <w:vAlign w:val="center"/>
          </w:tcPr>
          <w:p w14:paraId="6C279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*硝基苯</w:t>
            </w:r>
          </w:p>
        </w:tc>
        <w:tc>
          <w:tcPr>
            <w:tcW w:w="4026" w:type="dxa"/>
            <w:vMerge w:val="restart"/>
            <w:tcBorders>
              <w:tl2br w:val="nil"/>
              <w:tr2bl w:val="nil"/>
            </w:tcBorders>
            <w:noWrap w:val="0"/>
            <w:vAlign w:val="center"/>
          </w:tcPr>
          <w:p w14:paraId="02643B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《土壤和沉积物半挥发性有机物的测定 气相色谱-质谱法》（HJ 834-2017）</w:t>
            </w:r>
          </w:p>
          <w:p w14:paraId="7D2A0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1AC3C7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0.09mg/kg</w:t>
            </w:r>
          </w:p>
        </w:tc>
      </w:tr>
      <w:tr w14:paraId="437BA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16D3C9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38</w:t>
            </w:r>
          </w:p>
        </w:tc>
        <w:tc>
          <w:tcPr>
            <w:tcW w:w="2043" w:type="dxa"/>
            <w:tcBorders>
              <w:tl2br w:val="nil"/>
              <w:tr2bl w:val="nil"/>
            </w:tcBorders>
            <w:noWrap w:val="0"/>
            <w:vAlign w:val="center"/>
          </w:tcPr>
          <w:p w14:paraId="4FA5BD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*苯胺</w:t>
            </w:r>
          </w:p>
        </w:tc>
        <w:tc>
          <w:tcPr>
            <w:tcW w:w="4026" w:type="dxa"/>
            <w:vMerge w:val="continue"/>
            <w:tcBorders>
              <w:tl2br w:val="nil"/>
              <w:tr2bl w:val="nil"/>
            </w:tcBorders>
            <w:noWrap w:val="0"/>
            <w:vAlign w:val="center"/>
          </w:tcPr>
          <w:p w14:paraId="60884F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5E555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w:t>
            </w:r>
            <w:r>
              <w:rPr>
                <w:rFonts w:hint="eastAsia" w:ascii="Times New Roman" w:hAnsi="宋体" w:eastAsia="宋体" w:cs="Times New Roman"/>
                <w:color w:val="auto"/>
                <w:sz w:val="21"/>
                <w:szCs w:val="21"/>
                <w:highlight w:val="none"/>
                <w:lang w:val="en-US" w:eastAsia="zh-CN"/>
              </w:rPr>
              <w:t>08</w:t>
            </w:r>
            <w:r>
              <w:rPr>
                <w:rFonts w:hint="default" w:ascii="Times New Roman" w:hAnsi="宋体" w:eastAsia="宋体" w:cs="Times New Roman"/>
                <w:color w:val="auto"/>
                <w:sz w:val="21"/>
                <w:szCs w:val="21"/>
                <w:highlight w:val="none"/>
                <w:lang w:val="en-US" w:eastAsia="zh-CN"/>
              </w:rPr>
              <w:t>mg/kg</w:t>
            </w:r>
          </w:p>
        </w:tc>
      </w:tr>
      <w:tr w14:paraId="59B31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1215B9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39</w:t>
            </w:r>
          </w:p>
        </w:tc>
        <w:tc>
          <w:tcPr>
            <w:tcW w:w="2043" w:type="dxa"/>
            <w:tcBorders>
              <w:tl2br w:val="nil"/>
              <w:tr2bl w:val="nil"/>
            </w:tcBorders>
            <w:noWrap w:val="0"/>
            <w:vAlign w:val="center"/>
          </w:tcPr>
          <w:p w14:paraId="2E2CE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*2-氯酚</w:t>
            </w:r>
          </w:p>
        </w:tc>
        <w:tc>
          <w:tcPr>
            <w:tcW w:w="4026" w:type="dxa"/>
            <w:vMerge w:val="continue"/>
            <w:tcBorders>
              <w:tl2br w:val="nil"/>
              <w:tr2bl w:val="nil"/>
            </w:tcBorders>
            <w:noWrap w:val="0"/>
            <w:vAlign w:val="center"/>
          </w:tcPr>
          <w:p w14:paraId="151BF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37EEA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0.06mg/kg</w:t>
            </w:r>
          </w:p>
        </w:tc>
      </w:tr>
      <w:tr w14:paraId="446EC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09888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40</w:t>
            </w:r>
          </w:p>
        </w:tc>
        <w:tc>
          <w:tcPr>
            <w:tcW w:w="2043" w:type="dxa"/>
            <w:tcBorders>
              <w:tl2br w:val="nil"/>
              <w:tr2bl w:val="nil"/>
            </w:tcBorders>
            <w:noWrap w:val="0"/>
            <w:vAlign w:val="center"/>
          </w:tcPr>
          <w:p w14:paraId="5493D3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*苯并［a］蒽</w:t>
            </w:r>
          </w:p>
        </w:tc>
        <w:tc>
          <w:tcPr>
            <w:tcW w:w="4026" w:type="dxa"/>
            <w:vMerge w:val="continue"/>
            <w:tcBorders>
              <w:tl2br w:val="nil"/>
              <w:tr2bl w:val="nil"/>
            </w:tcBorders>
            <w:noWrap w:val="0"/>
            <w:vAlign w:val="center"/>
          </w:tcPr>
          <w:p w14:paraId="79820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04B0E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0.1mg/kg</w:t>
            </w:r>
          </w:p>
        </w:tc>
      </w:tr>
      <w:tr w14:paraId="4250F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6F91D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41</w:t>
            </w:r>
          </w:p>
        </w:tc>
        <w:tc>
          <w:tcPr>
            <w:tcW w:w="2043" w:type="dxa"/>
            <w:tcBorders>
              <w:tl2br w:val="nil"/>
              <w:tr2bl w:val="nil"/>
            </w:tcBorders>
            <w:noWrap w:val="0"/>
            <w:vAlign w:val="center"/>
          </w:tcPr>
          <w:p w14:paraId="34B053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*苯并［a］芘</w:t>
            </w:r>
          </w:p>
        </w:tc>
        <w:tc>
          <w:tcPr>
            <w:tcW w:w="4026" w:type="dxa"/>
            <w:vMerge w:val="continue"/>
            <w:tcBorders>
              <w:tl2br w:val="nil"/>
              <w:tr2bl w:val="nil"/>
            </w:tcBorders>
            <w:noWrap w:val="0"/>
            <w:vAlign w:val="center"/>
          </w:tcPr>
          <w:p w14:paraId="37D5B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52AB9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0.1mg/kg</w:t>
            </w:r>
          </w:p>
        </w:tc>
      </w:tr>
      <w:tr w14:paraId="2DDBE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308F4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42</w:t>
            </w:r>
          </w:p>
        </w:tc>
        <w:tc>
          <w:tcPr>
            <w:tcW w:w="2043" w:type="dxa"/>
            <w:tcBorders>
              <w:tl2br w:val="nil"/>
              <w:tr2bl w:val="nil"/>
            </w:tcBorders>
            <w:noWrap w:val="0"/>
            <w:vAlign w:val="center"/>
          </w:tcPr>
          <w:p w14:paraId="2017D7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*苯并［b］荧蒽</w:t>
            </w:r>
          </w:p>
        </w:tc>
        <w:tc>
          <w:tcPr>
            <w:tcW w:w="4026" w:type="dxa"/>
            <w:vMerge w:val="continue"/>
            <w:tcBorders>
              <w:tl2br w:val="nil"/>
              <w:tr2bl w:val="nil"/>
            </w:tcBorders>
            <w:noWrap w:val="0"/>
            <w:vAlign w:val="center"/>
          </w:tcPr>
          <w:p w14:paraId="0E6B3F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46CDC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0.2mg/kg</w:t>
            </w:r>
          </w:p>
        </w:tc>
      </w:tr>
      <w:tr w14:paraId="6F50F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1C286B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43</w:t>
            </w:r>
          </w:p>
        </w:tc>
        <w:tc>
          <w:tcPr>
            <w:tcW w:w="2043" w:type="dxa"/>
            <w:tcBorders>
              <w:tl2br w:val="nil"/>
              <w:tr2bl w:val="nil"/>
            </w:tcBorders>
            <w:noWrap w:val="0"/>
            <w:vAlign w:val="center"/>
          </w:tcPr>
          <w:p w14:paraId="7F095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*苯并［k］荧蒽</w:t>
            </w:r>
          </w:p>
        </w:tc>
        <w:tc>
          <w:tcPr>
            <w:tcW w:w="4026" w:type="dxa"/>
            <w:vMerge w:val="restart"/>
            <w:tcBorders>
              <w:tl2br w:val="nil"/>
              <w:tr2bl w:val="nil"/>
            </w:tcBorders>
            <w:noWrap w:val="0"/>
            <w:vAlign w:val="center"/>
          </w:tcPr>
          <w:p w14:paraId="4B25B2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《土壤和沉积物半挥发性有机物的测定 气相色谱-质谱法》（HJ 834-2017）</w:t>
            </w:r>
          </w:p>
        </w:tc>
        <w:tc>
          <w:tcPr>
            <w:tcW w:w="1886" w:type="dxa"/>
            <w:tcBorders>
              <w:tl2br w:val="nil"/>
              <w:tr2bl w:val="nil"/>
            </w:tcBorders>
            <w:noWrap w:val="0"/>
            <w:vAlign w:val="center"/>
          </w:tcPr>
          <w:p w14:paraId="5D0C87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0.1mg/kg</w:t>
            </w:r>
          </w:p>
        </w:tc>
      </w:tr>
      <w:tr w14:paraId="52053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1666FA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44</w:t>
            </w:r>
          </w:p>
        </w:tc>
        <w:tc>
          <w:tcPr>
            <w:tcW w:w="2043" w:type="dxa"/>
            <w:tcBorders>
              <w:tl2br w:val="nil"/>
              <w:tr2bl w:val="nil"/>
            </w:tcBorders>
            <w:noWrap w:val="0"/>
            <w:vAlign w:val="center"/>
          </w:tcPr>
          <w:p w14:paraId="264F8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*䓛</w:t>
            </w:r>
          </w:p>
        </w:tc>
        <w:tc>
          <w:tcPr>
            <w:tcW w:w="4026" w:type="dxa"/>
            <w:vMerge w:val="continue"/>
            <w:tcBorders>
              <w:tl2br w:val="nil"/>
              <w:tr2bl w:val="nil"/>
            </w:tcBorders>
            <w:noWrap w:val="0"/>
            <w:vAlign w:val="center"/>
          </w:tcPr>
          <w:p w14:paraId="36843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2F641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0.1mg/kg</w:t>
            </w:r>
          </w:p>
        </w:tc>
      </w:tr>
      <w:tr w14:paraId="26027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65B00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45</w:t>
            </w:r>
          </w:p>
        </w:tc>
        <w:tc>
          <w:tcPr>
            <w:tcW w:w="2043" w:type="dxa"/>
            <w:tcBorders>
              <w:tl2br w:val="nil"/>
              <w:tr2bl w:val="nil"/>
            </w:tcBorders>
            <w:noWrap w:val="0"/>
            <w:vAlign w:val="center"/>
          </w:tcPr>
          <w:p w14:paraId="2512C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*二苯并［a，h］蒽</w:t>
            </w:r>
          </w:p>
        </w:tc>
        <w:tc>
          <w:tcPr>
            <w:tcW w:w="4026" w:type="dxa"/>
            <w:vMerge w:val="continue"/>
            <w:tcBorders>
              <w:tl2br w:val="nil"/>
              <w:tr2bl w:val="nil"/>
            </w:tcBorders>
            <w:noWrap w:val="0"/>
            <w:vAlign w:val="center"/>
          </w:tcPr>
          <w:p w14:paraId="05027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0D840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0.1mg/kg</w:t>
            </w:r>
          </w:p>
        </w:tc>
      </w:tr>
      <w:tr w14:paraId="7C6BC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2131EA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46</w:t>
            </w:r>
          </w:p>
        </w:tc>
        <w:tc>
          <w:tcPr>
            <w:tcW w:w="2043" w:type="dxa"/>
            <w:tcBorders>
              <w:tl2br w:val="nil"/>
              <w:tr2bl w:val="nil"/>
            </w:tcBorders>
            <w:noWrap w:val="0"/>
            <w:vAlign w:val="center"/>
          </w:tcPr>
          <w:p w14:paraId="4A865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*茚并［1,2,3,-cd］芘</w:t>
            </w:r>
          </w:p>
        </w:tc>
        <w:tc>
          <w:tcPr>
            <w:tcW w:w="4026" w:type="dxa"/>
            <w:vMerge w:val="continue"/>
            <w:tcBorders>
              <w:tl2br w:val="nil"/>
              <w:tr2bl w:val="nil"/>
            </w:tcBorders>
            <w:noWrap w:val="0"/>
            <w:vAlign w:val="center"/>
          </w:tcPr>
          <w:p w14:paraId="3620D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25510E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0.1mg/kg</w:t>
            </w:r>
          </w:p>
        </w:tc>
      </w:tr>
      <w:tr w14:paraId="389D0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8" w:type="dxa"/>
            <w:tcBorders>
              <w:tl2br w:val="nil"/>
              <w:tr2bl w:val="nil"/>
            </w:tcBorders>
            <w:noWrap w:val="0"/>
            <w:vAlign w:val="center"/>
          </w:tcPr>
          <w:p w14:paraId="2C0C9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47</w:t>
            </w:r>
          </w:p>
        </w:tc>
        <w:tc>
          <w:tcPr>
            <w:tcW w:w="2043" w:type="dxa"/>
            <w:tcBorders>
              <w:tl2br w:val="nil"/>
              <w:tr2bl w:val="nil"/>
            </w:tcBorders>
            <w:noWrap w:val="0"/>
            <w:vAlign w:val="center"/>
          </w:tcPr>
          <w:p w14:paraId="19B8DB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*萘</w:t>
            </w:r>
          </w:p>
        </w:tc>
        <w:tc>
          <w:tcPr>
            <w:tcW w:w="4026" w:type="dxa"/>
            <w:vMerge w:val="continue"/>
            <w:tcBorders>
              <w:tl2br w:val="nil"/>
              <w:tr2bl w:val="nil"/>
            </w:tcBorders>
            <w:noWrap w:val="0"/>
            <w:vAlign w:val="center"/>
          </w:tcPr>
          <w:p w14:paraId="235422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1886" w:type="dxa"/>
            <w:tcBorders>
              <w:tl2br w:val="nil"/>
              <w:tr2bl w:val="nil"/>
            </w:tcBorders>
            <w:noWrap w:val="0"/>
            <w:vAlign w:val="center"/>
          </w:tcPr>
          <w:p w14:paraId="29D92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0.09mg/kg</w:t>
            </w:r>
          </w:p>
        </w:tc>
      </w:tr>
    </w:tbl>
    <w:p w14:paraId="57F0E390">
      <w:pPr>
        <w:pStyle w:val="6"/>
        <w:rPr>
          <w:color w:val="auto"/>
          <w:highlight w:val="none"/>
        </w:rPr>
      </w:pPr>
      <w:r>
        <w:rPr>
          <w:rFonts w:hint="eastAsia"/>
          <w:color w:val="auto"/>
          <w:highlight w:val="none"/>
          <w:lang w:val="en-US" w:eastAsia="zh-CN"/>
        </w:rPr>
        <w:t xml:space="preserve"> </w:t>
      </w:r>
      <w:r>
        <w:rPr>
          <w:color w:val="auto"/>
          <w:highlight w:val="none"/>
        </w:rPr>
        <w:t>监测结果</w:t>
      </w:r>
      <w:r>
        <w:rPr>
          <w:rFonts w:hint="eastAsia"/>
          <w:color w:val="auto"/>
          <w:highlight w:val="none"/>
          <w:lang w:val="en-US" w:eastAsia="zh-CN"/>
        </w:rPr>
        <w:t>及评价结果</w:t>
      </w:r>
    </w:p>
    <w:p w14:paraId="6A63A7AF">
      <w:pPr>
        <w:ind w:firstLine="480"/>
        <w:rPr>
          <w:rFonts w:hint="eastAsia"/>
          <w:color w:val="auto"/>
          <w:highlight w:val="none"/>
        </w:rPr>
        <w:sectPr>
          <w:pgSz w:w="11906" w:h="16838"/>
          <w:pgMar w:top="1418" w:right="1418" w:bottom="1247" w:left="1701" w:header="851" w:footer="680" w:gutter="0"/>
          <w:pgBorders>
            <w:top w:val="none" w:sz="0" w:space="0"/>
            <w:left w:val="none" w:sz="0" w:space="0"/>
            <w:bottom w:val="none" w:sz="0" w:space="0"/>
            <w:right w:val="none" w:sz="0" w:space="0"/>
          </w:pgBorders>
          <w:pgNumType w:fmt="decimal"/>
          <w:cols w:space="720" w:num="1"/>
          <w:docGrid w:linePitch="326" w:charSpace="0"/>
        </w:sectPr>
      </w:pPr>
      <w:r>
        <w:rPr>
          <w:rFonts w:hint="eastAsia"/>
          <w:color w:val="auto"/>
          <w:highlight w:val="none"/>
        </w:rPr>
        <w:t>土壤环境质量现状监测结果</w:t>
      </w:r>
      <w:r>
        <w:rPr>
          <w:rFonts w:hint="eastAsia"/>
          <w:color w:val="auto"/>
          <w:highlight w:val="none"/>
          <w:lang w:val="en-US" w:eastAsia="zh-CN"/>
        </w:rPr>
        <w:t>及评价结果统计</w:t>
      </w:r>
      <w:r>
        <w:rPr>
          <w:rFonts w:hint="eastAsia"/>
          <w:color w:val="auto"/>
          <w:highlight w:val="none"/>
        </w:rPr>
        <w:t>见表4.3-</w:t>
      </w:r>
      <w:r>
        <w:rPr>
          <w:rFonts w:hint="eastAsia"/>
          <w:color w:val="auto"/>
          <w:highlight w:val="none"/>
          <w:lang w:val="en-US" w:eastAsia="zh-CN"/>
        </w:rPr>
        <w:t>10</w:t>
      </w:r>
      <w:r>
        <w:rPr>
          <w:rFonts w:hint="eastAsia"/>
          <w:color w:val="auto"/>
          <w:highlight w:val="none"/>
        </w:rPr>
        <w:t>。</w:t>
      </w:r>
    </w:p>
    <w:p w14:paraId="3B278690">
      <w:pPr>
        <w:ind w:firstLine="482"/>
        <w:jc w:val="center"/>
        <w:rPr>
          <w:b/>
          <w:color w:val="auto"/>
          <w:kern w:val="0"/>
          <w:highlight w:val="none"/>
        </w:rPr>
      </w:pPr>
      <w:r>
        <w:rPr>
          <w:b/>
          <w:color w:val="auto"/>
          <w:kern w:val="0"/>
          <w:highlight w:val="none"/>
        </w:rPr>
        <w:t>表</w:t>
      </w:r>
      <w:r>
        <w:rPr>
          <w:rFonts w:hint="eastAsia"/>
          <w:b/>
          <w:color w:val="auto"/>
          <w:kern w:val="0"/>
          <w:highlight w:val="none"/>
        </w:rPr>
        <w:t>4</w:t>
      </w:r>
      <w:r>
        <w:rPr>
          <w:b/>
          <w:color w:val="auto"/>
          <w:kern w:val="0"/>
          <w:highlight w:val="none"/>
        </w:rPr>
        <w:t>.3</w:t>
      </w:r>
      <w:r>
        <w:rPr>
          <w:rFonts w:hint="eastAsia"/>
          <w:b/>
          <w:color w:val="auto"/>
          <w:kern w:val="0"/>
          <w:highlight w:val="none"/>
        </w:rPr>
        <w:t>-</w:t>
      </w:r>
      <w:r>
        <w:rPr>
          <w:rFonts w:hint="eastAsia"/>
          <w:b/>
          <w:color w:val="auto"/>
          <w:kern w:val="0"/>
          <w:highlight w:val="none"/>
          <w:lang w:val="en-US" w:eastAsia="zh-CN"/>
        </w:rPr>
        <w:t>10</w:t>
      </w:r>
      <w:r>
        <w:rPr>
          <w:rFonts w:hint="eastAsia"/>
          <w:b/>
          <w:color w:val="auto"/>
          <w:kern w:val="0"/>
          <w:highlight w:val="none"/>
        </w:rPr>
        <w:t xml:space="preserve">  </w:t>
      </w:r>
      <w:r>
        <w:rPr>
          <w:rFonts w:hint="eastAsia"/>
          <w:b/>
          <w:color w:val="auto"/>
          <w:highlight w:val="none"/>
        </w:rPr>
        <w:t>土壤检测结果</w:t>
      </w:r>
      <w:r>
        <w:rPr>
          <w:rFonts w:hint="eastAsia"/>
          <w:b/>
          <w:color w:val="auto"/>
          <w:highlight w:val="none"/>
          <w:lang w:val="en-US" w:eastAsia="zh-CN"/>
        </w:rPr>
        <w:t>及评价结果</w:t>
      </w:r>
      <w:r>
        <w:rPr>
          <w:rFonts w:hint="eastAsia"/>
          <w:b/>
          <w:color w:val="auto"/>
          <w:highlight w:val="none"/>
        </w:rPr>
        <w:t>表（单位：mg/kg）</w:t>
      </w:r>
    </w:p>
    <w:tbl>
      <w:tblPr>
        <w:tblStyle w:val="41"/>
        <w:tblW w:w="0" w:type="auto"/>
        <w:tblInd w:w="-7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753"/>
        <w:gridCol w:w="1183"/>
        <w:gridCol w:w="1056"/>
        <w:gridCol w:w="1056"/>
        <w:gridCol w:w="1056"/>
        <w:gridCol w:w="1056"/>
        <w:gridCol w:w="1056"/>
        <w:gridCol w:w="1056"/>
        <w:gridCol w:w="1056"/>
        <w:gridCol w:w="1056"/>
        <w:gridCol w:w="1686"/>
      </w:tblGrid>
      <w:tr w14:paraId="7F433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0" w:type="auto"/>
            <w:vMerge w:val="restart"/>
            <w:tcBorders>
              <w:tl2br w:val="nil"/>
              <w:tr2bl w:val="nil"/>
            </w:tcBorders>
            <w:noWrap w:val="0"/>
            <w:vAlign w:val="center"/>
          </w:tcPr>
          <w:p w14:paraId="0A9E6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检测</w:t>
            </w:r>
          </w:p>
          <w:p w14:paraId="7B7BBA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项目</w:t>
            </w:r>
          </w:p>
        </w:tc>
        <w:tc>
          <w:tcPr>
            <w:tcW w:w="0" w:type="auto"/>
            <w:vMerge w:val="restart"/>
            <w:tcBorders>
              <w:tl2br w:val="nil"/>
              <w:tr2bl w:val="nil"/>
            </w:tcBorders>
            <w:noWrap w:val="0"/>
            <w:vAlign w:val="center"/>
          </w:tcPr>
          <w:p w14:paraId="6FEB67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单位</w:t>
            </w:r>
          </w:p>
        </w:tc>
        <w:tc>
          <w:tcPr>
            <w:tcW w:w="0" w:type="auto"/>
            <w:gridSpan w:val="3"/>
            <w:tcBorders>
              <w:tl2br w:val="nil"/>
              <w:tr2bl w:val="nil"/>
            </w:tcBorders>
            <w:noWrap w:val="0"/>
            <w:vAlign w:val="center"/>
          </w:tcPr>
          <w:p w14:paraId="6968BD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T1</w:t>
            </w:r>
          </w:p>
        </w:tc>
        <w:tc>
          <w:tcPr>
            <w:tcW w:w="0" w:type="auto"/>
            <w:gridSpan w:val="3"/>
            <w:tcBorders>
              <w:tl2br w:val="nil"/>
              <w:tr2bl w:val="nil"/>
            </w:tcBorders>
            <w:noWrap w:val="0"/>
            <w:vAlign w:val="center"/>
          </w:tcPr>
          <w:p w14:paraId="11100C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T2</w:t>
            </w:r>
          </w:p>
        </w:tc>
        <w:tc>
          <w:tcPr>
            <w:tcW w:w="0" w:type="auto"/>
            <w:gridSpan w:val="3"/>
            <w:tcBorders>
              <w:tl2br w:val="nil"/>
              <w:tr2bl w:val="nil"/>
            </w:tcBorders>
            <w:noWrap w:val="0"/>
            <w:vAlign w:val="center"/>
          </w:tcPr>
          <w:p w14:paraId="54B5D0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T3</w:t>
            </w:r>
          </w:p>
        </w:tc>
        <w:tc>
          <w:tcPr>
            <w:tcW w:w="0" w:type="auto"/>
            <w:vMerge w:val="restart"/>
            <w:tcBorders>
              <w:tl2br w:val="nil"/>
              <w:tr2bl w:val="nil"/>
            </w:tcBorders>
            <w:noWrap w:val="0"/>
            <w:vAlign w:val="center"/>
          </w:tcPr>
          <w:p w14:paraId="2414CB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二类用地筛选值</w:t>
            </w:r>
          </w:p>
        </w:tc>
      </w:tr>
      <w:tr w14:paraId="63801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0" w:type="auto"/>
            <w:vMerge w:val="continue"/>
            <w:tcBorders>
              <w:tl2br w:val="nil"/>
              <w:tr2bl w:val="nil"/>
            </w:tcBorders>
            <w:noWrap w:val="0"/>
            <w:vAlign w:val="center"/>
          </w:tcPr>
          <w:p w14:paraId="7BC454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vMerge w:val="continue"/>
            <w:tcBorders>
              <w:tl2br w:val="nil"/>
              <w:tr2bl w:val="nil"/>
            </w:tcBorders>
            <w:noWrap w:val="0"/>
            <w:vAlign w:val="center"/>
          </w:tcPr>
          <w:p w14:paraId="6B05C8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c>
          <w:tcPr>
            <w:tcW w:w="0" w:type="auto"/>
            <w:tcBorders>
              <w:tl2br w:val="nil"/>
              <w:tr2bl w:val="nil"/>
            </w:tcBorders>
            <w:noWrap w:val="0"/>
            <w:vAlign w:val="center"/>
          </w:tcPr>
          <w:p w14:paraId="677FD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检测结果</w:t>
            </w:r>
          </w:p>
        </w:tc>
        <w:tc>
          <w:tcPr>
            <w:tcW w:w="0" w:type="auto"/>
            <w:tcBorders>
              <w:tl2br w:val="nil"/>
              <w:tr2bl w:val="nil"/>
            </w:tcBorders>
            <w:noWrap w:val="0"/>
            <w:vAlign w:val="center"/>
          </w:tcPr>
          <w:p w14:paraId="69F0A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标准指数</w:t>
            </w:r>
          </w:p>
        </w:tc>
        <w:tc>
          <w:tcPr>
            <w:tcW w:w="0" w:type="auto"/>
            <w:tcBorders>
              <w:tl2br w:val="nil"/>
              <w:tr2bl w:val="nil"/>
            </w:tcBorders>
            <w:noWrap w:val="0"/>
            <w:vAlign w:val="center"/>
          </w:tcPr>
          <w:p w14:paraId="2DCE4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达标情况</w:t>
            </w:r>
          </w:p>
        </w:tc>
        <w:tc>
          <w:tcPr>
            <w:tcW w:w="0" w:type="auto"/>
            <w:tcBorders>
              <w:tl2br w:val="nil"/>
              <w:tr2bl w:val="nil"/>
            </w:tcBorders>
            <w:noWrap w:val="0"/>
            <w:vAlign w:val="center"/>
          </w:tcPr>
          <w:p w14:paraId="54132D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检测结果</w:t>
            </w:r>
          </w:p>
        </w:tc>
        <w:tc>
          <w:tcPr>
            <w:tcW w:w="0" w:type="auto"/>
            <w:tcBorders>
              <w:tl2br w:val="nil"/>
              <w:tr2bl w:val="nil"/>
            </w:tcBorders>
            <w:noWrap w:val="0"/>
            <w:vAlign w:val="center"/>
          </w:tcPr>
          <w:p w14:paraId="081C0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标准指数</w:t>
            </w:r>
          </w:p>
        </w:tc>
        <w:tc>
          <w:tcPr>
            <w:tcW w:w="0" w:type="auto"/>
            <w:tcBorders>
              <w:tl2br w:val="nil"/>
              <w:tr2bl w:val="nil"/>
            </w:tcBorders>
            <w:noWrap w:val="0"/>
            <w:vAlign w:val="center"/>
          </w:tcPr>
          <w:p w14:paraId="4CCC38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达标情况</w:t>
            </w:r>
          </w:p>
        </w:tc>
        <w:tc>
          <w:tcPr>
            <w:tcW w:w="0" w:type="auto"/>
            <w:tcBorders>
              <w:tl2br w:val="nil"/>
              <w:tr2bl w:val="nil"/>
            </w:tcBorders>
            <w:noWrap w:val="0"/>
            <w:vAlign w:val="center"/>
          </w:tcPr>
          <w:p w14:paraId="06F94A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检测结果</w:t>
            </w:r>
          </w:p>
        </w:tc>
        <w:tc>
          <w:tcPr>
            <w:tcW w:w="0" w:type="auto"/>
            <w:tcBorders>
              <w:tl2br w:val="nil"/>
              <w:tr2bl w:val="nil"/>
            </w:tcBorders>
            <w:noWrap w:val="0"/>
            <w:vAlign w:val="center"/>
          </w:tcPr>
          <w:p w14:paraId="39C419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标准指数</w:t>
            </w:r>
          </w:p>
        </w:tc>
        <w:tc>
          <w:tcPr>
            <w:tcW w:w="0" w:type="auto"/>
            <w:tcBorders>
              <w:tl2br w:val="nil"/>
              <w:tr2bl w:val="nil"/>
            </w:tcBorders>
            <w:noWrap w:val="0"/>
            <w:vAlign w:val="center"/>
          </w:tcPr>
          <w:p w14:paraId="036373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达标情况</w:t>
            </w:r>
          </w:p>
        </w:tc>
        <w:tc>
          <w:tcPr>
            <w:tcW w:w="0" w:type="auto"/>
            <w:vMerge w:val="continue"/>
            <w:tcBorders>
              <w:tl2br w:val="nil"/>
              <w:tr2bl w:val="nil"/>
            </w:tcBorders>
            <w:noWrap w:val="0"/>
            <w:vAlign w:val="center"/>
          </w:tcPr>
          <w:p w14:paraId="1F987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p>
        </w:tc>
      </w:tr>
      <w:tr w14:paraId="5F884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5C7B5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pH</w:t>
            </w:r>
          </w:p>
        </w:tc>
        <w:tc>
          <w:tcPr>
            <w:tcW w:w="0" w:type="auto"/>
            <w:tcBorders>
              <w:tl2br w:val="nil"/>
              <w:tr2bl w:val="nil"/>
            </w:tcBorders>
            <w:noWrap w:val="0"/>
            <w:vAlign w:val="center"/>
          </w:tcPr>
          <w:p w14:paraId="78ACE6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default"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671F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8.23-8.25</w:t>
            </w:r>
          </w:p>
        </w:tc>
        <w:tc>
          <w:tcPr>
            <w:tcW w:w="0" w:type="auto"/>
            <w:tcBorders>
              <w:tl2br w:val="nil"/>
              <w:tr2bl w:val="nil"/>
            </w:tcBorders>
            <w:noWrap w:val="0"/>
            <w:vAlign w:val="center"/>
          </w:tcPr>
          <w:p w14:paraId="477BC3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8B73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607DF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92FC3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CB713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2883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A5B5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8664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973AA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r>
      <w:tr w14:paraId="6D310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11C3C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铅</w:t>
            </w:r>
          </w:p>
        </w:tc>
        <w:tc>
          <w:tcPr>
            <w:tcW w:w="0" w:type="auto"/>
            <w:tcBorders>
              <w:tl2br w:val="nil"/>
              <w:tr2bl w:val="nil"/>
            </w:tcBorders>
            <w:noWrap w:val="0"/>
            <w:vAlign w:val="center"/>
          </w:tcPr>
          <w:p w14:paraId="7A7F08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16074C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1.4</w:t>
            </w:r>
          </w:p>
        </w:tc>
        <w:tc>
          <w:tcPr>
            <w:tcW w:w="0" w:type="auto"/>
            <w:tcBorders>
              <w:tl2br w:val="nil"/>
              <w:tr2bl w:val="nil"/>
            </w:tcBorders>
            <w:noWrap w:val="0"/>
            <w:vAlign w:val="center"/>
          </w:tcPr>
          <w:p w14:paraId="366188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w:t>
            </w:r>
          </w:p>
        </w:tc>
        <w:tc>
          <w:tcPr>
            <w:tcW w:w="0" w:type="auto"/>
            <w:tcBorders>
              <w:tl2br w:val="nil"/>
              <w:tr2bl w:val="nil"/>
            </w:tcBorders>
            <w:noWrap w:val="0"/>
            <w:vAlign w:val="center"/>
          </w:tcPr>
          <w:p w14:paraId="24236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7B6CA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9E50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A11D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EC39B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7C978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04D6E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BE92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800</w:t>
            </w:r>
          </w:p>
        </w:tc>
      </w:tr>
      <w:tr w14:paraId="6BFA1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114007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镉</w:t>
            </w:r>
          </w:p>
        </w:tc>
        <w:tc>
          <w:tcPr>
            <w:tcW w:w="0" w:type="auto"/>
            <w:tcBorders>
              <w:tl2br w:val="nil"/>
              <w:tr2bl w:val="nil"/>
            </w:tcBorders>
            <w:noWrap w:val="0"/>
            <w:vAlign w:val="center"/>
          </w:tcPr>
          <w:p w14:paraId="244E0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8946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0.11</w:t>
            </w:r>
          </w:p>
        </w:tc>
        <w:tc>
          <w:tcPr>
            <w:tcW w:w="0" w:type="auto"/>
            <w:tcBorders>
              <w:tl2br w:val="nil"/>
              <w:tr2bl w:val="nil"/>
            </w:tcBorders>
            <w:noWrap w:val="0"/>
            <w:vAlign w:val="center"/>
          </w:tcPr>
          <w:p w14:paraId="651E3A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w:t>
            </w:r>
          </w:p>
        </w:tc>
        <w:tc>
          <w:tcPr>
            <w:tcW w:w="0" w:type="auto"/>
            <w:tcBorders>
              <w:tl2br w:val="nil"/>
              <w:tr2bl w:val="nil"/>
            </w:tcBorders>
            <w:noWrap w:val="0"/>
            <w:vAlign w:val="center"/>
          </w:tcPr>
          <w:p w14:paraId="2F3AFA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81D6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98DB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8D8E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BE7B7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C45A4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2E7B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28A78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65</w:t>
            </w:r>
          </w:p>
        </w:tc>
      </w:tr>
      <w:tr w14:paraId="07078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338263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铜</w:t>
            </w:r>
          </w:p>
        </w:tc>
        <w:tc>
          <w:tcPr>
            <w:tcW w:w="0" w:type="auto"/>
            <w:tcBorders>
              <w:tl2br w:val="nil"/>
              <w:tr2bl w:val="nil"/>
            </w:tcBorders>
            <w:noWrap w:val="0"/>
            <w:vAlign w:val="center"/>
          </w:tcPr>
          <w:p w14:paraId="382DA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03BCA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25</w:t>
            </w:r>
          </w:p>
        </w:tc>
        <w:tc>
          <w:tcPr>
            <w:tcW w:w="0" w:type="auto"/>
            <w:tcBorders>
              <w:tl2br w:val="nil"/>
              <w:tr2bl w:val="nil"/>
            </w:tcBorders>
            <w:noWrap w:val="0"/>
            <w:vAlign w:val="center"/>
          </w:tcPr>
          <w:p w14:paraId="7E6938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0.00</w:t>
            </w:r>
          </w:p>
        </w:tc>
        <w:tc>
          <w:tcPr>
            <w:tcW w:w="0" w:type="auto"/>
            <w:tcBorders>
              <w:tl2br w:val="nil"/>
              <w:tr2bl w:val="nil"/>
            </w:tcBorders>
            <w:noWrap w:val="0"/>
            <w:vAlign w:val="center"/>
          </w:tcPr>
          <w:p w14:paraId="21464C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6E89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FC686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8E15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6BF98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E605B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CA84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CB070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18000</w:t>
            </w:r>
          </w:p>
        </w:tc>
      </w:tr>
      <w:tr w14:paraId="0D71B2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A340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镍</w:t>
            </w:r>
          </w:p>
        </w:tc>
        <w:tc>
          <w:tcPr>
            <w:tcW w:w="0" w:type="auto"/>
            <w:tcBorders>
              <w:tl2br w:val="nil"/>
              <w:tr2bl w:val="nil"/>
            </w:tcBorders>
            <w:noWrap w:val="0"/>
            <w:vAlign w:val="center"/>
          </w:tcPr>
          <w:p w14:paraId="2444E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187B9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22</w:t>
            </w:r>
          </w:p>
        </w:tc>
        <w:tc>
          <w:tcPr>
            <w:tcW w:w="0" w:type="auto"/>
            <w:tcBorders>
              <w:tl2br w:val="nil"/>
              <w:tr2bl w:val="nil"/>
            </w:tcBorders>
            <w:noWrap w:val="0"/>
            <w:vAlign w:val="center"/>
          </w:tcPr>
          <w:p w14:paraId="528D91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0.02</w:t>
            </w:r>
          </w:p>
        </w:tc>
        <w:tc>
          <w:tcPr>
            <w:tcW w:w="0" w:type="auto"/>
            <w:tcBorders>
              <w:tl2br w:val="nil"/>
              <w:tr2bl w:val="nil"/>
            </w:tcBorders>
            <w:noWrap w:val="0"/>
            <w:vAlign w:val="center"/>
          </w:tcPr>
          <w:p w14:paraId="39E912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5D665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CE10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0476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9433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4734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FBC4E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C18A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900</w:t>
            </w:r>
          </w:p>
        </w:tc>
      </w:tr>
      <w:tr w14:paraId="2E1C3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38033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六价铬</w:t>
            </w:r>
          </w:p>
        </w:tc>
        <w:tc>
          <w:tcPr>
            <w:tcW w:w="0" w:type="auto"/>
            <w:tcBorders>
              <w:tl2br w:val="nil"/>
              <w:tr2bl w:val="nil"/>
            </w:tcBorders>
            <w:noWrap w:val="0"/>
            <w:vAlign w:val="center"/>
          </w:tcPr>
          <w:p w14:paraId="6345B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35AAEF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ND</w:t>
            </w:r>
          </w:p>
        </w:tc>
        <w:tc>
          <w:tcPr>
            <w:tcW w:w="0" w:type="auto"/>
            <w:tcBorders>
              <w:tl2br w:val="nil"/>
              <w:tr2bl w:val="nil"/>
            </w:tcBorders>
            <w:noWrap w:val="0"/>
            <w:vAlign w:val="center"/>
          </w:tcPr>
          <w:p w14:paraId="321F1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441DA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54C2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1EA9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3B5DD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FAFA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FB87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A765C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E321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5.7</w:t>
            </w:r>
          </w:p>
        </w:tc>
      </w:tr>
      <w:tr w14:paraId="465D7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301B68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砷</w:t>
            </w:r>
          </w:p>
        </w:tc>
        <w:tc>
          <w:tcPr>
            <w:tcW w:w="0" w:type="auto"/>
            <w:tcBorders>
              <w:tl2br w:val="nil"/>
              <w:tr2bl w:val="nil"/>
            </w:tcBorders>
            <w:noWrap w:val="0"/>
            <w:vAlign w:val="center"/>
          </w:tcPr>
          <w:p w14:paraId="1727B8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35203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2.45</w:t>
            </w:r>
          </w:p>
        </w:tc>
        <w:tc>
          <w:tcPr>
            <w:tcW w:w="0" w:type="auto"/>
            <w:tcBorders>
              <w:tl2br w:val="nil"/>
              <w:tr2bl w:val="nil"/>
            </w:tcBorders>
            <w:noWrap w:val="0"/>
            <w:vAlign w:val="center"/>
          </w:tcPr>
          <w:p w14:paraId="68C623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0.04</w:t>
            </w:r>
          </w:p>
        </w:tc>
        <w:tc>
          <w:tcPr>
            <w:tcW w:w="0" w:type="auto"/>
            <w:tcBorders>
              <w:tl2br w:val="nil"/>
              <w:tr2bl w:val="nil"/>
            </w:tcBorders>
            <w:noWrap w:val="0"/>
            <w:vAlign w:val="center"/>
          </w:tcPr>
          <w:p w14:paraId="6D3952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58CB5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5C49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B5EA2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EC458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F6C4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9DE1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7AA1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60</w:t>
            </w:r>
          </w:p>
        </w:tc>
      </w:tr>
      <w:tr w14:paraId="7C5D8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7A3D0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汞</w:t>
            </w:r>
          </w:p>
        </w:tc>
        <w:tc>
          <w:tcPr>
            <w:tcW w:w="0" w:type="auto"/>
            <w:tcBorders>
              <w:tl2br w:val="nil"/>
              <w:tr2bl w:val="nil"/>
            </w:tcBorders>
            <w:noWrap w:val="0"/>
            <w:vAlign w:val="center"/>
          </w:tcPr>
          <w:p w14:paraId="1920F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76D55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0.464</w:t>
            </w:r>
          </w:p>
        </w:tc>
        <w:tc>
          <w:tcPr>
            <w:tcW w:w="0" w:type="auto"/>
            <w:tcBorders>
              <w:tl2br w:val="nil"/>
              <w:tr2bl w:val="nil"/>
            </w:tcBorders>
            <w:noWrap w:val="0"/>
            <w:vAlign w:val="center"/>
          </w:tcPr>
          <w:p w14:paraId="1BE53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0.01</w:t>
            </w:r>
          </w:p>
        </w:tc>
        <w:tc>
          <w:tcPr>
            <w:tcW w:w="0" w:type="auto"/>
            <w:tcBorders>
              <w:tl2br w:val="nil"/>
              <w:tr2bl w:val="nil"/>
            </w:tcBorders>
            <w:noWrap w:val="0"/>
            <w:vAlign w:val="center"/>
          </w:tcPr>
          <w:p w14:paraId="29A99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E1AF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EB3A6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1A06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7E29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49442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D54D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324D3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38</w:t>
            </w:r>
          </w:p>
        </w:tc>
      </w:tr>
      <w:tr w14:paraId="55F14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9DB66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氟化物</w:t>
            </w:r>
          </w:p>
        </w:tc>
        <w:tc>
          <w:tcPr>
            <w:tcW w:w="0" w:type="auto"/>
            <w:tcBorders>
              <w:tl2br w:val="nil"/>
              <w:tr2bl w:val="nil"/>
            </w:tcBorders>
            <w:noWrap w:val="0"/>
            <w:vAlign w:val="center"/>
          </w:tcPr>
          <w:p w14:paraId="645BA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3FFCB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ND</w:t>
            </w:r>
          </w:p>
        </w:tc>
        <w:tc>
          <w:tcPr>
            <w:tcW w:w="0" w:type="auto"/>
            <w:tcBorders>
              <w:tl2br w:val="nil"/>
              <w:tr2bl w:val="nil"/>
            </w:tcBorders>
            <w:noWrap w:val="0"/>
            <w:vAlign w:val="center"/>
          </w:tcPr>
          <w:p w14:paraId="6E348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923C5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C158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475</w:t>
            </w:r>
          </w:p>
        </w:tc>
        <w:tc>
          <w:tcPr>
            <w:tcW w:w="0" w:type="auto"/>
            <w:tcBorders>
              <w:tl2br w:val="nil"/>
              <w:tr2bl w:val="nil"/>
            </w:tcBorders>
            <w:noWrap w:val="0"/>
            <w:vAlign w:val="center"/>
          </w:tcPr>
          <w:p w14:paraId="34030E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0.11</w:t>
            </w:r>
          </w:p>
        </w:tc>
        <w:tc>
          <w:tcPr>
            <w:tcW w:w="0" w:type="auto"/>
            <w:tcBorders>
              <w:tl2br w:val="nil"/>
              <w:tr2bl w:val="nil"/>
            </w:tcBorders>
            <w:noWrap w:val="0"/>
            <w:vAlign w:val="center"/>
          </w:tcPr>
          <w:p w14:paraId="77759C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77AD8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448</w:t>
            </w:r>
          </w:p>
        </w:tc>
        <w:tc>
          <w:tcPr>
            <w:tcW w:w="0" w:type="auto"/>
            <w:tcBorders>
              <w:tl2br w:val="nil"/>
              <w:tr2bl w:val="nil"/>
            </w:tcBorders>
            <w:noWrap w:val="0"/>
            <w:vAlign w:val="center"/>
          </w:tcPr>
          <w:p w14:paraId="6D7EA1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0.10</w:t>
            </w:r>
          </w:p>
        </w:tc>
        <w:tc>
          <w:tcPr>
            <w:tcW w:w="0" w:type="auto"/>
            <w:tcBorders>
              <w:tl2br w:val="nil"/>
              <w:tr2bl w:val="nil"/>
            </w:tcBorders>
            <w:noWrap w:val="0"/>
            <w:vAlign w:val="center"/>
          </w:tcPr>
          <w:p w14:paraId="52C432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F445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4500</w:t>
            </w:r>
          </w:p>
        </w:tc>
      </w:tr>
      <w:tr w14:paraId="52914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19BF7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氯甲烷</w:t>
            </w:r>
          </w:p>
        </w:tc>
        <w:tc>
          <w:tcPr>
            <w:tcW w:w="0" w:type="auto"/>
            <w:tcBorders>
              <w:tl2br w:val="nil"/>
              <w:tr2bl w:val="nil"/>
            </w:tcBorders>
            <w:noWrap w:val="0"/>
            <w:vAlign w:val="center"/>
          </w:tcPr>
          <w:p w14:paraId="1F42C5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68656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1.0×10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1904A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94804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18D7FD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9231A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5CC5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37F85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65A6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F2D89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3F24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37</w:t>
            </w:r>
          </w:p>
        </w:tc>
      </w:tr>
      <w:tr w14:paraId="7CDF9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1A74E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氯乙烯</w:t>
            </w:r>
          </w:p>
        </w:tc>
        <w:tc>
          <w:tcPr>
            <w:tcW w:w="0" w:type="auto"/>
            <w:tcBorders>
              <w:tl2br w:val="nil"/>
              <w:tr2bl w:val="nil"/>
            </w:tcBorders>
            <w:noWrap w:val="0"/>
            <w:vAlign w:val="center"/>
          </w:tcPr>
          <w:p w14:paraId="39266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1A794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1.0×10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023C39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58114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7BAE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65BAA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3028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8659F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A7BF9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DB5FA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3B2E4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0.43</w:t>
            </w:r>
          </w:p>
        </w:tc>
      </w:tr>
      <w:tr w14:paraId="4D5B9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1B603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1,1-二氯乙烯</w:t>
            </w:r>
          </w:p>
        </w:tc>
        <w:tc>
          <w:tcPr>
            <w:tcW w:w="0" w:type="auto"/>
            <w:tcBorders>
              <w:tl2br w:val="nil"/>
              <w:tr2bl w:val="nil"/>
            </w:tcBorders>
            <w:noWrap w:val="0"/>
            <w:vAlign w:val="center"/>
          </w:tcPr>
          <w:p w14:paraId="56B48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64551B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1.0×10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5D097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006C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6920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0D4FE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915DD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2160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C76D9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03DA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1111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66</w:t>
            </w:r>
          </w:p>
        </w:tc>
      </w:tr>
      <w:tr w14:paraId="2A659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6FDE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二氯甲烷</w:t>
            </w:r>
          </w:p>
        </w:tc>
        <w:tc>
          <w:tcPr>
            <w:tcW w:w="0" w:type="auto"/>
            <w:tcBorders>
              <w:tl2br w:val="nil"/>
              <w:tr2bl w:val="nil"/>
            </w:tcBorders>
            <w:noWrap w:val="0"/>
            <w:vAlign w:val="center"/>
          </w:tcPr>
          <w:p w14:paraId="7139F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60DED1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1.5×10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5ABA4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846B0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3025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B287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B6EEC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DD51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C175C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5172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4887F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616</w:t>
            </w:r>
          </w:p>
        </w:tc>
      </w:tr>
      <w:tr w14:paraId="01BA1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A14A7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反-1,2-二氯乙烯</w:t>
            </w:r>
          </w:p>
        </w:tc>
        <w:tc>
          <w:tcPr>
            <w:tcW w:w="0" w:type="auto"/>
            <w:tcBorders>
              <w:tl2br w:val="nil"/>
              <w:tr2bl w:val="nil"/>
            </w:tcBorders>
            <w:noWrap w:val="0"/>
            <w:vAlign w:val="center"/>
          </w:tcPr>
          <w:p w14:paraId="3D0F4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6E6F7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1.4×10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7B53F4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C27DE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FB27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9577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731D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5BA86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6588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1F224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EBB5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54</w:t>
            </w:r>
          </w:p>
        </w:tc>
      </w:tr>
      <w:tr w14:paraId="0EB5C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D7270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1,1-二氯乙烷</w:t>
            </w:r>
          </w:p>
        </w:tc>
        <w:tc>
          <w:tcPr>
            <w:tcW w:w="0" w:type="auto"/>
            <w:tcBorders>
              <w:tl2br w:val="nil"/>
              <w:tr2bl w:val="nil"/>
            </w:tcBorders>
            <w:noWrap w:val="0"/>
            <w:vAlign w:val="center"/>
          </w:tcPr>
          <w:p w14:paraId="0AF669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FB6F6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0680C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240F8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48ADD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8A15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EE3DC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79B2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65FE1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5C958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44C7E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9</w:t>
            </w:r>
          </w:p>
        </w:tc>
      </w:tr>
      <w:tr w14:paraId="5B5B4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FDDCB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顺-1,2-二氯乙烯</w:t>
            </w:r>
          </w:p>
        </w:tc>
        <w:tc>
          <w:tcPr>
            <w:tcW w:w="0" w:type="auto"/>
            <w:tcBorders>
              <w:tl2br w:val="nil"/>
              <w:tr2bl w:val="nil"/>
            </w:tcBorders>
            <w:noWrap w:val="0"/>
            <w:vAlign w:val="center"/>
          </w:tcPr>
          <w:p w14:paraId="75F4C1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233EAF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1.3×10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780326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B9091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57A6C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C5229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95A1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B633A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76C3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127B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B9DB4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596</w:t>
            </w:r>
          </w:p>
        </w:tc>
      </w:tr>
      <w:tr w14:paraId="4BE06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829D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氯仿</w:t>
            </w:r>
          </w:p>
        </w:tc>
        <w:tc>
          <w:tcPr>
            <w:tcW w:w="0" w:type="auto"/>
            <w:tcBorders>
              <w:tl2br w:val="nil"/>
              <w:tr2bl w:val="nil"/>
            </w:tcBorders>
            <w:noWrap w:val="0"/>
            <w:vAlign w:val="center"/>
          </w:tcPr>
          <w:p w14:paraId="78FDDA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268E02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1.1×10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1EEEF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BA199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33CE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C12DD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90D33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96E35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03EB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A81CE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7ECBC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0.9</w:t>
            </w:r>
          </w:p>
        </w:tc>
      </w:tr>
      <w:tr w14:paraId="2843B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33251D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1,1,1-三氯乙烷</w:t>
            </w:r>
          </w:p>
        </w:tc>
        <w:tc>
          <w:tcPr>
            <w:tcW w:w="0" w:type="auto"/>
            <w:tcBorders>
              <w:tl2br w:val="nil"/>
              <w:tr2bl w:val="nil"/>
            </w:tcBorders>
            <w:noWrap w:val="0"/>
            <w:vAlign w:val="center"/>
          </w:tcPr>
          <w:p w14:paraId="7641F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3500F8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1.3×10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2DB4E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407D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685D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9BFEF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A5407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952D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A5B2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B3F1D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28FC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840</w:t>
            </w:r>
          </w:p>
        </w:tc>
      </w:tr>
      <w:tr w14:paraId="209C3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BE8B1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四氯化碳</w:t>
            </w:r>
          </w:p>
        </w:tc>
        <w:tc>
          <w:tcPr>
            <w:tcW w:w="0" w:type="auto"/>
            <w:tcBorders>
              <w:tl2br w:val="nil"/>
              <w:tr2bl w:val="nil"/>
            </w:tcBorders>
            <w:noWrap w:val="0"/>
            <w:vAlign w:val="center"/>
          </w:tcPr>
          <w:p w14:paraId="4FD10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64038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1.3×10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375F9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13C87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FA8F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4BC7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9791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A171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7A6A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20D3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62422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2.8</w:t>
            </w:r>
          </w:p>
        </w:tc>
      </w:tr>
      <w:tr w14:paraId="1C456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7CFF0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1,2-二氯乙烷</w:t>
            </w:r>
          </w:p>
        </w:tc>
        <w:tc>
          <w:tcPr>
            <w:tcW w:w="0" w:type="auto"/>
            <w:tcBorders>
              <w:tl2br w:val="nil"/>
              <w:tr2bl w:val="nil"/>
            </w:tcBorders>
            <w:noWrap w:val="0"/>
            <w:vAlign w:val="center"/>
          </w:tcPr>
          <w:p w14:paraId="472F5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5F04D4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1.3×10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5600B6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0309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BCF7C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5BC8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3504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6875A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2BCE4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B58C7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A71B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w:t>
            </w:r>
          </w:p>
        </w:tc>
      </w:tr>
      <w:tr w14:paraId="08D7D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7E6254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苯</w:t>
            </w:r>
          </w:p>
        </w:tc>
        <w:tc>
          <w:tcPr>
            <w:tcW w:w="0" w:type="auto"/>
            <w:tcBorders>
              <w:tl2br w:val="nil"/>
              <w:tr2bl w:val="nil"/>
            </w:tcBorders>
            <w:noWrap w:val="0"/>
            <w:vAlign w:val="center"/>
          </w:tcPr>
          <w:p w14:paraId="78E58E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1FD19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1.9×10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0E466F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73487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712AE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40312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B052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DDF8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944F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0028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2AAC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4</w:t>
            </w:r>
          </w:p>
        </w:tc>
      </w:tr>
      <w:tr w14:paraId="7B4A6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7CB9D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三氯乙烯</w:t>
            </w:r>
          </w:p>
        </w:tc>
        <w:tc>
          <w:tcPr>
            <w:tcW w:w="0" w:type="auto"/>
            <w:tcBorders>
              <w:tl2br w:val="nil"/>
              <w:tr2bl w:val="nil"/>
            </w:tcBorders>
            <w:noWrap w:val="0"/>
            <w:vAlign w:val="center"/>
          </w:tcPr>
          <w:p w14:paraId="2FDE26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115C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5C67B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26571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5207D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C8C0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FF2F3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E91A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4F78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24D1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34AB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2.8</w:t>
            </w:r>
          </w:p>
        </w:tc>
      </w:tr>
      <w:tr w14:paraId="3098A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33597B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1,2-二氯丙烷</w:t>
            </w:r>
          </w:p>
        </w:tc>
        <w:tc>
          <w:tcPr>
            <w:tcW w:w="0" w:type="auto"/>
            <w:tcBorders>
              <w:tl2br w:val="nil"/>
              <w:tr2bl w:val="nil"/>
            </w:tcBorders>
            <w:noWrap w:val="0"/>
            <w:vAlign w:val="center"/>
          </w:tcPr>
          <w:p w14:paraId="02D83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107F7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1.1×10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31A1A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50FA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DF0F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BCC8A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0B01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352F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33D52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56E16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DD70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w:t>
            </w:r>
          </w:p>
        </w:tc>
      </w:tr>
      <w:tr w14:paraId="448A3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47D3CD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甲苯</w:t>
            </w:r>
          </w:p>
        </w:tc>
        <w:tc>
          <w:tcPr>
            <w:tcW w:w="0" w:type="auto"/>
            <w:tcBorders>
              <w:tl2br w:val="nil"/>
              <w:tr2bl w:val="nil"/>
            </w:tcBorders>
            <w:noWrap w:val="0"/>
            <w:vAlign w:val="center"/>
          </w:tcPr>
          <w:p w14:paraId="3C30BE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01CDB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1.3×10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1852B7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C04FC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E605E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2C8E1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EAEC6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CCBFB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449FF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E6DE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7C59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1200</w:t>
            </w:r>
          </w:p>
        </w:tc>
      </w:tr>
      <w:tr w14:paraId="20DF9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C1C4E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1,1,2-三氯乙烷</w:t>
            </w:r>
          </w:p>
        </w:tc>
        <w:tc>
          <w:tcPr>
            <w:tcW w:w="0" w:type="auto"/>
            <w:tcBorders>
              <w:tl2br w:val="nil"/>
              <w:tr2bl w:val="nil"/>
            </w:tcBorders>
            <w:noWrap w:val="0"/>
            <w:vAlign w:val="center"/>
          </w:tcPr>
          <w:p w14:paraId="056886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D421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5C879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06AC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6BE5A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A8721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E321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17CD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02C2A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AC956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DA00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2.8</w:t>
            </w:r>
          </w:p>
        </w:tc>
      </w:tr>
      <w:tr w14:paraId="0DFC6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CE065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四氯乙烯</w:t>
            </w:r>
          </w:p>
        </w:tc>
        <w:tc>
          <w:tcPr>
            <w:tcW w:w="0" w:type="auto"/>
            <w:tcBorders>
              <w:tl2br w:val="nil"/>
              <w:tr2bl w:val="nil"/>
            </w:tcBorders>
            <w:noWrap w:val="0"/>
            <w:vAlign w:val="center"/>
          </w:tcPr>
          <w:p w14:paraId="2FD30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5C295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1.4×10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524C40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70DBC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AFC95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4C3F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EECE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197F4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B8726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0827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3FB9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53</w:t>
            </w:r>
          </w:p>
        </w:tc>
      </w:tr>
      <w:tr w14:paraId="66A33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4DB959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氯苯</w:t>
            </w:r>
          </w:p>
        </w:tc>
        <w:tc>
          <w:tcPr>
            <w:tcW w:w="0" w:type="auto"/>
            <w:tcBorders>
              <w:tl2br w:val="nil"/>
              <w:tr2bl w:val="nil"/>
            </w:tcBorders>
            <w:noWrap w:val="0"/>
            <w:vAlign w:val="center"/>
          </w:tcPr>
          <w:p w14:paraId="52376D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634176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139CA8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6E0E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5479D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2EA2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A42D3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C195B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764C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7A5B0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CD27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270</w:t>
            </w:r>
          </w:p>
        </w:tc>
      </w:tr>
      <w:tr w14:paraId="34B24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4A61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1,1,1,2-四氯乙烷</w:t>
            </w:r>
          </w:p>
        </w:tc>
        <w:tc>
          <w:tcPr>
            <w:tcW w:w="0" w:type="auto"/>
            <w:tcBorders>
              <w:tl2br w:val="nil"/>
              <w:tr2bl w:val="nil"/>
            </w:tcBorders>
            <w:noWrap w:val="0"/>
            <w:vAlign w:val="center"/>
          </w:tcPr>
          <w:p w14:paraId="6CC95B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0928DB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20AE4C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3AF2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F3EC5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C203C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54FF6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BCC6D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FEE1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B29BE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D2C1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10</w:t>
            </w:r>
          </w:p>
        </w:tc>
      </w:tr>
      <w:tr w14:paraId="6F5BD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CF4F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乙苯</w:t>
            </w:r>
          </w:p>
        </w:tc>
        <w:tc>
          <w:tcPr>
            <w:tcW w:w="0" w:type="auto"/>
            <w:tcBorders>
              <w:tl2br w:val="nil"/>
              <w:tr2bl w:val="nil"/>
            </w:tcBorders>
            <w:noWrap w:val="0"/>
            <w:vAlign w:val="center"/>
          </w:tcPr>
          <w:p w14:paraId="2FAF81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271BC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73334D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AEE4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7533A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64CFC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0553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2037B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52B7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9D11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425DD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28</w:t>
            </w:r>
          </w:p>
        </w:tc>
      </w:tr>
      <w:tr w14:paraId="3D24B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57D94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间二甲苯+对二甲苯</w:t>
            </w:r>
          </w:p>
        </w:tc>
        <w:tc>
          <w:tcPr>
            <w:tcW w:w="0" w:type="auto"/>
            <w:tcBorders>
              <w:tl2br w:val="nil"/>
              <w:tr2bl w:val="nil"/>
            </w:tcBorders>
            <w:noWrap w:val="0"/>
            <w:vAlign w:val="center"/>
          </w:tcPr>
          <w:p w14:paraId="0E89A2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2C3D9F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71C2C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263A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B4A8C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F97A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F35C1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53637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14F2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4350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985F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570</w:t>
            </w:r>
          </w:p>
        </w:tc>
      </w:tr>
      <w:tr w14:paraId="70B6F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FEE52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邻二甲苯</w:t>
            </w:r>
          </w:p>
        </w:tc>
        <w:tc>
          <w:tcPr>
            <w:tcW w:w="0" w:type="auto"/>
            <w:tcBorders>
              <w:tl2br w:val="nil"/>
              <w:tr2bl w:val="nil"/>
            </w:tcBorders>
            <w:noWrap w:val="0"/>
            <w:vAlign w:val="center"/>
          </w:tcPr>
          <w:p w14:paraId="72DDE5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28F70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65FECB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0D584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E02B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65B6B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DD6B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093E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30CD2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EE53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FC65E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640</w:t>
            </w:r>
          </w:p>
        </w:tc>
      </w:tr>
      <w:tr w14:paraId="315F7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1373F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苯乙烯</w:t>
            </w:r>
          </w:p>
        </w:tc>
        <w:tc>
          <w:tcPr>
            <w:tcW w:w="0" w:type="auto"/>
            <w:tcBorders>
              <w:tl2br w:val="nil"/>
              <w:tr2bl w:val="nil"/>
            </w:tcBorders>
            <w:noWrap w:val="0"/>
            <w:vAlign w:val="center"/>
          </w:tcPr>
          <w:p w14:paraId="1B73AA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605E8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1.1×10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397C93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C7EA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27BFC2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57A6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93D8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205B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69D1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8C9BB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7AF1A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1290</w:t>
            </w:r>
          </w:p>
        </w:tc>
      </w:tr>
      <w:tr w14:paraId="34588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149CA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1,1,2,2-四氯乙烷</w:t>
            </w:r>
          </w:p>
        </w:tc>
        <w:tc>
          <w:tcPr>
            <w:tcW w:w="0" w:type="auto"/>
            <w:tcBorders>
              <w:tl2br w:val="nil"/>
              <w:tr2bl w:val="nil"/>
            </w:tcBorders>
            <w:noWrap w:val="0"/>
            <w:vAlign w:val="center"/>
          </w:tcPr>
          <w:p w14:paraId="2B0054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51C80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16226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F599F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57C68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225B3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4653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094D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95C9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12647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BEBF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6.8</w:t>
            </w:r>
          </w:p>
        </w:tc>
      </w:tr>
      <w:tr w14:paraId="5D614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3E9324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1,2,3-三氯丙烷</w:t>
            </w:r>
          </w:p>
        </w:tc>
        <w:tc>
          <w:tcPr>
            <w:tcW w:w="0" w:type="auto"/>
            <w:tcBorders>
              <w:tl2br w:val="nil"/>
              <w:tr2bl w:val="nil"/>
            </w:tcBorders>
            <w:noWrap w:val="0"/>
            <w:vAlign w:val="center"/>
          </w:tcPr>
          <w:p w14:paraId="379287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7D8FFC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1.2×10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0F338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2E07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39770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8706C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F1242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E2AA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07EBB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75C08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06E6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0.5</w:t>
            </w:r>
          </w:p>
        </w:tc>
      </w:tr>
      <w:tr w14:paraId="6EFBD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9361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1,4-二氯苯</w:t>
            </w:r>
          </w:p>
        </w:tc>
        <w:tc>
          <w:tcPr>
            <w:tcW w:w="0" w:type="auto"/>
            <w:tcBorders>
              <w:tl2br w:val="nil"/>
              <w:tr2bl w:val="nil"/>
            </w:tcBorders>
            <w:noWrap w:val="0"/>
            <w:vAlign w:val="center"/>
          </w:tcPr>
          <w:p w14:paraId="2480C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73526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1.5×10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5CD9E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B4E63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28F1F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C46F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8119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0600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9AD8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4515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D0E62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20</w:t>
            </w:r>
          </w:p>
        </w:tc>
      </w:tr>
      <w:tr w14:paraId="72605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A8F6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1,2-二氯苯</w:t>
            </w:r>
          </w:p>
        </w:tc>
        <w:tc>
          <w:tcPr>
            <w:tcW w:w="0" w:type="auto"/>
            <w:tcBorders>
              <w:tl2br w:val="nil"/>
              <w:tr2bl w:val="nil"/>
            </w:tcBorders>
            <w:noWrap w:val="0"/>
            <w:vAlign w:val="center"/>
          </w:tcPr>
          <w:p w14:paraId="061B22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7D1A7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1.5×10</w:t>
            </w:r>
            <w:r>
              <w:rPr>
                <w:rFonts w:hint="eastAsia" w:ascii="Times New Roman" w:hAnsi="宋体" w:eastAsia="宋体" w:cs="Times New Roman"/>
                <w:color w:val="auto"/>
                <w:sz w:val="21"/>
                <w:szCs w:val="21"/>
                <w:highlight w:val="none"/>
                <w:vertAlign w:val="superscript"/>
                <w:lang w:val="en-US" w:eastAsia="zh-CN"/>
              </w:rPr>
              <w:t>-3</w:t>
            </w:r>
          </w:p>
        </w:tc>
        <w:tc>
          <w:tcPr>
            <w:tcW w:w="0" w:type="auto"/>
            <w:tcBorders>
              <w:tl2br w:val="nil"/>
              <w:tr2bl w:val="nil"/>
            </w:tcBorders>
            <w:noWrap w:val="0"/>
            <w:vAlign w:val="center"/>
          </w:tcPr>
          <w:p w14:paraId="55CC05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5876C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B7277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2046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31EC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23A1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D215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AB5F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2F14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560</w:t>
            </w:r>
          </w:p>
        </w:tc>
      </w:tr>
      <w:tr w14:paraId="04408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2894D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苯胺</w:t>
            </w:r>
          </w:p>
        </w:tc>
        <w:tc>
          <w:tcPr>
            <w:tcW w:w="0" w:type="auto"/>
            <w:tcBorders>
              <w:tl2br w:val="nil"/>
              <w:tr2bl w:val="nil"/>
            </w:tcBorders>
            <w:noWrap w:val="0"/>
            <w:vAlign w:val="center"/>
          </w:tcPr>
          <w:p w14:paraId="367E22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231EDB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0.08</w:t>
            </w:r>
          </w:p>
        </w:tc>
        <w:tc>
          <w:tcPr>
            <w:tcW w:w="0" w:type="auto"/>
            <w:tcBorders>
              <w:tl2br w:val="nil"/>
              <w:tr2bl w:val="nil"/>
            </w:tcBorders>
            <w:noWrap w:val="0"/>
            <w:vAlign w:val="center"/>
          </w:tcPr>
          <w:p w14:paraId="0B045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23B3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C5E9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D9BC1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F18B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76E87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5E8F3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5CE91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4490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260</w:t>
            </w:r>
          </w:p>
        </w:tc>
      </w:tr>
      <w:tr w14:paraId="39169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8A60F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2-氯酚</w:t>
            </w:r>
          </w:p>
        </w:tc>
        <w:tc>
          <w:tcPr>
            <w:tcW w:w="0" w:type="auto"/>
            <w:tcBorders>
              <w:tl2br w:val="nil"/>
              <w:tr2bl w:val="nil"/>
            </w:tcBorders>
            <w:noWrap w:val="0"/>
            <w:vAlign w:val="center"/>
          </w:tcPr>
          <w:p w14:paraId="07FF0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56507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0.06</w:t>
            </w:r>
          </w:p>
        </w:tc>
        <w:tc>
          <w:tcPr>
            <w:tcW w:w="0" w:type="auto"/>
            <w:tcBorders>
              <w:tl2br w:val="nil"/>
              <w:tr2bl w:val="nil"/>
            </w:tcBorders>
            <w:noWrap w:val="0"/>
            <w:vAlign w:val="center"/>
          </w:tcPr>
          <w:p w14:paraId="6DB96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D360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1D389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9B87C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A6D3C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00DE3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57806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FA2C8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E5EB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2256</w:t>
            </w:r>
          </w:p>
        </w:tc>
      </w:tr>
      <w:tr w14:paraId="6E540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5116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硝基苯</w:t>
            </w:r>
          </w:p>
        </w:tc>
        <w:tc>
          <w:tcPr>
            <w:tcW w:w="0" w:type="auto"/>
            <w:tcBorders>
              <w:tl2br w:val="nil"/>
              <w:tr2bl w:val="nil"/>
            </w:tcBorders>
            <w:noWrap w:val="0"/>
            <w:vAlign w:val="center"/>
          </w:tcPr>
          <w:p w14:paraId="6A30C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3F33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0.09</w:t>
            </w:r>
          </w:p>
        </w:tc>
        <w:tc>
          <w:tcPr>
            <w:tcW w:w="0" w:type="auto"/>
            <w:tcBorders>
              <w:tl2br w:val="nil"/>
              <w:tr2bl w:val="nil"/>
            </w:tcBorders>
            <w:noWrap w:val="0"/>
            <w:vAlign w:val="center"/>
          </w:tcPr>
          <w:p w14:paraId="328A2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448A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7509C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69A7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DB08F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86943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A816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6ACDB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5DBF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76</w:t>
            </w:r>
          </w:p>
        </w:tc>
      </w:tr>
      <w:tr w14:paraId="5BA29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7588D5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萘</w:t>
            </w:r>
          </w:p>
        </w:tc>
        <w:tc>
          <w:tcPr>
            <w:tcW w:w="0" w:type="auto"/>
            <w:tcBorders>
              <w:tl2br w:val="nil"/>
              <w:tr2bl w:val="nil"/>
            </w:tcBorders>
            <w:noWrap w:val="0"/>
            <w:vAlign w:val="center"/>
          </w:tcPr>
          <w:p w14:paraId="53377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672E6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0.09</w:t>
            </w:r>
          </w:p>
        </w:tc>
        <w:tc>
          <w:tcPr>
            <w:tcW w:w="0" w:type="auto"/>
            <w:tcBorders>
              <w:tl2br w:val="nil"/>
              <w:tr2bl w:val="nil"/>
            </w:tcBorders>
            <w:noWrap w:val="0"/>
            <w:vAlign w:val="center"/>
          </w:tcPr>
          <w:p w14:paraId="06A7B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4DC7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1E9D7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DE53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717B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16EF0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E7CB0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8CA7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7845A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70</w:t>
            </w:r>
          </w:p>
        </w:tc>
      </w:tr>
      <w:tr w14:paraId="65370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4C81CE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苯并［a］蒽</w:t>
            </w:r>
          </w:p>
        </w:tc>
        <w:tc>
          <w:tcPr>
            <w:tcW w:w="0" w:type="auto"/>
            <w:tcBorders>
              <w:tl2br w:val="nil"/>
              <w:tr2bl w:val="nil"/>
            </w:tcBorders>
            <w:noWrap w:val="0"/>
            <w:vAlign w:val="center"/>
          </w:tcPr>
          <w:p w14:paraId="4121E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7333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0.1</w:t>
            </w:r>
          </w:p>
        </w:tc>
        <w:tc>
          <w:tcPr>
            <w:tcW w:w="0" w:type="auto"/>
            <w:tcBorders>
              <w:tl2br w:val="nil"/>
              <w:tr2bl w:val="nil"/>
            </w:tcBorders>
            <w:noWrap w:val="0"/>
            <w:vAlign w:val="center"/>
          </w:tcPr>
          <w:p w14:paraId="688870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27B50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4509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985DA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4BB24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289F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BB30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0D14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00213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15</w:t>
            </w:r>
          </w:p>
        </w:tc>
      </w:tr>
      <w:tr w14:paraId="63CBD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6AD67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䓛</w:t>
            </w:r>
          </w:p>
        </w:tc>
        <w:tc>
          <w:tcPr>
            <w:tcW w:w="0" w:type="auto"/>
            <w:tcBorders>
              <w:tl2br w:val="nil"/>
              <w:tr2bl w:val="nil"/>
            </w:tcBorders>
            <w:noWrap w:val="0"/>
            <w:vAlign w:val="center"/>
          </w:tcPr>
          <w:p w14:paraId="22AC5E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2C518E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0.1</w:t>
            </w:r>
          </w:p>
        </w:tc>
        <w:tc>
          <w:tcPr>
            <w:tcW w:w="0" w:type="auto"/>
            <w:tcBorders>
              <w:tl2br w:val="nil"/>
              <w:tr2bl w:val="nil"/>
            </w:tcBorders>
            <w:noWrap w:val="0"/>
            <w:vAlign w:val="center"/>
          </w:tcPr>
          <w:p w14:paraId="007E21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E294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393BB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5219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120B0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3DE24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C0FD9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82C65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CE56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1293</w:t>
            </w:r>
          </w:p>
        </w:tc>
      </w:tr>
      <w:tr w14:paraId="2C019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B902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苯并［b］荧蒽</w:t>
            </w:r>
          </w:p>
        </w:tc>
        <w:tc>
          <w:tcPr>
            <w:tcW w:w="0" w:type="auto"/>
            <w:tcBorders>
              <w:tl2br w:val="nil"/>
              <w:tr2bl w:val="nil"/>
            </w:tcBorders>
            <w:noWrap w:val="0"/>
            <w:vAlign w:val="center"/>
          </w:tcPr>
          <w:p w14:paraId="3C49F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1DBDE9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0.2</w:t>
            </w:r>
          </w:p>
        </w:tc>
        <w:tc>
          <w:tcPr>
            <w:tcW w:w="0" w:type="auto"/>
            <w:tcBorders>
              <w:tl2br w:val="nil"/>
              <w:tr2bl w:val="nil"/>
            </w:tcBorders>
            <w:noWrap w:val="0"/>
            <w:vAlign w:val="center"/>
          </w:tcPr>
          <w:p w14:paraId="6F9C6E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29BEE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0AD493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D0BE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7FD4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0CD9AD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9F3B1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C45B1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011E5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15</w:t>
            </w:r>
          </w:p>
        </w:tc>
      </w:tr>
      <w:tr w14:paraId="65835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6E4DAD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苯并［k］荧蒽</w:t>
            </w:r>
          </w:p>
        </w:tc>
        <w:tc>
          <w:tcPr>
            <w:tcW w:w="0" w:type="auto"/>
            <w:tcBorders>
              <w:tl2br w:val="nil"/>
              <w:tr2bl w:val="nil"/>
            </w:tcBorders>
            <w:noWrap w:val="0"/>
            <w:vAlign w:val="center"/>
          </w:tcPr>
          <w:p w14:paraId="504CD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2610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0.1</w:t>
            </w:r>
          </w:p>
        </w:tc>
        <w:tc>
          <w:tcPr>
            <w:tcW w:w="0" w:type="auto"/>
            <w:tcBorders>
              <w:tl2br w:val="nil"/>
              <w:tr2bl w:val="nil"/>
            </w:tcBorders>
            <w:noWrap w:val="0"/>
            <w:vAlign w:val="center"/>
          </w:tcPr>
          <w:p w14:paraId="223C51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DD8FD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495ACE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D1746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25A2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9471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61D2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6DDA6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D58C5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151</w:t>
            </w:r>
          </w:p>
        </w:tc>
      </w:tr>
      <w:tr w14:paraId="0536F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4CE71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苯并［a］芘</w:t>
            </w:r>
          </w:p>
        </w:tc>
        <w:tc>
          <w:tcPr>
            <w:tcW w:w="0" w:type="auto"/>
            <w:tcBorders>
              <w:tl2br w:val="nil"/>
              <w:tr2bl w:val="nil"/>
            </w:tcBorders>
            <w:noWrap w:val="0"/>
            <w:vAlign w:val="center"/>
          </w:tcPr>
          <w:p w14:paraId="517BC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4C6863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0.1</w:t>
            </w:r>
          </w:p>
        </w:tc>
        <w:tc>
          <w:tcPr>
            <w:tcW w:w="0" w:type="auto"/>
            <w:tcBorders>
              <w:tl2br w:val="nil"/>
              <w:tr2bl w:val="nil"/>
            </w:tcBorders>
            <w:noWrap w:val="0"/>
            <w:vAlign w:val="center"/>
          </w:tcPr>
          <w:p w14:paraId="0912EB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96A66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5EDDBB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45DE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D56FC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1D54EC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E41E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D9CA6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AB9F6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1.5</w:t>
            </w:r>
          </w:p>
        </w:tc>
      </w:tr>
      <w:tr w14:paraId="48A36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132DF3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茚并［1,2,3,-cd］芘</w:t>
            </w:r>
          </w:p>
        </w:tc>
        <w:tc>
          <w:tcPr>
            <w:tcW w:w="0" w:type="auto"/>
            <w:tcBorders>
              <w:tl2br w:val="nil"/>
              <w:tr2bl w:val="nil"/>
            </w:tcBorders>
            <w:noWrap w:val="0"/>
            <w:vAlign w:val="center"/>
          </w:tcPr>
          <w:p w14:paraId="21B1F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615E73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0.1</w:t>
            </w:r>
          </w:p>
        </w:tc>
        <w:tc>
          <w:tcPr>
            <w:tcW w:w="0" w:type="auto"/>
            <w:tcBorders>
              <w:tl2br w:val="nil"/>
              <w:tr2bl w:val="nil"/>
            </w:tcBorders>
            <w:noWrap w:val="0"/>
            <w:vAlign w:val="center"/>
          </w:tcPr>
          <w:p w14:paraId="2E1605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4ABB2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8091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A5F26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0C65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8A878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709C6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8BD3D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177E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15</w:t>
            </w:r>
          </w:p>
        </w:tc>
      </w:tr>
      <w:tr w14:paraId="1CF08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5B06B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w:t>
            </w:r>
            <w:r>
              <w:rPr>
                <w:rFonts w:hint="default" w:ascii="Times New Roman" w:hAnsi="宋体" w:eastAsia="宋体" w:cs="Times New Roman"/>
                <w:color w:val="auto"/>
                <w:sz w:val="21"/>
                <w:szCs w:val="21"/>
                <w:highlight w:val="none"/>
                <w:lang w:val="en-US" w:eastAsia="zh-CN"/>
              </w:rPr>
              <w:t>二苯并［a，h］蒽</w:t>
            </w:r>
          </w:p>
        </w:tc>
        <w:tc>
          <w:tcPr>
            <w:tcW w:w="0" w:type="auto"/>
            <w:tcBorders>
              <w:tl2br w:val="nil"/>
              <w:tr2bl w:val="nil"/>
            </w:tcBorders>
            <w:noWrap w:val="0"/>
            <w:vAlign w:val="center"/>
          </w:tcPr>
          <w:p w14:paraId="08E83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mg/kg</w:t>
            </w:r>
          </w:p>
        </w:tc>
        <w:tc>
          <w:tcPr>
            <w:tcW w:w="0" w:type="auto"/>
            <w:tcBorders>
              <w:tl2br w:val="nil"/>
              <w:tr2bl w:val="nil"/>
            </w:tcBorders>
            <w:noWrap w:val="0"/>
            <w:vAlign w:val="center"/>
          </w:tcPr>
          <w:p w14:paraId="1C0DC9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&lt; 0.1</w:t>
            </w:r>
          </w:p>
        </w:tc>
        <w:tc>
          <w:tcPr>
            <w:tcW w:w="0" w:type="auto"/>
            <w:tcBorders>
              <w:tl2br w:val="nil"/>
              <w:tr2bl w:val="nil"/>
            </w:tcBorders>
            <w:noWrap w:val="0"/>
            <w:vAlign w:val="center"/>
          </w:tcPr>
          <w:p w14:paraId="54B315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98CB9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达标</w:t>
            </w:r>
          </w:p>
        </w:tc>
        <w:tc>
          <w:tcPr>
            <w:tcW w:w="0" w:type="auto"/>
            <w:tcBorders>
              <w:tl2br w:val="nil"/>
              <w:tr2bl w:val="nil"/>
            </w:tcBorders>
            <w:noWrap w:val="0"/>
            <w:vAlign w:val="center"/>
          </w:tcPr>
          <w:p w14:paraId="31B63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A9098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5E3D23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762017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2BE9E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36B47B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sz w:val="21"/>
                <w:szCs w:val="21"/>
                <w:highlight w:val="none"/>
                <w:lang w:val="en-US" w:eastAsia="zh-CN"/>
              </w:rPr>
              <w:t>--</w:t>
            </w:r>
          </w:p>
        </w:tc>
        <w:tc>
          <w:tcPr>
            <w:tcW w:w="0" w:type="auto"/>
            <w:tcBorders>
              <w:tl2br w:val="nil"/>
              <w:tr2bl w:val="nil"/>
            </w:tcBorders>
            <w:noWrap w:val="0"/>
            <w:vAlign w:val="center"/>
          </w:tcPr>
          <w:p w14:paraId="4557E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宋体" w:eastAsia="宋体" w:cs="Times New Roman"/>
                <w:color w:val="auto"/>
                <w:sz w:val="21"/>
                <w:szCs w:val="21"/>
                <w:highlight w:val="none"/>
                <w:lang w:val="en-US" w:eastAsia="zh-CN"/>
              </w:rPr>
            </w:pPr>
            <w:r>
              <w:rPr>
                <w:rFonts w:hint="eastAsia" w:ascii="Times New Roman" w:hAnsi="宋体" w:eastAsia="宋体" w:cs="Times New Roman"/>
                <w:color w:val="auto"/>
                <w:sz w:val="21"/>
                <w:szCs w:val="21"/>
                <w:highlight w:val="none"/>
                <w:lang w:val="en-US" w:eastAsia="zh-CN"/>
              </w:rPr>
              <w:t>1.5</w:t>
            </w:r>
          </w:p>
        </w:tc>
      </w:tr>
    </w:tbl>
    <w:p w14:paraId="33B38058">
      <w:pPr>
        <w:ind w:firstLine="480"/>
        <w:rPr>
          <w:color w:val="auto"/>
          <w:highlight w:val="none"/>
        </w:rPr>
        <w:sectPr>
          <w:pgSz w:w="16838" w:h="11906" w:orient="landscape"/>
          <w:pgMar w:top="1701" w:right="1418" w:bottom="1418" w:left="1247" w:header="851" w:footer="680" w:gutter="0"/>
          <w:pgBorders>
            <w:top w:val="none" w:sz="0" w:space="0"/>
            <w:left w:val="none" w:sz="0" w:space="0"/>
            <w:bottom w:val="none" w:sz="0" w:space="0"/>
            <w:right w:val="none" w:sz="0" w:space="0"/>
          </w:pgBorders>
          <w:pgNumType w:fmt="decimal"/>
          <w:cols w:space="720" w:num="1"/>
          <w:docGrid w:linePitch="326" w:charSpace="0"/>
        </w:sectPr>
      </w:pPr>
    </w:p>
    <w:p w14:paraId="01A61640">
      <w:pPr>
        <w:ind w:firstLine="480"/>
        <w:rPr>
          <w:rFonts w:hint="eastAsia"/>
          <w:color w:val="auto"/>
          <w:highlight w:val="none"/>
        </w:rPr>
      </w:pPr>
      <w:r>
        <w:rPr>
          <w:rFonts w:hint="eastAsia"/>
          <w:color w:val="auto"/>
          <w:highlight w:val="none"/>
        </w:rPr>
        <w:t>由上表</w:t>
      </w:r>
      <w:r>
        <w:rPr>
          <w:rFonts w:hint="eastAsia"/>
          <w:color w:val="auto"/>
          <w:highlight w:val="none"/>
          <w:lang w:val="en-US" w:eastAsia="zh-CN"/>
        </w:rPr>
        <w:t>4.3-10可知，各</w:t>
      </w:r>
      <w:r>
        <w:rPr>
          <w:rFonts w:hint="eastAsia"/>
          <w:color w:val="auto"/>
          <w:highlight w:val="none"/>
        </w:rPr>
        <w:t>土壤环境</w:t>
      </w:r>
      <w:r>
        <w:rPr>
          <w:rFonts w:hint="eastAsia"/>
          <w:color w:val="auto"/>
          <w:highlight w:val="none"/>
          <w:lang w:val="en-US" w:eastAsia="zh-CN"/>
        </w:rPr>
        <w:t>质量</w:t>
      </w:r>
      <w:r>
        <w:rPr>
          <w:rFonts w:hint="eastAsia"/>
          <w:color w:val="auto"/>
          <w:highlight w:val="none"/>
        </w:rPr>
        <w:t>监测点监测值均满足《土壤环境质量标准—建设用地土壤污染风险管控标准》（GB36600-2018）表1筛选值第二类用地标准要求，</w:t>
      </w:r>
      <w:r>
        <w:rPr>
          <w:rFonts w:hint="eastAsia"/>
          <w:color w:val="auto"/>
          <w:highlight w:val="none"/>
          <w:lang w:val="en-US" w:eastAsia="zh-CN"/>
        </w:rPr>
        <w:t>故本</w:t>
      </w:r>
      <w:r>
        <w:rPr>
          <w:rFonts w:hint="eastAsia"/>
          <w:color w:val="auto"/>
          <w:highlight w:val="none"/>
        </w:rPr>
        <w:t>项目所在</w:t>
      </w:r>
      <w:r>
        <w:rPr>
          <w:rFonts w:hint="eastAsia"/>
          <w:color w:val="auto"/>
          <w:highlight w:val="none"/>
          <w:lang w:val="en-US" w:eastAsia="zh-CN"/>
        </w:rPr>
        <w:t>场地</w:t>
      </w:r>
      <w:r>
        <w:rPr>
          <w:rFonts w:hint="eastAsia"/>
          <w:color w:val="auto"/>
          <w:highlight w:val="none"/>
        </w:rPr>
        <w:t>土壤环境质量良好。</w:t>
      </w:r>
    </w:p>
    <w:p w14:paraId="1BC181FB">
      <w:pPr>
        <w:pStyle w:val="5"/>
        <w:rPr>
          <w:color w:val="auto"/>
          <w:highlight w:val="none"/>
        </w:rPr>
      </w:pPr>
      <w:bookmarkStart w:id="136" w:name="_Toc24447128"/>
      <w:r>
        <w:rPr>
          <w:rFonts w:hint="eastAsia"/>
          <w:color w:val="auto"/>
          <w:highlight w:val="none"/>
        </w:rPr>
        <w:t>声环境质量现状监测与评价</w:t>
      </w:r>
      <w:bookmarkEnd w:id="136"/>
    </w:p>
    <w:p w14:paraId="700C16C4">
      <w:pPr>
        <w:ind w:firstLine="480"/>
        <w:rPr>
          <w:rFonts w:hint="eastAsia" w:hAnsi="宋体" w:eastAsia="宋体"/>
          <w:color w:val="auto"/>
          <w:highlight w:val="none"/>
        </w:rPr>
      </w:pPr>
      <w:r>
        <w:rPr>
          <w:rFonts w:hint="eastAsia" w:hAnsi="宋体" w:eastAsia="宋体"/>
          <w:color w:val="auto"/>
          <w:highlight w:val="none"/>
        </w:rPr>
        <w:t>本项目声环境质量现状</w:t>
      </w:r>
      <w:r>
        <w:rPr>
          <w:rFonts w:hint="eastAsia" w:hAnsi="宋体" w:eastAsia="宋体"/>
          <w:color w:val="auto"/>
          <w:highlight w:val="none"/>
          <w:lang w:val="en-US" w:eastAsia="zh-CN"/>
        </w:rPr>
        <w:t>委托</w:t>
      </w:r>
      <w:r>
        <w:rPr>
          <w:rFonts w:hint="eastAsia"/>
          <w:color w:val="auto"/>
          <w:highlight w:val="none"/>
          <w:lang w:val="en-US" w:eastAsia="zh-CN"/>
        </w:rPr>
        <w:t>内蒙古奥博森环保科技服务有限公司，</w:t>
      </w:r>
      <w:r>
        <w:rPr>
          <w:rFonts w:hint="eastAsia" w:hAnsi="宋体" w:eastAsia="宋体"/>
          <w:color w:val="auto"/>
          <w:highlight w:val="none"/>
        </w:rPr>
        <w:t>于202</w:t>
      </w:r>
      <w:r>
        <w:rPr>
          <w:rFonts w:hint="eastAsia" w:hAnsi="宋体" w:eastAsia="宋体"/>
          <w:color w:val="auto"/>
          <w:highlight w:val="none"/>
          <w:lang w:val="en-US" w:eastAsia="zh-CN"/>
        </w:rPr>
        <w:t>4</w:t>
      </w:r>
      <w:r>
        <w:rPr>
          <w:rFonts w:hint="eastAsia" w:hAnsi="宋体" w:eastAsia="宋体"/>
          <w:color w:val="auto"/>
          <w:highlight w:val="none"/>
        </w:rPr>
        <w:t>年</w:t>
      </w:r>
      <w:r>
        <w:rPr>
          <w:rFonts w:hint="eastAsia" w:hAnsi="宋体" w:eastAsia="宋体"/>
          <w:color w:val="auto"/>
          <w:highlight w:val="none"/>
          <w:lang w:val="en-US" w:eastAsia="zh-CN"/>
        </w:rPr>
        <w:t>6</w:t>
      </w:r>
      <w:r>
        <w:rPr>
          <w:rFonts w:hint="eastAsia" w:hAnsi="宋体" w:eastAsia="宋体"/>
          <w:color w:val="auto"/>
          <w:highlight w:val="none"/>
        </w:rPr>
        <w:t>月</w:t>
      </w:r>
      <w:r>
        <w:rPr>
          <w:rFonts w:hint="eastAsia" w:hAnsi="宋体" w:eastAsia="宋体"/>
          <w:color w:val="auto"/>
          <w:highlight w:val="none"/>
          <w:lang w:val="en-US" w:eastAsia="zh-CN"/>
        </w:rPr>
        <w:t>20</w:t>
      </w:r>
      <w:r>
        <w:rPr>
          <w:rFonts w:hint="eastAsia" w:hAnsi="宋体" w:eastAsia="宋体"/>
          <w:color w:val="auto"/>
          <w:highlight w:val="none"/>
        </w:rPr>
        <w:t>日</w:t>
      </w:r>
      <w:r>
        <w:rPr>
          <w:rFonts w:hint="eastAsia" w:hAnsi="宋体" w:eastAsia="宋体"/>
          <w:color w:val="auto"/>
          <w:highlight w:val="none"/>
          <w:lang w:val="en-US" w:eastAsia="zh-CN"/>
        </w:rPr>
        <w:t>至</w:t>
      </w:r>
      <w:r>
        <w:rPr>
          <w:rFonts w:hint="eastAsia" w:hAnsi="宋体" w:eastAsia="宋体"/>
          <w:color w:val="auto"/>
          <w:highlight w:val="none"/>
        </w:rPr>
        <w:t>202</w:t>
      </w:r>
      <w:r>
        <w:rPr>
          <w:rFonts w:hint="eastAsia" w:hAnsi="宋体" w:eastAsia="宋体"/>
          <w:color w:val="auto"/>
          <w:highlight w:val="none"/>
          <w:lang w:val="en-US" w:eastAsia="zh-CN"/>
        </w:rPr>
        <w:t>4</w:t>
      </w:r>
      <w:r>
        <w:rPr>
          <w:rFonts w:hint="eastAsia" w:hAnsi="宋体" w:eastAsia="宋体"/>
          <w:color w:val="auto"/>
          <w:highlight w:val="none"/>
        </w:rPr>
        <w:t>年</w:t>
      </w:r>
      <w:r>
        <w:rPr>
          <w:rFonts w:hint="eastAsia" w:hAnsi="宋体" w:eastAsia="宋体"/>
          <w:color w:val="auto"/>
          <w:highlight w:val="none"/>
          <w:lang w:val="en-US" w:eastAsia="zh-CN"/>
        </w:rPr>
        <w:t>6</w:t>
      </w:r>
      <w:r>
        <w:rPr>
          <w:rFonts w:hint="eastAsia" w:hAnsi="宋体" w:eastAsia="宋体"/>
          <w:color w:val="auto"/>
          <w:highlight w:val="none"/>
        </w:rPr>
        <w:t>月</w:t>
      </w:r>
      <w:r>
        <w:rPr>
          <w:rFonts w:hint="eastAsia" w:hAnsi="宋体" w:eastAsia="宋体"/>
          <w:color w:val="auto"/>
          <w:highlight w:val="none"/>
          <w:lang w:val="en-US" w:eastAsia="zh-CN"/>
        </w:rPr>
        <w:t>21</w:t>
      </w:r>
      <w:r>
        <w:rPr>
          <w:rFonts w:hint="eastAsia" w:hAnsi="宋体" w:eastAsia="宋体"/>
          <w:color w:val="auto"/>
          <w:highlight w:val="none"/>
        </w:rPr>
        <w:t>日连续监测两天。</w:t>
      </w:r>
    </w:p>
    <w:p w14:paraId="29453F78">
      <w:pPr>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）监测项目</w:t>
      </w:r>
    </w:p>
    <w:p w14:paraId="232582DB">
      <w:pPr>
        <w:ind w:firstLine="480"/>
        <w:rPr>
          <w:color w:val="auto"/>
          <w:highlight w:val="none"/>
        </w:rPr>
      </w:pPr>
      <w:r>
        <w:rPr>
          <w:rFonts w:hint="eastAsia"/>
          <w:color w:val="auto"/>
          <w:highlight w:val="none"/>
        </w:rPr>
        <w:t>声环境质量现状监测因子：</w:t>
      </w:r>
      <w:r>
        <w:rPr>
          <w:color w:val="auto"/>
          <w:highlight w:val="none"/>
        </w:rPr>
        <w:t xml:space="preserve">Leq(A) </w:t>
      </w:r>
      <w:r>
        <w:rPr>
          <w:rFonts w:hint="eastAsia"/>
          <w:color w:val="auto"/>
          <w:highlight w:val="none"/>
        </w:rPr>
        <w:t>。</w:t>
      </w:r>
    </w:p>
    <w:p w14:paraId="33EDF386">
      <w:pPr>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）监测点位</w:t>
      </w:r>
    </w:p>
    <w:p w14:paraId="11FF835C">
      <w:pPr>
        <w:ind w:firstLine="480"/>
        <w:rPr>
          <w:color w:val="auto"/>
          <w:highlight w:val="none"/>
        </w:rPr>
      </w:pPr>
      <w:r>
        <w:rPr>
          <w:rFonts w:hint="eastAsia"/>
          <w:color w:val="auto"/>
          <w:highlight w:val="none"/>
        </w:rPr>
        <w:t>声环境现状监测在厂区东、南、西、北厂界外</w:t>
      </w:r>
      <w:r>
        <w:rPr>
          <w:color w:val="auto"/>
          <w:highlight w:val="none"/>
        </w:rPr>
        <w:t>1m</w:t>
      </w:r>
      <w:r>
        <w:rPr>
          <w:rFonts w:hint="eastAsia"/>
          <w:color w:val="auto"/>
          <w:highlight w:val="none"/>
        </w:rPr>
        <w:t>处。</w:t>
      </w:r>
    </w:p>
    <w:p w14:paraId="69E55119">
      <w:pPr>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）监测时间及频率</w:t>
      </w:r>
    </w:p>
    <w:p w14:paraId="41B80D70">
      <w:pPr>
        <w:ind w:firstLine="480"/>
        <w:rPr>
          <w:bCs/>
          <w:color w:val="auto"/>
          <w:highlight w:val="none"/>
        </w:rPr>
      </w:pPr>
      <w:r>
        <w:rPr>
          <w:color w:val="auto"/>
          <w:highlight w:val="none"/>
        </w:rPr>
        <w:t>监测时间选择昼间（6：00～22：00）和夜间（22：00～6：00）两个时段分别测</w:t>
      </w:r>
      <w:r>
        <w:rPr>
          <w:rFonts w:hint="eastAsia"/>
          <w:color w:val="auto"/>
          <w:highlight w:val="none"/>
        </w:rPr>
        <w:t>2</w:t>
      </w:r>
      <w:r>
        <w:rPr>
          <w:color w:val="auto"/>
          <w:highlight w:val="none"/>
        </w:rPr>
        <w:t>天，每次测量10分钟的连续等效A声级</w:t>
      </w:r>
      <w:r>
        <w:rPr>
          <w:bCs/>
          <w:color w:val="auto"/>
          <w:highlight w:val="none"/>
        </w:rPr>
        <w:t>。</w:t>
      </w:r>
    </w:p>
    <w:p w14:paraId="38AEBF85">
      <w:pPr>
        <w:ind w:firstLine="480"/>
        <w:rPr>
          <w:color w:val="auto"/>
          <w:highlight w:val="none"/>
        </w:rPr>
      </w:pPr>
      <w:r>
        <w:rPr>
          <w:rFonts w:hint="eastAsia"/>
          <w:color w:val="auto"/>
          <w:highlight w:val="none"/>
        </w:rPr>
        <w:t>（</w:t>
      </w:r>
      <w:r>
        <w:rPr>
          <w:color w:val="auto"/>
          <w:highlight w:val="none"/>
        </w:rPr>
        <w:t>4</w:t>
      </w:r>
      <w:r>
        <w:rPr>
          <w:rFonts w:hint="eastAsia"/>
          <w:color w:val="auto"/>
          <w:highlight w:val="none"/>
        </w:rPr>
        <w:t>）评价标准</w:t>
      </w:r>
    </w:p>
    <w:p w14:paraId="56492FFD">
      <w:pPr>
        <w:ind w:firstLine="480"/>
        <w:rPr>
          <w:color w:val="auto"/>
          <w:highlight w:val="none"/>
        </w:rPr>
      </w:pPr>
      <w:r>
        <w:rPr>
          <w:rFonts w:hint="eastAsia"/>
          <w:color w:val="auto"/>
          <w:highlight w:val="none"/>
        </w:rPr>
        <w:t>本次工程周围声环境执行《声环境质量标准》（</w:t>
      </w:r>
      <w:r>
        <w:rPr>
          <w:color w:val="auto"/>
          <w:highlight w:val="none"/>
        </w:rPr>
        <w:t>GB3096-2008</w:t>
      </w:r>
      <w:r>
        <w:rPr>
          <w:rFonts w:hint="eastAsia"/>
          <w:color w:val="auto"/>
          <w:highlight w:val="none"/>
        </w:rPr>
        <w:t>）</w:t>
      </w:r>
      <w:r>
        <w:rPr>
          <w:color w:val="auto"/>
          <w:highlight w:val="none"/>
        </w:rPr>
        <w:t>3</w:t>
      </w:r>
      <w:r>
        <w:rPr>
          <w:rFonts w:hint="eastAsia"/>
          <w:color w:val="auto"/>
          <w:highlight w:val="none"/>
        </w:rPr>
        <w:t>类标准的要求：昼间：</w:t>
      </w:r>
      <w:r>
        <w:rPr>
          <w:color w:val="auto"/>
          <w:highlight w:val="none"/>
        </w:rPr>
        <w:t>65Leq</w:t>
      </w:r>
      <w:r>
        <w:rPr>
          <w:rFonts w:hint="eastAsia"/>
          <w:color w:val="auto"/>
          <w:highlight w:val="none"/>
        </w:rPr>
        <w:t>［</w:t>
      </w:r>
      <w:r>
        <w:rPr>
          <w:color w:val="auto"/>
          <w:highlight w:val="none"/>
        </w:rPr>
        <w:t>dB</w:t>
      </w:r>
      <w:r>
        <w:rPr>
          <w:rFonts w:hint="eastAsia"/>
          <w:color w:val="auto"/>
          <w:highlight w:val="none"/>
        </w:rPr>
        <w:t>（</w:t>
      </w:r>
      <w:r>
        <w:rPr>
          <w:color w:val="auto"/>
          <w:highlight w:val="none"/>
        </w:rPr>
        <w:t>A</w:t>
      </w:r>
      <w:r>
        <w:rPr>
          <w:rFonts w:hint="eastAsia"/>
          <w:color w:val="auto"/>
          <w:highlight w:val="none"/>
        </w:rPr>
        <w:t>）］；夜间：</w:t>
      </w:r>
      <w:r>
        <w:rPr>
          <w:color w:val="auto"/>
          <w:highlight w:val="none"/>
        </w:rPr>
        <w:t>55Leq</w:t>
      </w:r>
      <w:r>
        <w:rPr>
          <w:rFonts w:hint="eastAsia"/>
          <w:color w:val="auto"/>
          <w:highlight w:val="none"/>
        </w:rPr>
        <w:t>［</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14:paraId="325E86DA">
      <w:pPr>
        <w:ind w:firstLine="480"/>
        <w:rPr>
          <w:color w:val="auto"/>
          <w:highlight w:val="none"/>
        </w:rPr>
      </w:pPr>
      <w:r>
        <w:rPr>
          <w:rFonts w:hint="eastAsia"/>
          <w:color w:val="auto"/>
          <w:highlight w:val="none"/>
        </w:rPr>
        <w:t>（</w:t>
      </w:r>
      <w:r>
        <w:rPr>
          <w:color w:val="auto"/>
          <w:highlight w:val="none"/>
        </w:rPr>
        <w:t>5</w:t>
      </w:r>
      <w:r>
        <w:rPr>
          <w:rFonts w:hint="eastAsia"/>
          <w:color w:val="auto"/>
          <w:highlight w:val="none"/>
        </w:rPr>
        <w:t>）监测结果及评价</w:t>
      </w:r>
    </w:p>
    <w:p w14:paraId="5CFBBA3F">
      <w:pPr>
        <w:ind w:firstLine="480"/>
        <w:rPr>
          <w:color w:val="auto"/>
          <w:highlight w:val="none"/>
        </w:rPr>
      </w:pPr>
      <w:r>
        <w:rPr>
          <w:rFonts w:hint="eastAsia"/>
          <w:color w:val="auto"/>
          <w:highlight w:val="none"/>
          <w:lang w:val="en-US" w:eastAsia="zh-CN"/>
        </w:rPr>
        <w:t>本项目</w:t>
      </w:r>
      <w:r>
        <w:rPr>
          <w:rFonts w:hint="eastAsia"/>
          <w:color w:val="auto"/>
          <w:highlight w:val="none"/>
        </w:rPr>
        <w:t>声环境现状各监测点的实测结果见表</w:t>
      </w:r>
      <w:r>
        <w:rPr>
          <w:color w:val="auto"/>
          <w:highlight w:val="none"/>
        </w:rPr>
        <w:t>4.3</w:t>
      </w:r>
      <w:r>
        <w:rPr>
          <w:rFonts w:hint="eastAsia"/>
          <w:color w:val="auto"/>
          <w:highlight w:val="none"/>
          <w:lang w:val="en-US" w:eastAsia="zh-CN"/>
        </w:rPr>
        <w:t>-11</w:t>
      </w:r>
      <w:r>
        <w:rPr>
          <w:rFonts w:hint="eastAsia"/>
          <w:color w:val="auto"/>
          <w:highlight w:val="none"/>
        </w:rPr>
        <w:t>。</w:t>
      </w:r>
    </w:p>
    <w:p w14:paraId="20D05501">
      <w:pPr>
        <w:pStyle w:val="199"/>
        <w:spacing w:before="120"/>
        <w:rPr>
          <w:color w:val="auto"/>
          <w:sz w:val="24"/>
          <w:highlight w:val="none"/>
        </w:rPr>
      </w:pPr>
      <w:r>
        <w:rPr>
          <w:rFonts w:hint="eastAsia"/>
          <w:color w:val="auto"/>
          <w:sz w:val="24"/>
          <w:highlight w:val="none"/>
        </w:rPr>
        <w:t>表</w:t>
      </w:r>
      <w:r>
        <w:rPr>
          <w:color w:val="auto"/>
          <w:sz w:val="24"/>
          <w:highlight w:val="none"/>
        </w:rPr>
        <w:t>4.</w:t>
      </w:r>
      <w:r>
        <w:rPr>
          <w:rFonts w:hint="eastAsia"/>
          <w:color w:val="auto"/>
          <w:sz w:val="24"/>
          <w:highlight w:val="none"/>
        </w:rPr>
        <w:t>3</w:t>
      </w:r>
      <w:r>
        <w:rPr>
          <w:color w:val="auto"/>
          <w:sz w:val="24"/>
          <w:highlight w:val="none"/>
        </w:rPr>
        <w:t>-1</w:t>
      </w:r>
      <w:r>
        <w:rPr>
          <w:rFonts w:hint="eastAsia"/>
          <w:color w:val="auto"/>
          <w:sz w:val="24"/>
          <w:highlight w:val="none"/>
          <w:lang w:val="en-US" w:eastAsia="zh-CN"/>
        </w:rPr>
        <w:t>1</w:t>
      </w:r>
      <w:r>
        <w:rPr>
          <w:color w:val="auto"/>
          <w:sz w:val="24"/>
          <w:highlight w:val="none"/>
        </w:rPr>
        <w:t xml:space="preserve">  </w:t>
      </w:r>
      <w:r>
        <w:rPr>
          <w:rFonts w:hint="eastAsia"/>
          <w:color w:val="auto"/>
          <w:sz w:val="24"/>
          <w:highlight w:val="none"/>
          <w:lang w:val="en-US" w:eastAsia="zh-CN"/>
        </w:rPr>
        <w:t>声环境质量现状</w:t>
      </w:r>
      <w:r>
        <w:rPr>
          <w:rFonts w:hint="eastAsia"/>
          <w:color w:val="auto"/>
          <w:sz w:val="24"/>
          <w:highlight w:val="none"/>
        </w:rPr>
        <w:t>监测结果表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3"/>
        <w:gridCol w:w="1493"/>
        <w:gridCol w:w="1689"/>
        <w:gridCol w:w="1689"/>
        <w:gridCol w:w="1689"/>
        <w:gridCol w:w="1690"/>
      </w:tblGrid>
      <w:tr w14:paraId="50C353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restart"/>
            <w:noWrap w:val="0"/>
            <w:vAlign w:val="center"/>
          </w:tcPr>
          <w:p w14:paraId="0F2A2C93">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编号</w:t>
            </w:r>
          </w:p>
        </w:tc>
        <w:tc>
          <w:tcPr>
            <w:tcW w:w="829" w:type="pct"/>
            <w:vMerge w:val="restart"/>
            <w:noWrap w:val="0"/>
            <w:vAlign w:val="center"/>
          </w:tcPr>
          <w:p w14:paraId="14D3A5D0">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检测点位置</w:t>
            </w:r>
          </w:p>
        </w:tc>
        <w:tc>
          <w:tcPr>
            <w:tcW w:w="1876" w:type="pct"/>
            <w:gridSpan w:val="2"/>
            <w:noWrap w:val="0"/>
            <w:vAlign w:val="center"/>
          </w:tcPr>
          <w:p w14:paraId="065F87EF">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昼间Leq dB(A)</w:t>
            </w:r>
          </w:p>
        </w:tc>
        <w:tc>
          <w:tcPr>
            <w:tcW w:w="1876" w:type="pct"/>
            <w:gridSpan w:val="2"/>
            <w:noWrap w:val="0"/>
            <w:vAlign w:val="center"/>
          </w:tcPr>
          <w:p w14:paraId="1DD12141">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夜间Leq dB(A)</w:t>
            </w:r>
          </w:p>
        </w:tc>
      </w:tr>
      <w:tr w14:paraId="090841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noWrap w:val="0"/>
            <w:vAlign w:val="center"/>
          </w:tcPr>
          <w:p w14:paraId="751E3951">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p>
        </w:tc>
        <w:tc>
          <w:tcPr>
            <w:tcW w:w="829" w:type="pct"/>
            <w:vMerge w:val="continue"/>
            <w:noWrap w:val="0"/>
            <w:vAlign w:val="center"/>
          </w:tcPr>
          <w:p w14:paraId="69A31233">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p>
        </w:tc>
        <w:tc>
          <w:tcPr>
            <w:tcW w:w="938" w:type="pct"/>
            <w:noWrap w:val="0"/>
            <w:vAlign w:val="center"/>
          </w:tcPr>
          <w:p w14:paraId="212C1347">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20</w:t>
            </w:r>
            <w:r>
              <w:rPr>
                <w:rFonts w:hint="eastAsia"/>
                <w:color w:val="auto"/>
                <w:highlight w:val="none"/>
              </w:rPr>
              <w:t>日</w:t>
            </w:r>
          </w:p>
        </w:tc>
        <w:tc>
          <w:tcPr>
            <w:tcW w:w="938" w:type="pct"/>
            <w:noWrap w:val="0"/>
            <w:vAlign w:val="center"/>
          </w:tcPr>
          <w:p w14:paraId="70F0CA50">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21</w:t>
            </w:r>
            <w:r>
              <w:rPr>
                <w:rFonts w:hint="eastAsia"/>
                <w:color w:val="auto"/>
                <w:highlight w:val="none"/>
              </w:rPr>
              <w:t>日</w:t>
            </w:r>
          </w:p>
        </w:tc>
        <w:tc>
          <w:tcPr>
            <w:tcW w:w="938" w:type="pct"/>
            <w:noWrap w:val="0"/>
            <w:vAlign w:val="center"/>
          </w:tcPr>
          <w:p w14:paraId="43976F2B">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20</w:t>
            </w:r>
            <w:r>
              <w:rPr>
                <w:rFonts w:hint="eastAsia"/>
                <w:color w:val="auto"/>
                <w:highlight w:val="none"/>
              </w:rPr>
              <w:t>日</w:t>
            </w:r>
          </w:p>
        </w:tc>
        <w:tc>
          <w:tcPr>
            <w:tcW w:w="938" w:type="pct"/>
            <w:noWrap w:val="0"/>
            <w:vAlign w:val="center"/>
          </w:tcPr>
          <w:p w14:paraId="55D22A11">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21</w:t>
            </w:r>
            <w:r>
              <w:rPr>
                <w:rFonts w:hint="eastAsia"/>
                <w:color w:val="auto"/>
                <w:highlight w:val="none"/>
              </w:rPr>
              <w:t>日</w:t>
            </w:r>
          </w:p>
        </w:tc>
      </w:tr>
      <w:tr w14:paraId="59F66A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noWrap w:val="0"/>
            <w:vAlign w:val="center"/>
          </w:tcPr>
          <w:p w14:paraId="3415C0DA">
            <w:pPr>
              <w:pStyle w:val="245"/>
              <w:keepNext w:val="0"/>
              <w:keepLines w:val="0"/>
              <w:pageBreakBefore w:val="0"/>
              <w:widowControl w:val="0"/>
              <w:kinsoku/>
              <w:wordWrap/>
              <w:overflowPunct/>
              <w:autoSpaceDN/>
              <w:bidi w:val="0"/>
              <w:adjustRightInd/>
              <w:snapToGrid/>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N1</w:t>
            </w:r>
          </w:p>
        </w:tc>
        <w:tc>
          <w:tcPr>
            <w:tcW w:w="829" w:type="pct"/>
            <w:noWrap w:val="0"/>
            <w:vAlign w:val="center"/>
          </w:tcPr>
          <w:p w14:paraId="12D43FD2">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kern w:val="0"/>
                <w:highlight w:val="none"/>
              </w:rPr>
              <w:t>厂址</w:t>
            </w:r>
            <w:r>
              <w:rPr>
                <w:rFonts w:hint="eastAsia"/>
                <w:color w:val="auto"/>
                <w:kern w:val="0"/>
                <w:highlight w:val="none"/>
              </w:rPr>
              <w:t>东</w:t>
            </w:r>
            <w:r>
              <w:rPr>
                <w:color w:val="auto"/>
                <w:kern w:val="0"/>
                <w:highlight w:val="none"/>
              </w:rPr>
              <w:t>侧</w:t>
            </w:r>
          </w:p>
        </w:tc>
        <w:tc>
          <w:tcPr>
            <w:tcW w:w="938" w:type="pct"/>
            <w:noWrap w:val="0"/>
            <w:vAlign w:val="center"/>
          </w:tcPr>
          <w:p w14:paraId="0ED31D05">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52</w:t>
            </w:r>
          </w:p>
        </w:tc>
        <w:tc>
          <w:tcPr>
            <w:tcW w:w="938" w:type="pct"/>
            <w:noWrap w:val="0"/>
            <w:vAlign w:val="center"/>
          </w:tcPr>
          <w:p w14:paraId="252B7A85">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50</w:t>
            </w:r>
          </w:p>
        </w:tc>
        <w:tc>
          <w:tcPr>
            <w:tcW w:w="938" w:type="pct"/>
            <w:noWrap w:val="0"/>
            <w:vAlign w:val="center"/>
          </w:tcPr>
          <w:p w14:paraId="6F7CA3E4">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41</w:t>
            </w:r>
          </w:p>
        </w:tc>
        <w:tc>
          <w:tcPr>
            <w:tcW w:w="938" w:type="pct"/>
            <w:noWrap w:val="0"/>
            <w:vAlign w:val="center"/>
          </w:tcPr>
          <w:p w14:paraId="0D933BC8">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40</w:t>
            </w:r>
          </w:p>
        </w:tc>
      </w:tr>
      <w:tr w14:paraId="570128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noWrap w:val="0"/>
            <w:vAlign w:val="center"/>
          </w:tcPr>
          <w:p w14:paraId="796950BF">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lang w:val="en-US" w:eastAsia="zh-CN"/>
              </w:rPr>
              <w:t>N2</w:t>
            </w:r>
          </w:p>
        </w:tc>
        <w:tc>
          <w:tcPr>
            <w:tcW w:w="829" w:type="pct"/>
            <w:noWrap w:val="0"/>
            <w:vAlign w:val="center"/>
          </w:tcPr>
          <w:p w14:paraId="5B20BBFF">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厂址</w:t>
            </w:r>
            <w:r>
              <w:rPr>
                <w:rFonts w:hint="eastAsia"/>
                <w:color w:val="auto"/>
                <w:highlight w:val="none"/>
              </w:rPr>
              <w:t>南</w:t>
            </w:r>
            <w:r>
              <w:rPr>
                <w:color w:val="auto"/>
                <w:highlight w:val="none"/>
              </w:rPr>
              <w:t>侧</w:t>
            </w:r>
          </w:p>
        </w:tc>
        <w:tc>
          <w:tcPr>
            <w:tcW w:w="938" w:type="pct"/>
            <w:noWrap w:val="0"/>
            <w:vAlign w:val="center"/>
          </w:tcPr>
          <w:p w14:paraId="4A4D350A">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52</w:t>
            </w:r>
          </w:p>
        </w:tc>
        <w:tc>
          <w:tcPr>
            <w:tcW w:w="938" w:type="pct"/>
            <w:noWrap w:val="0"/>
            <w:vAlign w:val="center"/>
          </w:tcPr>
          <w:p w14:paraId="237E6AEC">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50</w:t>
            </w:r>
          </w:p>
        </w:tc>
        <w:tc>
          <w:tcPr>
            <w:tcW w:w="938" w:type="pct"/>
            <w:noWrap w:val="0"/>
            <w:vAlign w:val="center"/>
          </w:tcPr>
          <w:p w14:paraId="78D935F0">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43</w:t>
            </w:r>
          </w:p>
        </w:tc>
        <w:tc>
          <w:tcPr>
            <w:tcW w:w="938" w:type="pct"/>
            <w:noWrap w:val="0"/>
            <w:vAlign w:val="center"/>
          </w:tcPr>
          <w:p w14:paraId="0641D65E">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41</w:t>
            </w:r>
          </w:p>
        </w:tc>
      </w:tr>
      <w:tr w14:paraId="12B027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noWrap w:val="0"/>
            <w:vAlign w:val="center"/>
          </w:tcPr>
          <w:p w14:paraId="5D450EDF">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lang w:val="en-US" w:eastAsia="zh-CN"/>
              </w:rPr>
              <w:t>N3</w:t>
            </w:r>
          </w:p>
        </w:tc>
        <w:tc>
          <w:tcPr>
            <w:tcW w:w="829" w:type="pct"/>
            <w:noWrap w:val="0"/>
            <w:vAlign w:val="center"/>
          </w:tcPr>
          <w:p w14:paraId="433AFAB4">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厂址</w:t>
            </w:r>
            <w:r>
              <w:rPr>
                <w:rFonts w:hint="eastAsia"/>
                <w:color w:val="auto"/>
                <w:highlight w:val="none"/>
              </w:rPr>
              <w:t>西</w:t>
            </w:r>
            <w:r>
              <w:rPr>
                <w:color w:val="auto"/>
                <w:highlight w:val="none"/>
              </w:rPr>
              <w:t>侧</w:t>
            </w:r>
          </w:p>
        </w:tc>
        <w:tc>
          <w:tcPr>
            <w:tcW w:w="938" w:type="pct"/>
            <w:noWrap w:val="0"/>
            <w:vAlign w:val="center"/>
          </w:tcPr>
          <w:p w14:paraId="78531811">
            <w:pPr>
              <w:keepNext w:val="0"/>
              <w:keepLines w:val="0"/>
              <w:pageBreakBefore w:val="0"/>
              <w:widowControl w:val="0"/>
              <w:kinsoku/>
              <w:wordWrap/>
              <w:overflowPunct/>
              <w:autoSpaceDN/>
              <w:bidi w:val="0"/>
              <w:adjustRightInd/>
              <w:snapToGrid/>
              <w:spacing w:line="240" w:lineRule="auto"/>
              <w:ind w:firstLine="0" w:firstLineChars="0"/>
              <w:jc w:val="center"/>
              <w:rPr>
                <w:color w:val="auto"/>
                <w:szCs w:val="21"/>
                <w:highlight w:val="none"/>
              </w:rPr>
            </w:pPr>
            <w:r>
              <w:rPr>
                <w:rFonts w:hint="eastAsia" w:ascii="Times New Roman" w:hAnsi="Times New Roman" w:eastAsia="宋体" w:cs="Times New Roman"/>
                <w:b w:val="0"/>
                <w:bCs/>
                <w:color w:val="auto"/>
                <w:sz w:val="21"/>
                <w:szCs w:val="21"/>
                <w:highlight w:val="none"/>
                <w:lang w:val="en-US" w:eastAsia="zh-CN"/>
              </w:rPr>
              <w:t>53</w:t>
            </w:r>
          </w:p>
        </w:tc>
        <w:tc>
          <w:tcPr>
            <w:tcW w:w="938" w:type="pct"/>
            <w:noWrap w:val="0"/>
            <w:vAlign w:val="center"/>
          </w:tcPr>
          <w:p w14:paraId="5F52737E">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51</w:t>
            </w:r>
          </w:p>
        </w:tc>
        <w:tc>
          <w:tcPr>
            <w:tcW w:w="938" w:type="pct"/>
            <w:noWrap w:val="0"/>
            <w:vAlign w:val="center"/>
          </w:tcPr>
          <w:p w14:paraId="5205AFFA">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43</w:t>
            </w:r>
          </w:p>
        </w:tc>
        <w:tc>
          <w:tcPr>
            <w:tcW w:w="938" w:type="pct"/>
            <w:noWrap w:val="0"/>
            <w:vAlign w:val="center"/>
          </w:tcPr>
          <w:p w14:paraId="5802B9BD">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43</w:t>
            </w:r>
          </w:p>
        </w:tc>
      </w:tr>
      <w:tr w14:paraId="562785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noWrap w:val="0"/>
            <w:vAlign w:val="center"/>
          </w:tcPr>
          <w:p w14:paraId="598784AD">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lang w:val="en-US" w:eastAsia="zh-CN"/>
              </w:rPr>
              <w:t>N4</w:t>
            </w:r>
          </w:p>
        </w:tc>
        <w:tc>
          <w:tcPr>
            <w:tcW w:w="829" w:type="pct"/>
            <w:noWrap w:val="0"/>
            <w:vAlign w:val="center"/>
          </w:tcPr>
          <w:p w14:paraId="19188816">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厂址</w:t>
            </w:r>
            <w:r>
              <w:rPr>
                <w:rFonts w:hint="eastAsia"/>
                <w:color w:val="auto"/>
                <w:highlight w:val="none"/>
              </w:rPr>
              <w:t>北</w:t>
            </w:r>
            <w:r>
              <w:rPr>
                <w:color w:val="auto"/>
                <w:highlight w:val="none"/>
              </w:rPr>
              <w:t>侧</w:t>
            </w:r>
          </w:p>
        </w:tc>
        <w:tc>
          <w:tcPr>
            <w:tcW w:w="938" w:type="pct"/>
            <w:noWrap w:val="0"/>
            <w:vAlign w:val="center"/>
          </w:tcPr>
          <w:p w14:paraId="5E5F3643">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52</w:t>
            </w:r>
          </w:p>
        </w:tc>
        <w:tc>
          <w:tcPr>
            <w:tcW w:w="938" w:type="pct"/>
            <w:noWrap w:val="0"/>
            <w:vAlign w:val="center"/>
          </w:tcPr>
          <w:p w14:paraId="70FD0DD6">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52</w:t>
            </w:r>
          </w:p>
        </w:tc>
        <w:tc>
          <w:tcPr>
            <w:tcW w:w="938" w:type="pct"/>
            <w:noWrap w:val="0"/>
            <w:vAlign w:val="center"/>
          </w:tcPr>
          <w:p w14:paraId="657A85C4">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43</w:t>
            </w:r>
          </w:p>
        </w:tc>
        <w:tc>
          <w:tcPr>
            <w:tcW w:w="938" w:type="pct"/>
            <w:noWrap w:val="0"/>
            <w:vAlign w:val="center"/>
          </w:tcPr>
          <w:p w14:paraId="1CDF0674">
            <w:pPr>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ascii="Times New Roman" w:hAnsi="Times New Roman" w:eastAsia="宋体" w:cs="Times New Roman"/>
                <w:b w:val="0"/>
                <w:bCs/>
                <w:color w:val="auto"/>
                <w:sz w:val="21"/>
                <w:szCs w:val="21"/>
                <w:highlight w:val="none"/>
                <w:lang w:val="en-US" w:eastAsia="zh-CN"/>
              </w:rPr>
              <w:t>41</w:t>
            </w:r>
          </w:p>
        </w:tc>
      </w:tr>
      <w:tr w14:paraId="24057E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pct"/>
            <w:gridSpan w:val="2"/>
            <w:noWrap w:val="0"/>
            <w:vAlign w:val="center"/>
          </w:tcPr>
          <w:p w14:paraId="54FEF387">
            <w:pPr>
              <w:pStyle w:val="245"/>
              <w:keepNext w:val="0"/>
              <w:keepLines w:val="0"/>
              <w:pageBreakBefore w:val="0"/>
              <w:widowControl w:val="0"/>
              <w:kinsoku/>
              <w:wordWrap/>
              <w:overflowPunct/>
              <w:autoSpaceDN/>
              <w:bidi w:val="0"/>
              <w:adjustRightInd/>
              <w:snapToGrid/>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达标情况</w:t>
            </w:r>
          </w:p>
        </w:tc>
        <w:tc>
          <w:tcPr>
            <w:tcW w:w="938" w:type="pct"/>
            <w:noWrap w:val="0"/>
            <w:vAlign w:val="center"/>
          </w:tcPr>
          <w:p w14:paraId="4B9A0DD6">
            <w:pPr>
              <w:keepNext w:val="0"/>
              <w:keepLines w:val="0"/>
              <w:pageBreakBefore w:val="0"/>
              <w:widowControl w:val="0"/>
              <w:kinsoku/>
              <w:wordWrap/>
              <w:overflowPunct/>
              <w:autoSpaceDN/>
              <w:bidi w:val="0"/>
              <w:adjustRightInd/>
              <w:snapToGrid/>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c>
          <w:tcPr>
            <w:tcW w:w="938" w:type="pct"/>
            <w:noWrap w:val="0"/>
            <w:vAlign w:val="center"/>
          </w:tcPr>
          <w:p w14:paraId="07914839">
            <w:pPr>
              <w:keepNext w:val="0"/>
              <w:keepLines w:val="0"/>
              <w:pageBreakBefore w:val="0"/>
              <w:widowControl w:val="0"/>
              <w:kinsoku/>
              <w:wordWrap/>
              <w:overflowPunct/>
              <w:autoSpaceDN/>
              <w:bidi w:val="0"/>
              <w:adjustRightInd/>
              <w:snapToGrid/>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c>
          <w:tcPr>
            <w:tcW w:w="938" w:type="pct"/>
            <w:noWrap w:val="0"/>
            <w:vAlign w:val="center"/>
          </w:tcPr>
          <w:p w14:paraId="772DD2FB">
            <w:pPr>
              <w:keepNext w:val="0"/>
              <w:keepLines w:val="0"/>
              <w:pageBreakBefore w:val="0"/>
              <w:widowControl w:val="0"/>
              <w:kinsoku/>
              <w:wordWrap/>
              <w:overflowPunct/>
              <w:autoSpaceDN/>
              <w:bidi w:val="0"/>
              <w:adjustRightInd/>
              <w:snapToGrid/>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c>
          <w:tcPr>
            <w:tcW w:w="938" w:type="pct"/>
            <w:noWrap w:val="0"/>
            <w:vAlign w:val="center"/>
          </w:tcPr>
          <w:p w14:paraId="12C7DC52">
            <w:pPr>
              <w:keepNext w:val="0"/>
              <w:keepLines w:val="0"/>
              <w:pageBreakBefore w:val="0"/>
              <w:widowControl w:val="0"/>
              <w:kinsoku/>
              <w:wordWrap/>
              <w:overflowPunct/>
              <w:autoSpaceDN/>
              <w:bidi w:val="0"/>
              <w:adjustRightInd/>
              <w:snapToGrid/>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14:paraId="69F4C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pct"/>
            <w:gridSpan w:val="2"/>
            <w:noWrap w:val="0"/>
            <w:vAlign w:val="center"/>
          </w:tcPr>
          <w:p w14:paraId="728218F2">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限值</w:t>
            </w:r>
          </w:p>
        </w:tc>
        <w:tc>
          <w:tcPr>
            <w:tcW w:w="1876" w:type="pct"/>
            <w:gridSpan w:val="2"/>
            <w:noWrap w:val="0"/>
            <w:vAlign w:val="center"/>
          </w:tcPr>
          <w:p w14:paraId="0E3FF960">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rPr>
              <w:t>65</w:t>
            </w:r>
          </w:p>
        </w:tc>
        <w:tc>
          <w:tcPr>
            <w:tcW w:w="1876" w:type="pct"/>
            <w:gridSpan w:val="2"/>
            <w:noWrap w:val="0"/>
            <w:vAlign w:val="center"/>
          </w:tcPr>
          <w:p w14:paraId="14998B64">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rPr>
              <w:t>55</w:t>
            </w:r>
          </w:p>
        </w:tc>
      </w:tr>
      <w:tr w14:paraId="4D809E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7" w:type="pct"/>
            <w:gridSpan w:val="2"/>
            <w:noWrap w:val="0"/>
            <w:vAlign w:val="center"/>
          </w:tcPr>
          <w:p w14:paraId="0265117A">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color w:val="auto"/>
                <w:highlight w:val="none"/>
              </w:rPr>
              <w:t>执行标准</w:t>
            </w:r>
          </w:p>
        </w:tc>
        <w:tc>
          <w:tcPr>
            <w:tcW w:w="3752" w:type="pct"/>
            <w:gridSpan w:val="4"/>
            <w:noWrap w:val="0"/>
            <w:vAlign w:val="center"/>
          </w:tcPr>
          <w:p w14:paraId="6B43C0ED">
            <w:pPr>
              <w:pStyle w:val="245"/>
              <w:keepNext w:val="0"/>
              <w:keepLines w:val="0"/>
              <w:pageBreakBefore w:val="0"/>
              <w:widowControl w:val="0"/>
              <w:kinsoku/>
              <w:wordWrap/>
              <w:overflowPunct/>
              <w:autoSpaceDN/>
              <w:bidi w:val="0"/>
              <w:adjustRightInd/>
              <w:snapToGrid/>
              <w:spacing w:line="240" w:lineRule="auto"/>
              <w:ind w:firstLine="0" w:firstLineChars="0"/>
              <w:jc w:val="center"/>
              <w:rPr>
                <w:color w:val="auto"/>
                <w:highlight w:val="none"/>
              </w:rPr>
            </w:pPr>
            <w:r>
              <w:rPr>
                <w:rFonts w:hint="eastAsia"/>
                <w:color w:val="auto"/>
                <w:highlight w:val="none"/>
              </w:rPr>
              <w:t>《声环境质量标准》（</w:t>
            </w:r>
            <w:r>
              <w:rPr>
                <w:color w:val="auto"/>
                <w:highlight w:val="none"/>
              </w:rPr>
              <w:t>GB3096-2008</w:t>
            </w:r>
            <w:r>
              <w:rPr>
                <w:rFonts w:hint="eastAsia"/>
                <w:color w:val="auto"/>
                <w:highlight w:val="none"/>
              </w:rPr>
              <w:t>）</w:t>
            </w:r>
            <w:r>
              <w:rPr>
                <w:color w:val="auto"/>
                <w:highlight w:val="none"/>
              </w:rPr>
              <w:t>3</w:t>
            </w:r>
            <w:r>
              <w:rPr>
                <w:rFonts w:hint="eastAsia"/>
                <w:color w:val="auto"/>
                <w:highlight w:val="none"/>
              </w:rPr>
              <w:t>类标准</w:t>
            </w:r>
          </w:p>
        </w:tc>
      </w:tr>
    </w:tbl>
    <w:p w14:paraId="61F981A8">
      <w:pPr>
        <w:pStyle w:val="181"/>
        <w:ind w:firstLine="472"/>
        <w:rPr>
          <w:color w:val="auto"/>
          <w:highlight w:val="none"/>
        </w:rPr>
      </w:pPr>
      <w:r>
        <w:rPr>
          <w:rFonts w:hint="eastAsia"/>
          <w:color w:val="auto"/>
          <w:spacing w:val="-2"/>
          <w:highlight w:val="none"/>
        </w:rPr>
        <w:t>由声环境现状监测结果可知，厂界四周声环境均满足《声环境质量标准》（</w:t>
      </w:r>
      <w:r>
        <w:rPr>
          <w:color w:val="auto"/>
          <w:spacing w:val="-2"/>
          <w:highlight w:val="none"/>
        </w:rPr>
        <w:t>GB3096-2008</w:t>
      </w:r>
      <w:r>
        <w:rPr>
          <w:rFonts w:hint="eastAsia"/>
          <w:color w:val="auto"/>
          <w:spacing w:val="-2"/>
          <w:highlight w:val="none"/>
        </w:rPr>
        <w:t>）中的</w:t>
      </w:r>
      <w:r>
        <w:rPr>
          <w:color w:val="auto"/>
          <w:spacing w:val="-2"/>
          <w:highlight w:val="none"/>
        </w:rPr>
        <w:t>3</w:t>
      </w:r>
      <w:r>
        <w:rPr>
          <w:rFonts w:hint="eastAsia"/>
          <w:color w:val="auto"/>
          <w:spacing w:val="-2"/>
          <w:highlight w:val="none"/>
        </w:rPr>
        <w:t>类标准要求</w:t>
      </w:r>
      <w:r>
        <w:rPr>
          <w:rFonts w:hint="eastAsia"/>
          <w:color w:val="auto"/>
          <w:highlight w:val="none"/>
        </w:rPr>
        <w:t>，因此</w:t>
      </w:r>
      <w:r>
        <w:rPr>
          <w:rFonts w:hint="eastAsia"/>
          <w:color w:val="auto"/>
          <w:highlight w:val="none"/>
          <w:lang w:eastAsia="zh-CN"/>
        </w:rPr>
        <w:t>，</w:t>
      </w:r>
      <w:r>
        <w:rPr>
          <w:rFonts w:hint="eastAsia"/>
          <w:color w:val="auto"/>
          <w:highlight w:val="none"/>
        </w:rPr>
        <w:t>厂址所</w:t>
      </w:r>
      <w:r>
        <w:rPr>
          <w:rFonts w:hint="eastAsia"/>
          <w:color w:val="auto"/>
          <w:highlight w:val="none"/>
          <w:lang w:val="en-US" w:eastAsia="zh-CN"/>
        </w:rPr>
        <w:t>在</w:t>
      </w:r>
      <w:r>
        <w:rPr>
          <w:rFonts w:hint="eastAsia"/>
          <w:color w:val="auto"/>
          <w:highlight w:val="none"/>
        </w:rPr>
        <w:t>区域目前声环境质量现状良好。</w:t>
      </w:r>
    </w:p>
    <w:p w14:paraId="2C4E18A7">
      <w:pPr>
        <w:ind w:firstLine="480"/>
        <w:rPr>
          <w:color w:val="auto"/>
          <w:highlight w:val="none"/>
        </w:rPr>
        <w:sectPr>
          <w:pgSz w:w="11906" w:h="16838"/>
          <w:pgMar w:top="1418" w:right="1418" w:bottom="1247" w:left="1701" w:header="851" w:footer="680" w:gutter="0"/>
          <w:pgBorders>
            <w:top w:val="none" w:sz="0" w:space="0"/>
            <w:left w:val="none" w:sz="0" w:space="0"/>
            <w:bottom w:val="none" w:sz="0" w:space="0"/>
            <w:right w:val="none" w:sz="0" w:space="0"/>
          </w:pgBorders>
          <w:pgNumType w:fmt="decimal"/>
          <w:cols w:space="720" w:num="1"/>
          <w:docGrid w:linePitch="326" w:charSpace="0"/>
        </w:sectPr>
      </w:pPr>
    </w:p>
    <w:p w14:paraId="7DD9DD99">
      <w:pPr>
        <w:pStyle w:val="3"/>
        <w:spacing w:before="120" w:after="120"/>
        <w:rPr>
          <w:color w:val="auto"/>
          <w:highlight w:val="none"/>
        </w:rPr>
      </w:pPr>
      <w:bookmarkStart w:id="137" w:name="_Toc2892"/>
      <w:r>
        <w:rPr>
          <w:rFonts w:hint="eastAsia"/>
          <w:color w:val="auto"/>
          <w:highlight w:val="none"/>
        </w:rPr>
        <w:t>环境影响预测与评价</w:t>
      </w:r>
      <w:bookmarkEnd w:id="137"/>
    </w:p>
    <w:p w14:paraId="483F45B2">
      <w:pPr>
        <w:pStyle w:val="4"/>
        <w:spacing w:before="120" w:after="120"/>
        <w:rPr>
          <w:bCs w:val="0"/>
          <w:color w:val="auto"/>
          <w:kern w:val="0"/>
          <w:highlight w:val="none"/>
        </w:rPr>
      </w:pPr>
      <w:bookmarkStart w:id="138" w:name="_Toc24447132"/>
      <w:bookmarkStart w:id="139" w:name="_Toc24447621"/>
      <w:bookmarkStart w:id="140" w:name="_Toc24340226"/>
      <w:bookmarkStart w:id="141" w:name="_Toc28324"/>
      <w:bookmarkStart w:id="142" w:name="_Toc58916161"/>
      <w:r>
        <w:rPr>
          <w:rFonts w:hint="eastAsia"/>
          <w:bCs w:val="0"/>
          <w:color w:val="auto"/>
          <w:kern w:val="0"/>
          <w:highlight w:val="none"/>
        </w:rPr>
        <w:t>施工期环境影响评价</w:t>
      </w:r>
      <w:bookmarkEnd w:id="138"/>
      <w:bookmarkEnd w:id="139"/>
      <w:bookmarkEnd w:id="140"/>
      <w:bookmarkEnd w:id="141"/>
      <w:bookmarkEnd w:id="142"/>
    </w:p>
    <w:p w14:paraId="7DB0E812">
      <w:pPr>
        <w:pStyle w:val="5"/>
        <w:rPr>
          <w:color w:val="auto"/>
          <w:highlight w:val="none"/>
        </w:rPr>
      </w:pPr>
      <w:bookmarkStart w:id="143" w:name="_Toc24447133"/>
      <w:r>
        <w:rPr>
          <w:rFonts w:hint="eastAsia"/>
          <w:color w:val="auto"/>
          <w:highlight w:val="none"/>
        </w:rPr>
        <w:t>施工期大气环境影响分析</w:t>
      </w:r>
      <w:bookmarkEnd w:id="143"/>
    </w:p>
    <w:p w14:paraId="6E9F537B">
      <w:pPr>
        <w:pStyle w:val="181"/>
        <w:ind w:firstLine="480"/>
        <w:rPr>
          <w:color w:val="auto"/>
          <w:highlight w:val="none"/>
        </w:rPr>
      </w:pPr>
      <w:r>
        <w:rPr>
          <w:rFonts w:hint="eastAsia"/>
          <w:color w:val="auto"/>
          <w:highlight w:val="none"/>
        </w:rPr>
        <w:t>施工扬尘主要来自土方的挖掘扬尘及现场堆放扬尘；建筑材料（白灰、水泥、沙子、石子、砖等）的现场搬运及堆放扬尘；施工垃圾的清理及堆放扬尘；人来车往造成的现场道路扬尘。其扬尘量的大小与施工现场条件、管理水平、机械化程度及施工季节、土质及天气等诸多因素有关，是一个复杂、较难定量的问题。本评价采用类比法，利用现有的施工场地实测资料对环境空气影响进行分析。根据经验数据，在无任何防尘措施的情况下，施工现场对周围环境的影响较严重，污染范围在</w:t>
      </w:r>
      <w:r>
        <w:rPr>
          <w:color w:val="auto"/>
          <w:highlight w:val="none"/>
        </w:rPr>
        <w:t>200m</w:t>
      </w:r>
      <w:r>
        <w:rPr>
          <w:rFonts w:hint="eastAsia"/>
          <w:color w:val="auto"/>
          <w:highlight w:val="none"/>
        </w:rPr>
        <w:t>范围内，</w:t>
      </w:r>
      <w:r>
        <w:rPr>
          <w:color w:val="auto"/>
          <w:highlight w:val="none"/>
        </w:rPr>
        <w:t>TSP</w:t>
      </w:r>
      <w:r>
        <w:rPr>
          <w:rFonts w:hint="eastAsia"/>
          <w:color w:val="auto"/>
          <w:highlight w:val="none"/>
        </w:rPr>
        <w:t>最大污染物浓度是对照点</w:t>
      </w:r>
      <w:r>
        <w:rPr>
          <w:color w:val="auto"/>
          <w:highlight w:val="none"/>
        </w:rPr>
        <w:t>TSP</w:t>
      </w:r>
      <w:r>
        <w:rPr>
          <w:rFonts w:hint="eastAsia"/>
          <w:color w:val="auto"/>
          <w:highlight w:val="none"/>
        </w:rPr>
        <w:t>浓度值的</w:t>
      </w:r>
      <w:r>
        <w:rPr>
          <w:color w:val="auto"/>
          <w:highlight w:val="none"/>
        </w:rPr>
        <w:t>6.39</w:t>
      </w:r>
      <w:r>
        <w:rPr>
          <w:rFonts w:hint="eastAsia"/>
          <w:color w:val="auto"/>
          <w:highlight w:val="none"/>
        </w:rPr>
        <w:t>倍；而在有防尘措施的情况下，污染范围</w:t>
      </w:r>
      <w:r>
        <w:rPr>
          <w:color w:val="auto"/>
          <w:highlight w:val="none"/>
        </w:rPr>
        <w:t>50m</w:t>
      </w:r>
      <w:r>
        <w:rPr>
          <w:rFonts w:hint="eastAsia"/>
          <w:color w:val="auto"/>
          <w:highlight w:val="none"/>
        </w:rPr>
        <w:t>范围内大幅下降，最高污染浓度是对照点的</w:t>
      </w:r>
      <w:r>
        <w:rPr>
          <w:color w:val="auto"/>
          <w:highlight w:val="none"/>
        </w:rPr>
        <w:t>4.04</w:t>
      </w:r>
      <w:r>
        <w:rPr>
          <w:rFonts w:hint="eastAsia"/>
          <w:color w:val="auto"/>
          <w:highlight w:val="none"/>
        </w:rPr>
        <w:t>倍，最大污染浓度较无防尘措施降低了</w:t>
      </w:r>
      <w:r>
        <w:rPr>
          <w:color w:val="auto"/>
          <w:highlight w:val="none"/>
        </w:rPr>
        <w:t>0.479mg/m</w:t>
      </w:r>
      <w:r>
        <w:rPr>
          <w:color w:val="auto"/>
          <w:highlight w:val="none"/>
          <w:vertAlign w:val="superscript"/>
        </w:rPr>
        <w:t>3</w:t>
      </w:r>
      <w:r>
        <w:rPr>
          <w:rFonts w:hint="eastAsia"/>
          <w:color w:val="auto"/>
          <w:highlight w:val="none"/>
        </w:rPr>
        <w:t>。</w:t>
      </w:r>
    </w:p>
    <w:p w14:paraId="35AD2732">
      <w:pPr>
        <w:pStyle w:val="181"/>
        <w:ind w:firstLine="480"/>
        <w:rPr>
          <w:color w:val="auto"/>
          <w:highlight w:val="none"/>
        </w:rPr>
      </w:pPr>
      <w:r>
        <w:rPr>
          <w:rFonts w:hint="eastAsia"/>
          <w:color w:val="auto"/>
          <w:highlight w:val="none"/>
        </w:rPr>
        <w:t>在施工厂界周围采用</w:t>
      </w:r>
      <w:r>
        <w:rPr>
          <w:color w:val="auto"/>
          <w:highlight w:val="none"/>
        </w:rPr>
        <w:t>3.0m</w:t>
      </w:r>
      <w:r>
        <w:rPr>
          <w:rFonts w:hint="eastAsia"/>
          <w:color w:val="auto"/>
          <w:highlight w:val="none"/>
        </w:rPr>
        <w:t>高金属挡板遮挡或实体围墙，容易起尘的原料密闭储存，同时在使用时配以洒水降尘，以减轻施工扬尘影响。</w:t>
      </w:r>
    </w:p>
    <w:p w14:paraId="0A6EA826">
      <w:pPr>
        <w:pStyle w:val="181"/>
        <w:ind w:firstLine="480"/>
        <w:rPr>
          <w:color w:val="auto"/>
          <w:highlight w:val="none"/>
        </w:rPr>
      </w:pPr>
      <w:r>
        <w:rPr>
          <w:rFonts w:hint="eastAsia"/>
          <w:color w:val="auto"/>
          <w:highlight w:val="none"/>
        </w:rPr>
        <w:t>在采取以上措施后，施工期扬尘污染能够得到有效防治，施工期废气满足《大气污染物综合排放标准》（</w:t>
      </w:r>
      <w:r>
        <w:rPr>
          <w:color w:val="auto"/>
          <w:highlight w:val="none"/>
        </w:rPr>
        <w:t>GB16297-1996</w:t>
      </w:r>
      <w:r>
        <w:rPr>
          <w:rFonts w:hint="eastAsia"/>
          <w:color w:val="auto"/>
          <w:highlight w:val="none"/>
        </w:rPr>
        <w:t>）相关标准限值要求。施工期的粉尘污染可以为环境接受，该影响随工程的竣工而消除。</w:t>
      </w:r>
    </w:p>
    <w:p w14:paraId="5549509E">
      <w:pPr>
        <w:pStyle w:val="5"/>
        <w:rPr>
          <w:color w:val="auto"/>
          <w:highlight w:val="none"/>
        </w:rPr>
      </w:pPr>
      <w:bookmarkStart w:id="144" w:name="_Toc24447134"/>
      <w:r>
        <w:rPr>
          <w:rFonts w:hint="eastAsia"/>
          <w:color w:val="auto"/>
          <w:highlight w:val="none"/>
        </w:rPr>
        <w:t>施工期噪声环境影响分析</w:t>
      </w:r>
      <w:bookmarkEnd w:id="144"/>
    </w:p>
    <w:p w14:paraId="5A0906D5">
      <w:pPr>
        <w:pStyle w:val="181"/>
        <w:ind w:firstLine="480"/>
        <w:rPr>
          <w:color w:val="auto"/>
          <w:highlight w:val="none"/>
        </w:rPr>
      </w:pPr>
      <w:r>
        <w:rPr>
          <w:rFonts w:hint="eastAsia"/>
          <w:color w:val="auto"/>
          <w:highlight w:val="none"/>
        </w:rPr>
        <w:t>施工期噪声主要是建筑材料运输汽车噪声和施工机械噪声，施工期施工设备噪声值见表</w:t>
      </w:r>
      <w:r>
        <w:rPr>
          <w:color w:val="auto"/>
          <w:highlight w:val="none"/>
        </w:rPr>
        <w:t>5.1-</w:t>
      </w:r>
      <w:r>
        <w:rPr>
          <w:rFonts w:hint="eastAsia"/>
          <w:color w:val="auto"/>
          <w:highlight w:val="none"/>
        </w:rPr>
        <w:t>1。</w:t>
      </w:r>
    </w:p>
    <w:p w14:paraId="0A568996">
      <w:pPr>
        <w:pStyle w:val="199"/>
        <w:spacing w:before="120"/>
        <w:rPr>
          <w:rFonts w:hint="eastAsia"/>
          <w:color w:val="auto"/>
          <w:sz w:val="24"/>
          <w:highlight w:val="none"/>
        </w:rPr>
      </w:pPr>
    </w:p>
    <w:p w14:paraId="69403262">
      <w:pPr>
        <w:pStyle w:val="199"/>
        <w:spacing w:before="120"/>
        <w:rPr>
          <w:rFonts w:hint="eastAsia"/>
          <w:color w:val="auto"/>
          <w:sz w:val="24"/>
          <w:highlight w:val="none"/>
        </w:rPr>
      </w:pPr>
    </w:p>
    <w:p w14:paraId="227C2D90">
      <w:pPr>
        <w:pStyle w:val="199"/>
        <w:spacing w:before="120"/>
        <w:rPr>
          <w:rFonts w:hint="eastAsia"/>
          <w:color w:val="auto"/>
          <w:sz w:val="24"/>
          <w:highlight w:val="none"/>
        </w:rPr>
      </w:pPr>
    </w:p>
    <w:p w14:paraId="050A4ED7">
      <w:pPr>
        <w:pStyle w:val="199"/>
        <w:spacing w:before="120"/>
        <w:rPr>
          <w:rFonts w:hint="eastAsia"/>
          <w:color w:val="auto"/>
          <w:sz w:val="24"/>
          <w:highlight w:val="none"/>
        </w:rPr>
      </w:pPr>
    </w:p>
    <w:p w14:paraId="62E7866A">
      <w:pPr>
        <w:pStyle w:val="199"/>
        <w:spacing w:before="120"/>
        <w:rPr>
          <w:rFonts w:hint="eastAsia"/>
          <w:color w:val="auto"/>
          <w:sz w:val="24"/>
          <w:highlight w:val="none"/>
        </w:rPr>
      </w:pPr>
    </w:p>
    <w:p w14:paraId="72453F2B">
      <w:pPr>
        <w:pStyle w:val="199"/>
        <w:spacing w:before="120"/>
        <w:rPr>
          <w:rFonts w:hint="eastAsia"/>
          <w:color w:val="auto"/>
          <w:sz w:val="24"/>
          <w:highlight w:val="none"/>
        </w:rPr>
      </w:pPr>
    </w:p>
    <w:p w14:paraId="3814DA21">
      <w:pPr>
        <w:pStyle w:val="199"/>
        <w:spacing w:before="120"/>
        <w:rPr>
          <w:rFonts w:hint="eastAsia"/>
          <w:color w:val="auto"/>
          <w:sz w:val="24"/>
          <w:highlight w:val="none"/>
        </w:rPr>
      </w:pPr>
    </w:p>
    <w:p w14:paraId="05170C99">
      <w:pPr>
        <w:pStyle w:val="199"/>
        <w:spacing w:before="120"/>
        <w:rPr>
          <w:color w:val="auto"/>
          <w:sz w:val="24"/>
          <w:highlight w:val="none"/>
        </w:rPr>
      </w:pPr>
      <w:r>
        <w:rPr>
          <w:rFonts w:hint="eastAsia"/>
          <w:color w:val="auto"/>
          <w:sz w:val="24"/>
          <w:highlight w:val="none"/>
        </w:rPr>
        <w:t>表</w:t>
      </w:r>
      <w:r>
        <w:rPr>
          <w:color w:val="auto"/>
          <w:sz w:val="24"/>
          <w:highlight w:val="none"/>
        </w:rPr>
        <w:t>5.1-</w:t>
      </w:r>
      <w:r>
        <w:rPr>
          <w:rFonts w:hint="eastAsia"/>
          <w:color w:val="auto"/>
          <w:sz w:val="24"/>
          <w:highlight w:val="none"/>
        </w:rPr>
        <w:t>1</w:t>
      </w:r>
      <w:r>
        <w:rPr>
          <w:color w:val="auto"/>
          <w:sz w:val="24"/>
          <w:highlight w:val="none"/>
        </w:rPr>
        <w:t xml:space="preserve">  </w:t>
      </w:r>
      <w:r>
        <w:rPr>
          <w:rFonts w:hint="eastAsia"/>
          <w:color w:val="auto"/>
          <w:sz w:val="24"/>
          <w:highlight w:val="none"/>
        </w:rPr>
        <w:t>施工机械噪声源源强</w:t>
      </w:r>
      <w:r>
        <w:rPr>
          <w:color w:val="auto"/>
          <w:sz w:val="24"/>
          <w:highlight w:val="none"/>
        </w:rPr>
        <w:t xml:space="preserve">  </w:t>
      </w:r>
      <w:r>
        <w:rPr>
          <w:rFonts w:hint="eastAsia"/>
          <w:color w:val="auto"/>
          <w:sz w:val="24"/>
          <w:highlight w:val="none"/>
        </w:rPr>
        <w:t>单位：</w:t>
      </w:r>
      <w:r>
        <w:rPr>
          <w:color w:val="auto"/>
          <w:sz w:val="24"/>
          <w:highlight w:val="none"/>
        </w:rPr>
        <w:t>dB</w:t>
      </w:r>
      <w:r>
        <w:rPr>
          <w:rFonts w:hint="eastAsia"/>
          <w:color w:val="auto"/>
          <w:sz w:val="24"/>
          <w:highlight w:val="none"/>
        </w:rPr>
        <w:t>（</w:t>
      </w:r>
      <w:r>
        <w:rPr>
          <w:color w:val="auto"/>
          <w:sz w:val="24"/>
          <w:highlight w:val="none"/>
        </w:rPr>
        <w:t>A</w:t>
      </w:r>
      <w:r>
        <w:rPr>
          <w:rFonts w:hint="eastAsia"/>
          <w:color w:val="auto"/>
          <w:sz w:val="24"/>
          <w:highlight w:val="none"/>
        </w:rPr>
        <w:t>）</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834"/>
        <w:gridCol w:w="1834"/>
        <w:gridCol w:w="1667"/>
        <w:gridCol w:w="1679"/>
      </w:tblGrid>
      <w:tr w14:paraId="25884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72" w:type="dxa"/>
            <w:noWrap w:val="0"/>
            <w:vAlign w:val="center"/>
          </w:tcPr>
          <w:p w14:paraId="2985D4F0">
            <w:pPr>
              <w:pStyle w:val="189"/>
              <w:rPr>
                <w:color w:val="auto"/>
                <w:szCs w:val="21"/>
                <w:highlight w:val="none"/>
              </w:rPr>
            </w:pPr>
            <w:r>
              <w:rPr>
                <w:rFonts w:hint="eastAsia"/>
                <w:color w:val="auto"/>
                <w:szCs w:val="21"/>
                <w:highlight w:val="none"/>
              </w:rPr>
              <w:t>序号</w:t>
            </w:r>
          </w:p>
        </w:tc>
        <w:tc>
          <w:tcPr>
            <w:tcW w:w="1907" w:type="dxa"/>
            <w:noWrap w:val="0"/>
            <w:vAlign w:val="center"/>
          </w:tcPr>
          <w:p w14:paraId="29456BA1">
            <w:pPr>
              <w:pStyle w:val="189"/>
              <w:rPr>
                <w:color w:val="auto"/>
                <w:szCs w:val="21"/>
                <w:highlight w:val="none"/>
              </w:rPr>
            </w:pPr>
            <w:r>
              <w:rPr>
                <w:rFonts w:hint="eastAsia"/>
                <w:color w:val="auto"/>
                <w:szCs w:val="21"/>
                <w:highlight w:val="none"/>
              </w:rPr>
              <w:t>设备名称</w:t>
            </w:r>
          </w:p>
        </w:tc>
        <w:tc>
          <w:tcPr>
            <w:tcW w:w="1907" w:type="dxa"/>
            <w:noWrap w:val="0"/>
            <w:vAlign w:val="center"/>
          </w:tcPr>
          <w:p w14:paraId="454EF2FE">
            <w:pPr>
              <w:pStyle w:val="189"/>
              <w:rPr>
                <w:color w:val="auto"/>
                <w:szCs w:val="21"/>
                <w:highlight w:val="none"/>
              </w:rPr>
            </w:pPr>
            <w:r>
              <w:rPr>
                <w:rFonts w:hint="eastAsia"/>
                <w:color w:val="auto"/>
                <w:szCs w:val="21"/>
                <w:highlight w:val="none"/>
              </w:rPr>
              <w:t>型号</w:t>
            </w:r>
          </w:p>
        </w:tc>
        <w:tc>
          <w:tcPr>
            <w:tcW w:w="1732" w:type="dxa"/>
            <w:noWrap w:val="0"/>
            <w:vAlign w:val="center"/>
          </w:tcPr>
          <w:p w14:paraId="65468821">
            <w:pPr>
              <w:pStyle w:val="189"/>
              <w:rPr>
                <w:color w:val="auto"/>
                <w:szCs w:val="21"/>
                <w:highlight w:val="none"/>
              </w:rPr>
            </w:pPr>
            <w:r>
              <w:rPr>
                <w:rFonts w:hint="eastAsia"/>
                <w:color w:val="auto"/>
                <w:szCs w:val="21"/>
                <w:highlight w:val="none"/>
              </w:rPr>
              <w:t>测点距离（</w:t>
            </w:r>
            <w:r>
              <w:rPr>
                <w:color w:val="auto"/>
                <w:szCs w:val="21"/>
                <w:highlight w:val="none"/>
              </w:rPr>
              <w:t>m</w:t>
            </w:r>
            <w:r>
              <w:rPr>
                <w:rFonts w:hint="eastAsia"/>
                <w:color w:val="auto"/>
                <w:szCs w:val="21"/>
                <w:highlight w:val="none"/>
              </w:rPr>
              <w:t>）</w:t>
            </w:r>
          </w:p>
        </w:tc>
        <w:tc>
          <w:tcPr>
            <w:tcW w:w="1744" w:type="dxa"/>
            <w:noWrap w:val="0"/>
            <w:vAlign w:val="center"/>
          </w:tcPr>
          <w:p w14:paraId="257E9C68">
            <w:pPr>
              <w:pStyle w:val="189"/>
              <w:rPr>
                <w:color w:val="auto"/>
                <w:szCs w:val="21"/>
                <w:highlight w:val="none"/>
              </w:rPr>
            </w:pPr>
            <w:r>
              <w:rPr>
                <w:rFonts w:hint="eastAsia"/>
                <w:color w:val="auto"/>
                <w:szCs w:val="21"/>
                <w:highlight w:val="none"/>
              </w:rPr>
              <w:t>声级值</w:t>
            </w:r>
          </w:p>
        </w:tc>
      </w:tr>
      <w:tr w14:paraId="38712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53849175">
            <w:pPr>
              <w:pStyle w:val="189"/>
              <w:rPr>
                <w:color w:val="auto"/>
                <w:szCs w:val="21"/>
                <w:highlight w:val="none"/>
              </w:rPr>
            </w:pPr>
            <w:r>
              <w:rPr>
                <w:color w:val="auto"/>
                <w:szCs w:val="21"/>
                <w:highlight w:val="none"/>
              </w:rPr>
              <w:t>1</w:t>
            </w:r>
          </w:p>
        </w:tc>
        <w:tc>
          <w:tcPr>
            <w:tcW w:w="1907" w:type="dxa"/>
            <w:noWrap w:val="0"/>
            <w:vAlign w:val="center"/>
          </w:tcPr>
          <w:p w14:paraId="1F8D8278">
            <w:pPr>
              <w:pStyle w:val="189"/>
              <w:rPr>
                <w:color w:val="auto"/>
                <w:szCs w:val="21"/>
                <w:highlight w:val="none"/>
              </w:rPr>
            </w:pPr>
            <w:r>
              <w:rPr>
                <w:rFonts w:hint="eastAsia"/>
                <w:color w:val="auto"/>
                <w:szCs w:val="21"/>
                <w:highlight w:val="none"/>
              </w:rPr>
              <w:t>混凝土搅拌机</w:t>
            </w:r>
          </w:p>
        </w:tc>
        <w:tc>
          <w:tcPr>
            <w:tcW w:w="1907" w:type="dxa"/>
            <w:noWrap w:val="0"/>
            <w:vAlign w:val="center"/>
          </w:tcPr>
          <w:p w14:paraId="2EBA4116">
            <w:pPr>
              <w:pStyle w:val="189"/>
              <w:rPr>
                <w:color w:val="auto"/>
                <w:szCs w:val="21"/>
                <w:highlight w:val="none"/>
              </w:rPr>
            </w:pPr>
            <w:r>
              <w:rPr>
                <w:color w:val="auto"/>
                <w:szCs w:val="21"/>
                <w:highlight w:val="none"/>
              </w:rPr>
              <w:t>JZC350</w:t>
            </w:r>
          </w:p>
        </w:tc>
        <w:tc>
          <w:tcPr>
            <w:tcW w:w="1732" w:type="dxa"/>
            <w:noWrap w:val="0"/>
            <w:vAlign w:val="center"/>
          </w:tcPr>
          <w:p w14:paraId="6DB8279A">
            <w:pPr>
              <w:pStyle w:val="189"/>
              <w:rPr>
                <w:color w:val="auto"/>
                <w:szCs w:val="21"/>
                <w:highlight w:val="none"/>
              </w:rPr>
            </w:pPr>
            <w:r>
              <w:rPr>
                <w:color w:val="auto"/>
                <w:szCs w:val="21"/>
                <w:highlight w:val="none"/>
              </w:rPr>
              <w:t>5</w:t>
            </w:r>
          </w:p>
        </w:tc>
        <w:tc>
          <w:tcPr>
            <w:tcW w:w="1744" w:type="dxa"/>
            <w:noWrap w:val="0"/>
            <w:vAlign w:val="center"/>
          </w:tcPr>
          <w:p w14:paraId="2859C70B">
            <w:pPr>
              <w:pStyle w:val="189"/>
              <w:rPr>
                <w:color w:val="auto"/>
                <w:szCs w:val="21"/>
                <w:highlight w:val="none"/>
              </w:rPr>
            </w:pPr>
            <w:r>
              <w:rPr>
                <w:color w:val="auto"/>
                <w:szCs w:val="21"/>
                <w:highlight w:val="none"/>
              </w:rPr>
              <w:t>80</w:t>
            </w:r>
          </w:p>
        </w:tc>
      </w:tr>
      <w:tr w14:paraId="5F8D0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0BC61AA9">
            <w:pPr>
              <w:pStyle w:val="189"/>
              <w:rPr>
                <w:color w:val="auto"/>
                <w:szCs w:val="21"/>
                <w:highlight w:val="none"/>
              </w:rPr>
            </w:pPr>
            <w:r>
              <w:rPr>
                <w:color w:val="auto"/>
                <w:szCs w:val="21"/>
                <w:highlight w:val="none"/>
              </w:rPr>
              <w:t>2</w:t>
            </w:r>
          </w:p>
        </w:tc>
        <w:tc>
          <w:tcPr>
            <w:tcW w:w="1907" w:type="dxa"/>
            <w:noWrap w:val="0"/>
            <w:vAlign w:val="center"/>
          </w:tcPr>
          <w:p w14:paraId="1AFF5D18">
            <w:pPr>
              <w:pStyle w:val="189"/>
              <w:rPr>
                <w:color w:val="auto"/>
                <w:szCs w:val="21"/>
                <w:highlight w:val="none"/>
              </w:rPr>
            </w:pPr>
            <w:r>
              <w:rPr>
                <w:rFonts w:hint="eastAsia"/>
                <w:color w:val="auto"/>
                <w:szCs w:val="21"/>
                <w:highlight w:val="none"/>
              </w:rPr>
              <w:t>钻孔机</w:t>
            </w:r>
          </w:p>
        </w:tc>
        <w:tc>
          <w:tcPr>
            <w:tcW w:w="1907" w:type="dxa"/>
            <w:noWrap w:val="0"/>
            <w:vAlign w:val="center"/>
          </w:tcPr>
          <w:p w14:paraId="3949CF7A">
            <w:pPr>
              <w:pStyle w:val="189"/>
              <w:rPr>
                <w:color w:val="auto"/>
                <w:szCs w:val="21"/>
                <w:highlight w:val="none"/>
              </w:rPr>
            </w:pPr>
          </w:p>
        </w:tc>
        <w:tc>
          <w:tcPr>
            <w:tcW w:w="1732" w:type="dxa"/>
            <w:noWrap w:val="0"/>
            <w:vAlign w:val="center"/>
          </w:tcPr>
          <w:p w14:paraId="26E0AEA8">
            <w:pPr>
              <w:pStyle w:val="189"/>
              <w:rPr>
                <w:color w:val="auto"/>
                <w:szCs w:val="21"/>
                <w:highlight w:val="none"/>
              </w:rPr>
            </w:pPr>
            <w:r>
              <w:rPr>
                <w:color w:val="auto"/>
                <w:szCs w:val="21"/>
                <w:highlight w:val="none"/>
              </w:rPr>
              <w:t>5</w:t>
            </w:r>
          </w:p>
        </w:tc>
        <w:tc>
          <w:tcPr>
            <w:tcW w:w="1744" w:type="dxa"/>
            <w:noWrap w:val="0"/>
            <w:vAlign w:val="center"/>
          </w:tcPr>
          <w:p w14:paraId="3DBCBC4C">
            <w:pPr>
              <w:pStyle w:val="189"/>
              <w:rPr>
                <w:color w:val="auto"/>
                <w:szCs w:val="21"/>
                <w:highlight w:val="none"/>
              </w:rPr>
            </w:pPr>
            <w:r>
              <w:rPr>
                <w:color w:val="auto"/>
                <w:szCs w:val="21"/>
                <w:highlight w:val="none"/>
              </w:rPr>
              <w:t>82</w:t>
            </w:r>
          </w:p>
        </w:tc>
      </w:tr>
      <w:tr w14:paraId="6C375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7FBB797F">
            <w:pPr>
              <w:pStyle w:val="189"/>
              <w:rPr>
                <w:color w:val="auto"/>
                <w:szCs w:val="21"/>
                <w:highlight w:val="none"/>
              </w:rPr>
            </w:pPr>
            <w:r>
              <w:rPr>
                <w:color w:val="auto"/>
                <w:szCs w:val="21"/>
                <w:highlight w:val="none"/>
              </w:rPr>
              <w:t>3</w:t>
            </w:r>
          </w:p>
        </w:tc>
        <w:tc>
          <w:tcPr>
            <w:tcW w:w="1907" w:type="dxa"/>
            <w:noWrap w:val="0"/>
            <w:vAlign w:val="center"/>
          </w:tcPr>
          <w:p w14:paraId="0C95100F">
            <w:pPr>
              <w:pStyle w:val="189"/>
              <w:rPr>
                <w:color w:val="auto"/>
                <w:szCs w:val="21"/>
                <w:highlight w:val="none"/>
              </w:rPr>
            </w:pPr>
            <w:r>
              <w:rPr>
                <w:rFonts w:hint="eastAsia"/>
                <w:color w:val="auto"/>
                <w:szCs w:val="21"/>
                <w:highlight w:val="none"/>
              </w:rPr>
              <w:t>挖掘机</w:t>
            </w:r>
          </w:p>
        </w:tc>
        <w:tc>
          <w:tcPr>
            <w:tcW w:w="1907" w:type="dxa"/>
            <w:noWrap w:val="0"/>
            <w:vAlign w:val="center"/>
          </w:tcPr>
          <w:p w14:paraId="3001A7C6">
            <w:pPr>
              <w:pStyle w:val="189"/>
              <w:rPr>
                <w:color w:val="auto"/>
                <w:szCs w:val="21"/>
                <w:highlight w:val="none"/>
              </w:rPr>
            </w:pPr>
            <w:r>
              <w:rPr>
                <w:color w:val="auto"/>
                <w:szCs w:val="21"/>
                <w:highlight w:val="none"/>
              </w:rPr>
              <w:t>JZC350</w:t>
            </w:r>
          </w:p>
        </w:tc>
        <w:tc>
          <w:tcPr>
            <w:tcW w:w="1732" w:type="dxa"/>
            <w:noWrap w:val="0"/>
            <w:vAlign w:val="center"/>
          </w:tcPr>
          <w:p w14:paraId="7B6C6649">
            <w:pPr>
              <w:pStyle w:val="189"/>
              <w:rPr>
                <w:color w:val="auto"/>
                <w:szCs w:val="21"/>
                <w:highlight w:val="none"/>
              </w:rPr>
            </w:pPr>
            <w:r>
              <w:rPr>
                <w:color w:val="auto"/>
                <w:szCs w:val="21"/>
                <w:highlight w:val="none"/>
              </w:rPr>
              <w:t>5</w:t>
            </w:r>
          </w:p>
        </w:tc>
        <w:tc>
          <w:tcPr>
            <w:tcW w:w="1744" w:type="dxa"/>
            <w:noWrap w:val="0"/>
            <w:vAlign w:val="center"/>
          </w:tcPr>
          <w:p w14:paraId="77E6F30C">
            <w:pPr>
              <w:pStyle w:val="189"/>
              <w:rPr>
                <w:color w:val="auto"/>
                <w:szCs w:val="21"/>
                <w:highlight w:val="none"/>
              </w:rPr>
            </w:pPr>
            <w:r>
              <w:rPr>
                <w:color w:val="auto"/>
                <w:szCs w:val="21"/>
                <w:highlight w:val="none"/>
              </w:rPr>
              <w:t>84</w:t>
            </w:r>
          </w:p>
        </w:tc>
      </w:tr>
      <w:tr w14:paraId="29A7E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7A83973A">
            <w:pPr>
              <w:pStyle w:val="189"/>
              <w:rPr>
                <w:color w:val="auto"/>
                <w:szCs w:val="21"/>
                <w:highlight w:val="none"/>
              </w:rPr>
            </w:pPr>
            <w:r>
              <w:rPr>
                <w:color w:val="auto"/>
                <w:szCs w:val="21"/>
                <w:highlight w:val="none"/>
              </w:rPr>
              <w:t>4</w:t>
            </w:r>
          </w:p>
        </w:tc>
        <w:tc>
          <w:tcPr>
            <w:tcW w:w="1907" w:type="dxa"/>
            <w:noWrap w:val="0"/>
            <w:vAlign w:val="center"/>
          </w:tcPr>
          <w:p w14:paraId="48E81F6E">
            <w:pPr>
              <w:pStyle w:val="189"/>
              <w:rPr>
                <w:color w:val="auto"/>
                <w:szCs w:val="21"/>
                <w:highlight w:val="none"/>
              </w:rPr>
            </w:pPr>
            <w:r>
              <w:rPr>
                <w:rFonts w:hint="eastAsia"/>
                <w:color w:val="auto"/>
                <w:szCs w:val="21"/>
                <w:highlight w:val="none"/>
              </w:rPr>
              <w:t>升降机</w:t>
            </w:r>
          </w:p>
        </w:tc>
        <w:tc>
          <w:tcPr>
            <w:tcW w:w="1907" w:type="dxa"/>
            <w:noWrap w:val="0"/>
            <w:vAlign w:val="center"/>
          </w:tcPr>
          <w:p w14:paraId="2844704A">
            <w:pPr>
              <w:pStyle w:val="189"/>
              <w:rPr>
                <w:color w:val="auto"/>
                <w:szCs w:val="21"/>
                <w:highlight w:val="none"/>
              </w:rPr>
            </w:pPr>
            <w:r>
              <w:rPr>
                <w:color w:val="auto"/>
                <w:szCs w:val="21"/>
                <w:highlight w:val="none"/>
              </w:rPr>
              <w:t>T140</w:t>
            </w:r>
          </w:p>
        </w:tc>
        <w:tc>
          <w:tcPr>
            <w:tcW w:w="1732" w:type="dxa"/>
            <w:noWrap w:val="0"/>
            <w:vAlign w:val="center"/>
          </w:tcPr>
          <w:p w14:paraId="158361CD">
            <w:pPr>
              <w:pStyle w:val="189"/>
              <w:rPr>
                <w:color w:val="auto"/>
                <w:szCs w:val="21"/>
                <w:highlight w:val="none"/>
              </w:rPr>
            </w:pPr>
            <w:r>
              <w:rPr>
                <w:color w:val="auto"/>
                <w:szCs w:val="21"/>
                <w:highlight w:val="none"/>
              </w:rPr>
              <w:t>5</w:t>
            </w:r>
          </w:p>
        </w:tc>
        <w:tc>
          <w:tcPr>
            <w:tcW w:w="1744" w:type="dxa"/>
            <w:noWrap w:val="0"/>
            <w:vAlign w:val="center"/>
          </w:tcPr>
          <w:p w14:paraId="631A3553">
            <w:pPr>
              <w:pStyle w:val="189"/>
              <w:rPr>
                <w:color w:val="auto"/>
                <w:szCs w:val="21"/>
                <w:highlight w:val="none"/>
              </w:rPr>
            </w:pPr>
            <w:r>
              <w:rPr>
                <w:color w:val="auto"/>
                <w:szCs w:val="21"/>
                <w:highlight w:val="none"/>
              </w:rPr>
              <w:t>74</w:t>
            </w:r>
          </w:p>
        </w:tc>
      </w:tr>
      <w:tr w14:paraId="27A93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333A0C65">
            <w:pPr>
              <w:pStyle w:val="189"/>
              <w:rPr>
                <w:color w:val="auto"/>
                <w:szCs w:val="21"/>
                <w:highlight w:val="none"/>
              </w:rPr>
            </w:pPr>
            <w:r>
              <w:rPr>
                <w:color w:val="auto"/>
                <w:szCs w:val="21"/>
                <w:highlight w:val="none"/>
              </w:rPr>
              <w:t>5</w:t>
            </w:r>
          </w:p>
        </w:tc>
        <w:tc>
          <w:tcPr>
            <w:tcW w:w="1907" w:type="dxa"/>
            <w:noWrap w:val="0"/>
            <w:vAlign w:val="center"/>
          </w:tcPr>
          <w:p w14:paraId="3427FE9E">
            <w:pPr>
              <w:pStyle w:val="189"/>
              <w:rPr>
                <w:color w:val="auto"/>
                <w:szCs w:val="21"/>
                <w:highlight w:val="none"/>
              </w:rPr>
            </w:pPr>
            <w:r>
              <w:rPr>
                <w:rFonts w:hint="eastAsia"/>
                <w:color w:val="auto"/>
                <w:szCs w:val="21"/>
                <w:highlight w:val="none"/>
              </w:rPr>
              <w:t>振捣棒</w:t>
            </w:r>
          </w:p>
        </w:tc>
        <w:tc>
          <w:tcPr>
            <w:tcW w:w="1907" w:type="dxa"/>
            <w:noWrap w:val="0"/>
            <w:vAlign w:val="center"/>
          </w:tcPr>
          <w:p w14:paraId="04EE5054">
            <w:pPr>
              <w:pStyle w:val="189"/>
              <w:rPr>
                <w:color w:val="auto"/>
                <w:szCs w:val="21"/>
                <w:highlight w:val="none"/>
              </w:rPr>
            </w:pPr>
          </w:p>
        </w:tc>
        <w:tc>
          <w:tcPr>
            <w:tcW w:w="1732" w:type="dxa"/>
            <w:noWrap w:val="0"/>
            <w:vAlign w:val="center"/>
          </w:tcPr>
          <w:p w14:paraId="382990BA">
            <w:pPr>
              <w:pStyle w:val="189"/>
              <w:rPr>
                <w:color w:val="auto"/>
                <w:szCs w:val="21"/>
                <w:highlight w:val="none"/>
              </w:rPr>
            </w:pPr>
            <w:r>
              <w:rPr>
                <w:color w:val="auto"/>
                <w:szCs w:val="21"/>
                <w:highlight w:val="none"/>
              </w:rPr>
              <w:t>5</w:t>
            </w:r>
          </w:p>
        </w:tc>
        <w:tc>
          <w:tcPr>
            <w:tcW w:w="1744" w:type="dxa"/>
            <w:noWrap w:val="0"/>
            <w:vAlign w:val="center"/>
          </w:tcPr>
          <w:p w14:paraId="322E4ED3">
            <w:pPr>
              <w:pStyle w:val="189"/>
              <w:rPr>
                <w:color w:val="auto"/>
                <w:szCs w:val="21"/>
                <w:highlight w:val="none"/>
              </w:rPr>
            </w:pPr>
            <w:r>
              <w:rPr>
                <w:color w:val="auto"/>
                <w:szCs w:val="21"/>
                <w:highlight w:val="none"/>
              </w:rPr>
              <w:t>87</w:t>
            </w:r>
          </w:p>
        </w:tc>
      </w:tr>
      <w:tr w14:paraId="4D015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6B5DCA9C">
            <w:pPr>
              <w:pStyle w:val="189"/>
              <w:rPr>
                <w:color w:val="auto"/>
                <w:szCs w:val="21"/>
                <w:highlight w:val="none"/>
              </w:rPr>
            </w:pPr>
            <w:r>
              <w:rPr>
                <w:color w:val="auto"/>
                <w:szCs w:val="21"/>
                <w:highlight w:val="none"/>
              </w:rPr>
              <w:t>6</w:t>
            </w:r>
          </w:p>
        </w:tc>
        <w:tc>
          <w:tcPr>
            <w:tcW w:w="1907" w:type="dxa"/>
            <w:noWrap w:val="0"/>
            <w:vAlign w:val="center"/>
          </w:tcPr>
          <w:p w14:paraId="0B18E7B2">
            <w:pPr>
              <w:pStyle w:val="189"/>
              <w:rPr>
                <w:color w:val="auto"/>
                <w:szCs w:val="21"/>
                <w:highlight w:val="none"/>
              </w:rPr>
            </w:pPr>
            <w:r>
              <w:rPr>
                <w:rFonts w:hint="eastAsia"/>
                <w:color w:val="auto"/>
                <w:szCs w:val="21"/>
                <w:highlight w:val="none"/>
              </w:rPr>
              <w:t>卡车</w:t>
            </w:r>
          </w:p>
        </w:tc>
        <w:tc>
          <w:tcPr>
            <w:tcW w:w="1907" w:type="dxa"/>
            <w:noWrap w:val="0"/>
            <w:vAlign w:val="center"/>
          </w:tcPr>
          <w:p w14:paraId="1BDC211E">
            <w:pPr>
              <w:pStyle w:val="189"/>
              <w:rPr>
                <w:color w:val="auto"/>
                <w:szCs w:val="21"/>
                <w:highlight w:val="none"/>
              </w:rPr>
            </w:pPr>
            <w:r>
              <w:rPr>
                <w:rFonts w:hint="eastAsia"/>
                <w:color w:val="auto"/>
                <w:szCs w:val="21"/>
                <w:highlight w:val="none"/>
              </w:rPr>
              <w:t>卡玛斯</w:t>
            </w:r>
          </w:p>
        </w:tc>
        <w:tc>
          <w:tcPr>
            <w:tcW w:w="1732" w:type="dxa"/>
            <w:noWrap w:val="0"/>
            <w:vAlign w:val="center"/>
          </w:tcPr>
          <w:p w14:paraId="22E84924">
            <w:pPr>
              <w:pStyle w:val="189"/>
              <w:rPr>
                <w:color w:val="auto"/>
                <w:szCs w:val="21"/>
                <w:highlight w:val="none"/>
              </w:rPr>
            </w:pPr>
            <w:r>
              <w:rPr>
                <w:color w:val="auto"/>
                <w:szCs w:val="21"/>
                <w:highlight w:val="none"/>
              </w:rPr>
              <w:t>5</w:t>
            </w:r>
          </w:p>
        </w:tc>
        <w:tc>
          <w:tcPr>
            <w:tcW w:w="1744" w:type="dxa"/>
            <w:noWrap w:val="0"/>
            <w:vAlign w:val="center"/>
          </w:tcPr>
          <w:p w14:paraId="3E85A8A4">
            <w:pPr>
              <w:pStyle w:val="189"/>
              <w:rPr>
                <w:color w:val="auto"/>
                <w:szCs w:val="21"/>
                <w:highlight w:val="none"/>
              </w:rPr>
            </w:pPr>
            <w:r>
              <w:rPr>
                <w:color w:val="auto"/>
                <w:szCs w:val="21"/>
                <w:highlight w:val="none"/>
              </w:rPr>
              <w:t>90</w:t>
            </w:r>
          </w:p>
        </w:tc>
      </w:tr>
      <w:tr w14:paraId="41265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5F521D26">
            <w:pPr>
              <w:pStyle w:val="189"/>
              <w:rPr>
                <w:color w:val="auto"/>
                <w:szCs w:val="21"/>
                <w:highlight w:val="none"/>
              </w:rPr>
            </w:pPr>
            <w:r>
              <w:rPr>
                <w:color w:val="auto"/>
                <w:szCs w:val="21"/>
                <w:highlight w:val="none"/>
              </w:rPr>
              <w:t>7</w:t>
            </w:r>
          </w:p>
        </w:tc>
        <w:tc>
          <w:tcPr>
            <w:tcW w:w="1907" w:type="dxa"/>
            <w:noWrap w:val="0"/>
            <w:vAlign w:val="center"/>
          </w:tcPr>
          <w:p w14:paraId="552B18AA">
            <w:pPr>
              <w:pStyle w:val="189"/>
              <w:rPr>
                <w:color w:val="auto"/>
                <w:szCs w:val="21"/>
                <w:highlight w:val="none"/>
              </w:rPr>
            </w:pPr>
            <w:r>
              <w:rPr>
                <w:rFonts w:hint="eastAsia"/>
                <w:color w:val="auto"/>
                <w:szCs w:val="21"/>
                <w:highlight w:val="none"/>
              </w:rPr>
              <w:t>电锯</w:t>
            </w:r>
          </w:p>
        </w:tc>
        <w:tc>
          <w:tcPr>
            <w:tcW w:w="1907" w:type="dxa"/>
            <w:noWrap w:val="0"/>
            <w:vAlign w:val="center"/>
          </w:tcPr>
          <w:p w14:paraId="7791CBA0">
            <w:pPr>
              <w:pStyle w:val="189"/>
              <w:rPr>
                <w:color w:val="auto"/>
                <w:szCs w:val="21"/>
                <w:highlight w:val="none"/>
              </w:rPr>
            </w:pPr>
            <w:r>
              <w:rPr>
                <w:color w:val="auto"/>
                <w:szCs w:val="21"/>
                <w:highlight w:val="none"/>
              </w:rPr>
              <w:t>φ500</w:t>
            </w:r>
          </w:p>
        </w:tc>
        <w:tc>
          <w:tcPr>
            <w:tcW w:w="1732" w:type="dxa"/>
            <w:noWrap w:val="0"/>
            <w:vAlign w:val="center"/>
          </w:tcPr>
          <w:p w14:paraId="2929EE4E">
            <w:pPr>
              <w:pStyle w:val="189"/>
              <w:rPr>
                <w:color w:val="auto"/>
                <w:szCs w:val="21"/>
                <w:highlight w:val="none"/>
              </w:rPr>
            </w:pPr>
            <w:r>
              <w:rPr>
                <w:color w:val="auto"/>
                <w:szCs w:val="21"/>
                <w:highlight w:val="none"/>
              </w:rPr>
              <w:t>5</w:t>
            </w:r>
          </w:p>
        </w:tc>
        <w:tc>
          <w:tcPr>
            <w:tcW w:w="1744" w:type="dxa"/>
            <w:noWrap w:val="0"/>
            <w:vAlign w:val="center"/>
          </w:tcPr>
          <w:p w14:paraId="6CD552B8">
            <w:pPr>
              <w:pStyle w:val="189"/>
              <w:rPr>
                <w:color w:val="auto"/>
                <w:szCs w:val="21"/>
                <w:highlight w:val="none"/>
              </w:rPr>
            </w:pPr>
            <w:r>
              <w:rPr>
                <w:color w:val="auto"/>
                <w:szCs w:val="21"/>
                <w:highlight w:val="none"/>
              </w:rPr>
              <w:t>92</w:t>
            </w:r>
          </w:p>
        </w:tc>
      </w:tr>
      <w:tr w14:paraId="7C6A4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58F886A2">
            <w:pPr>
              <w:pStyle w:val="189"/>
              <w:rPr>
                <w:color w:val="auto"/>
                <w:szCs w:val="21"/>
                <w:highlight w:val="none"/>
              </w:rPr>
            </w:pPr>
            <w:r>
              <w:rPr>
                <w:color w:val="auto"/>
                <w:szCs w:val="21"/>
                <w:highlight w:val="none"/>
              </w:rPr>
              <w:t>8</w:t>
            </w:r>
          </w:p>
        </w:tc>
        <w:tc>
          <w:tcPr>
            <w:tcW w:w="1907" w:type="dxa"/>
            <w:noWrap w:val="0"/>
            <w:vAlign w:val="center"/>
          </w:tcPr>
          <w:p w14:paraId="3ADD61C9">
            <w:pPr>
              <w:pStyle w:val="189"/>
              <w:rPr>
                <w:color w:val="auto"/>
                <w:szCs w:val="21"/>
                <w:highlight w:val="none"/>
              </w:rPr>
            </w:pPr>
            <w:r>
              <w:rPr>
                <w:rFonts w:hint="eastAsia"/>
                <w:color w:val="auto"/>
                <w:szCs w:val="21"/>
                <w:highlight w:val="none"/>
              </w:rPr>
              <w:t>卷扬机</w:t>
            </w:r>
          </w:p>
        </w:tc>
        <w:tc>
          <w:tcPr>
            <w:tcW w:w="1907" w:type="dxa"/>
            <w:noWrap w:val="0"/>
            <w:vAlign w:val="center"/>
          </w:tcPr>
          <w:p w14:paraId="0DD802A4">
            <w:pPr>
              <w:pStyle w:val="189"/>
              <w:rPr>
                <w:color w:val="auto"/>
                <w:szCs w:val="21"/>
                <w:highlight w:val="none"/>
              </w:rPr>
            </w:pPr>
            <w:r>
              <w:rPr>
                <w:color w:val="auto"/>
                <w:szCs w:val="21"/>
                <w:highlight w:val="none"/>
              </w:rPr>
              <w:t>QT40</w:t>
            </w:r>
          </w:p>
        </w:tc>
        <w:tc>
          <w:tcPr>
            <w:tcW w:w="1732" w:type="dxa"/>
            <w:noWrap w:val="0"/>
            <w:vAlign w:val="center"/>
          </w:tcPr>
          <w:p w14:paraId="29874666">
            <w:pPr>
              <w:pStyle w:val="189"/>
              <w:rPr>
                <w:color w:val="auto"/>
                <w:szCs w:val="21"/>
                <w:highlight w:val="none"/>
              </w:rPr>
            </w:pPr>
            <w:r>
              <w:rPr>
                <w:color w:val="auto"/>
                <w:szCs w:val="21"/>
                <w:highlight w:val="none"/>
              </w:rPr>
              <w:t>5</w:t>
            </w:r>
          </w:p>
        </w:tc>
        <w:tc>
          <w:tcPr>
            <w:tcW w:w="1744" w:type="dxa"/>
            <w:noWrap w:val="0"/>
            <w:vAlign w:val="center"/>
          </w:tcPr>
          <w:p w14:paraId="10E616CD">
            <w:pPr>
              <w:pStyle w:val="189"/>
              <w:rPr>
                <w:color w:val="auto"/>
                <w:szCs w:val="21"/>
                <w:highlight w:val="none"/>
              </w:rPr>
            </w:pPr>
            <w:r>
              <w:rPr>
                <w:color w:val="auto"/>
                <w:szCs w:val="21"/>
                <w:highlight w:val="none"/>
              </w:rPr>
              <w:t>75</w:t>
            </w:r>
          </w:p>
        </w:tc>
      </w:tr>
      <w:tr w14:paraId="0A840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03B9818E">
            <w:pPr>
              <w:pStyle w:val="189"/>
              <w:rPr>
                <w:color w:val="auto"/>
                <w:szCs w:val="21"/>
                <w:highlight w:val="none"/>
              </w:rPr>
            </w:pPr>
            <w:r>
              <w:rPr>
                <w:color w:val="auto"/>
                <w:szCs w:val="21"/>
                <w:highlight w:val="none"/>
              </w:rPr>
              <w:t>9</w:t>
            </w:r>
          </w:p>
        </w:tc>
        <w:tc>
          <w:tcPr>
            <w:tcW w:w="1907" w:type="dxa"/>
            <w:noWrap w:val="0"/>
            <w:vAlign w:val="center"/>
          </w:tcPr>
          <w:p w14:paraId="601DCECF">
            <w:pPr>
              <w:pStyle w:val="189"/>
              <w:rPr>
                <w:color w:val="auto"/>
                <w:szCs w:val="21"/>
                <w:highlight w:val="none"/>
              </w:rPr>
            </w:pPr>
            <w:r>
              <w:rPr>
                <w:rFonts w:hint="eastAsia"/>
                <w:color w:val="auto"/>
                <w:szCs w:val="21"/>
                <w:highlight w:val="none"/>
              </w:rPr>
              <w:t>装载机</w:t>
            </w:r>
          </w:p>
        </w:tc>
        <w:tc>
          <w:tcPr>
            <w:tcW w:w="1907" w:type="dxa"/>
            <w:noWrap w:val="0"/>
            <w:vAlign w:val="center"/>
          </w:tcPr>
          <w:p w14:paraId="38862371">
            <w:pPr>
              <w:pStyle w:val="189"/>
              <w:rPr>
                <w:color w:val="auto"/>
                <w:szCs w:val="21"/>
                <w:highlight w:val="none"/>
              </w:rPr>
            </w:pPr>
            <w:r>
              <w:rPr>
                <w:color w:val="auto"/>
                <w:szCs w:val="21"/>
                <w:highlight w:val="none"/>
              </w:rPr>
              <w:t>ZL40</w:t>
            </w:r>
          </w:p>
        </w:tc>
        <w:tc>
          <w:tcPr>
            <w:tcW w:w="1732" w:type="dxa"/>
            <w:noWrap w:val="0"/>
            <w:vAlign w:val="center"/>
          </w:tcPr>
          <w:p w14:paraId="0B1B7AC6">
            <w:pPr>
              <w:pStyle w:val="189"/>
              <w:rPr>
                <w:color w:val="auto"/>
                <w:szCs w:val="21"/>
                <w:highlight w:val="none"/>
              </w:rPr>
            </w:pPr>
            <w:r>
              <w:rPr>
                <w:color w:val="auto"/>
                <w:szCs w:val="21"/>
                <w:highlight w:val="none"/>
              </w:rPr>
              <w:t>5</w:t>
            </w:r>
          </w:p>
        </w:tc>
        <w:tc>
          <w:tcPr>
            <w:tcW w:w="1744" w:type="dxa"/>
            <w:noWrap w:val="0"/>
            <w:vAlign w:val="center"/>
          </w:tcPr>
          <w:p w14:paraId="7DAF4D14">
            <w:pPr>
              <w:pStyle w:val="189"/>
              <w:rPr>
                <w:color w:val="auto"/>
                <w:szCs w:val="21"/>
                <w:highlight w:val="none"/>
              </w:rPr>
            </w:pPr>
            <w:r>
              <w:rPr>
                <w:color w:val="auto"/>
                <w:szCs w:val="21"/>
                <w:highlight w:val="none"/>
              </w:rPr>
              <w:t>90</w:t>
            </w:r>
          </w:p>
        </w:tc>
      </w:tr>
      <w:tr w14:paraId="3AAAB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noWrap w:val="0"/>
            <w:vAlign w:val="center"/>
          </w:tcPr>
          <w:p w14:paraId="7DD4DF5F">
            <w:pPr>
              <w:pStyle w:val="189"/>
              <w:rPr>
                <w:color w:val="auto"/>
                <w:szCs w:val="21"/>
                <w:highlight w:val="none"/>
              </w:rPr>
            </w:pPr>
            <w:r>
              <w:rPr>
                <w:color w:val="auto"/>
                <w:szCs w:val="21"/>
                <w:highlight w:val="none"/>
              </w:rPr>
              <w:t>10</w:t>
            </w:r>
          </w:p>
        </w:tc>
        <w:tc>
          <w:tcPr>
            <w:tcW w:w="1907" w:type="dxa"/>
            <w:noWrap w:val="0"/>
            <w:vAlign w:val="center"/>
          </w:tcPr>
          <w:p w14:paraId="0B9D8DB0">
            <w:pPr>
              <w:pStyle w:val="189"/>
              <w:rPr>
                <w:color w:val="auto"/>
                <w:szCs w:val="21"/>
                <w:highlight w:val="none"/>
              </w:rPr>
            </w:pPr>
            <w:r>
              <w:rPr>
                <w:rFonts w:hint="eastAsia"/>
                <w:color w:val="auto"/>
                <w:szCs w:val="21"/>
                <w:highlight w:val="none"/>
              </w:rPr>
              <w:t>振拔机</w:t>
            </w:r>
          </w:p>
        </w:tc>
        <w:tc>
          <w:tcPr>
            <w:tcW w:w="1907" w:type="dxa"/>
            <w:noWrap w:val="0"/>
            <w:vAlign w:val="center"/>
          </w:tcPr>
          <w:p w14:paraId="45EAC1FE">
            <w:pPr>
              <w:pStyle w:val="189"/>
              <w:rPr>
                <w:color w:val="auto"/>
                <w:szCs w:val="21"/>
                <w:highlight w:val="none"/>
              </w:rPr>
            </w:pPr>
          </w:p>
        </w:tc>
        <w:tc>
          <w:tcPr>
            <w:tcW w:w="1732" w:type="dxa"/>
            <w:noWrap w:val="0"/>
            <w:vAlign w:val="center"/>
          </w:tcPr>
          <w:p w14:paraId="19F8EF18">
            <w:pPr>
              <w:pStyle w:val="189"/>
              <w:rPr>
                <w:color w:val="auto"/>
                <w:szCs w:val="21"/>
                <w:highlight w:val="none"/>
              </w:rPr>
            </w:pPr>
            <w:r>
              <w:rPr>
                <w:color w:val="auto"/>
                <w:szCs w:val="21"/>
                <w:highlight w:val="none"/>
              </w:rPr>
              <w:t>5</w:t>
            </w:r>
          </w:p>
        </w:tc>
        <w:tc>
          <w:tcPr>
            <w:tcW w:w="1744" w:type="dxa"/>
            <w:noWrap w:val="0"/>
            <w:vAlign w:val="center"/>
          </w:tcPr>
          <w:p w14:paraId="60AE3C47">
            <w:pPr>
              <w:pStyle w:val="189"/>
              <w:rPr>
                <w:color w:val="auto"/>
                <w:szCs w:val="21"/>
                <w:highlight w:val="none"/>
              </w:rPr>
            </w:pPr>
            <w:r>
              <w:rPr>
                <w:color w:val="auto"/>
                <w:szCs w:val="21"/>
                <w:highlight w:val="none"/>
              </w:rPr>
              <w:t>88</w:t>
            </w:r>
          </w:p>
        </w:tc>
      </w:tr>
    </w:tbl>
    <w:p w14:paraId="2D247912">
      <w:pPr>
        <w:pStyle w:val="181"/>
        <w:ind w:firstLine="480"/>
        <w:rPr>
          <w:color w:val="auto"/>
          <w:highlight w:val="none"/>
        </w:rPr>
      </w:pPr>
      <w:r>
        <w:rPr>
          <w:rFonts w:hint="eastAsia"/>
          <w:color w:val="auto"/>
          <w:highlight w:val="none"/>
        </w:rPr>
        <w:t>假设所有设备均为稳态连续发声状态，在不考虑任何声屏障情况下，根据施工机械的噪声源强，通过类比调查，将预测的结果列于表</w:t>
      </w:r>
      <w:r>
        <w:rPr>
          <w:color w:val="auto"/>
          <w:highlight w:val="none"/>
        </w:rPr>
        <w:t>5.1-</w:t>
      </w:r>
      <w:r>
        <w:rPr>
          <w:rFonts w:hint="eastAsia"/>
          <w:color w:val="auto"/>
          <w:highlight w:val="none"/>
        </w:rPr>
        <w:t>2。</w:t>
      </w:r>
    </w:p>
    <w:p w14:paraId="3147858E">
      <w:pPr>
        <w:pStyle w:val="199"/>
        <w:spacing w:before="120"/>
        <w:rPr>
          <w:color w:val="auto"/>
          <w:sz w:val="24"/>
          <w:highlight w:val="none"/>
        </w:rPr>
      </w:pPr>
      <w:r>
        <w:rPr>
          <w:rFonts w:hint="eastAsia"/>
          <w:color w:val="auto"/>
          <w:sz w:val="24"/>
          <w:highlight w:val="none"/>
        </w:rPr>
        <w:t>表</w:t>
      </w:r>
      <w:r>
        <w:rPr>
          <w:color w:val="auto"/>
          <w:sz w:val="24"/>
          <w:highlight w:val="none"/>
        </w:rPr>
        <w:t>5.1-</w:t>
      </w:r>
      <w:r>
        <w:rPr>
          <w:rFonts w:hint="eastAsia"/>
          <w:color w:val="auto"/>
          <w:sz w:val="24"/>
          <w:highlight w:val="none"/>
        </w:rPr>
        <w:t>2</w:t>
      </w:r>
      <w:r>
        <w:rPr>
          <w:color w:val="auto"/>
          <w:sz w:val="24"/>
          <w:highlight w:val="none"/>
        </w:rPr>
        <w:t xml:space="preserve">  </w:t>
      </w:r>
      <w:r>
        <w:rPr>
          <w:rFonts w:hint="eastAsia"/>
          <w:color w:val="auto"/>
          <w:sz w:val="24"/>
          <w:highlight w:val="none"/>
        </w:rPr>
        <w:t>单台设备随距离衰减噪声值</w:t>
      </w:r>
      <w:r>
        <w:rPr>
          <w:color w:val="auto"/>
          <w:sz w:val="24"/>
          <w:highlight w:val="none"/>
        </w:rPr>
        <w:t xml:space="preserve">  </w:t>
      </w:r>
      <w:r>
        <w:rPr>
          <w:rFonts w:hint="eastAsia"/>
          <w:color w:val="auto"/>
          <w:sz w:val="24"/>
          <w:highlight w:val="none"/>
        </w:rPr>
        <w:t>单位：</w:t>
      </w:r>
      <w:r>
        <w:rPr>
          <w:color w:val="auto"/>
          <w:sz w:val="24"/>
          <w:highlight w:val="none"/>
        </w:rPr>
        <w:t>dB</w:t>
      </w:r>
      <w:r>
        <w:rPr>
          <w:rFonts w:hint="eastAsia"/>
          <w:color w:val="auto"/>
          <w:sz w:val="24"/>
          <w:highlight w:val="none"/>
        </w:rPr>
        <w:t>（</w:t>
      </w:r>
      <w:r>
        <w:rPr>
          <w:color w:val="auto"/>
          <w:sz w:val="24"/>
          <w:highlight w:val="none"/>
        </w:rPr>
        <w:t>A</w:t>
      </w:r>
      <w:r>
        <w:rPr>
          <w:rFonts w:hint="eastAsia"/>
          <w:color w:val="auto"/>
          <w:sz w:val="24"/>
          <w:highlight w:val="none"/>
        </w:rPr>
        <w:t>）</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832"/>
        <w:gridCol w:w="948"/>
        <w:gridCol w:w="948"/>
        <w:gridCol w:w="948"/>
        <w:gridCol w:w="948"/>
        <w:gridCol w:w="948"/>
        <w:gridCol w:w="958"/>
        <w:gridCol w:w="959"/>
      </w:tblGrid>
      <w:tr w14:paraId="3E8B4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795DA3BC">
            <w:pPr>
              <w:pStyle w:val="189"/>
              <w:rPr>
                <w:color w:val="auto"/>
                <w:szCs w:val="21"/>
                <w:highlight w:val="none"/>
              </w:rPr>
            </w:pPr>
            <w:r>
              <w:rPr>
                <w:rFonts w:hint="eastAsia"/>
                <w:color w:val="auto"/>
                <w:szCs w:val="21"/>
                <w:highlight w:val="none"/>
              </w:rPr>
              <w:t>设备名称</w:t>
            </w:r>
          </w:p>
        </w:tc>
        <w:tc>
          <w:tcPr>
            <w:tcW w:w="867" w:type="dxa"/>
            <w:noWrap w:val="0"/>
            <w:vAlign w:val="center"/>
          </w:tcPr>
          <w:p w14:paraId="46B24844">
            <w:pPr>
              <w:pStyle w:val="189"/>
              <w:rPr>
                <w:color w:val="auto"/>
                <w:szCs w:val="21"/>
                <w:highlight w:val="none"/>
              </w:rPr>
            </w:pPr>
            <w:r>
              <w:rPr>
                <w:color w:val="auto"/>
                <w:szCs w:val="21"/>
                <w:highlight w:val="none"/>
              </w:rPr>
              <w:t>5m</w:t>
            </w:r>
          </w:p>
        </w:tc>
        <w:tc>
          <w:tcPr>
            <w:tcW w:w="984" w:type="dxa"/>
            <w:noWrap w:val="0"/>
            <w:vAlign w:val="center"/>
          </w:tcPr>
          <w:p w14:paraId="66B492B5">
            <w:pPr>
              <w:pStyle w:val="189"/>
              <w:rPr>
                <w:color w:val="auto"/>
                <w:szCs w:val="21"/>
                <w:highlight w:val="none"/>
              </w:rPr>
            </w:pPr>
            <w:r>
              <w:rPr>
                <w:color w:val="auto"/>
                <w:szCs w:val="21"/>
                <w:highlight w:val="none"/>
              </w:rPr>
              <w:t>10m</w:t>
            </w:r>
          </w:p>
        </w:tc>
        <w:tc>
          <w:tcPr>
            <w:tcW w:w="985" w:type="dxa"/>
            <w:noWrap w:val="0"/>
            <w:vAlign w:val="center"/>
          </w:tcPr>
          <w:p w14:paraId="29992E55">
            <w:pPr>
              <w:pStyle w:val="189"/>
              <w:rPr>
                <w:color w:val="auto"/>
                <w:szCs w:val="21"/>
                <w:highlight w:val="none"/>
              </w:rPr>
            </w:pPr>
            <w:r>
              <w:rPr>
                <w:color w:val="auto"/>
                <w:szCs w:val="21"/>
                <w:highlight w:val="none"/>
              </w:rPr>
              <w:t>20m</w:t>
            </w:r>
          </w:p>
        </w:tc>
        <w:tc>
          <w:tcPr>
            <w:tcW w:w="985" w:type="dxa"/>
            <w:noWrap w:val="0"/>
            <w:vAlign w:val="center"/>
          </w:tcPr>
          <w:p w14:paraId="4556750C">
            <w:pPr>
              <w:pStyle w:val="189"/>
              <w:rPr>
                <w:color w:val="auto"/>
                <w:szCs w:val="21"/>
                <w:highlight w:val="none"/>
              </w:rPr>
            </w:pPr>
            <w:r>
              <w:rPr>
                <w:color w:val="auto"/>
                <w:szCs w:val="21"/>
                <w:highlight w:val="none"/>
              </w:rPr>
              <w:t>30m</w:t>
            </w:r>
          </w:p>
        </w:tc>
        <w:tc>
          <w:tcPr>
            <w:tcW w:w="985" w:type="dxa"/>
            <w:noWrap w:val="0"/>
            <w:vAlign w:val="center"/>
          </w:tcPr>
          <w:p w14:paraId="742B98CF">
            <w:pPr>
              <w:pStyle w:val="189"/>
              <w:rPr>
                <w:color w:val="auto"/>
                <w:szCs w:val="21"/>
                <w:highlight w:val="none"/>
              </w:rPr>
            </w:pPr>
            <w:r>
              <w:rPr>
                <w:color w:val="auto"/>
                <w:szCs w:val="21"/>
                <w:highlight w:val="none"/>
              </w:rPr>
              <w:t>40m</w:t>
            </w:r>
          </w:p>
        </w:tc>
        <w:tc>
          <w:tcPr>
            <w:tcW w:w="985" w:type="dxa"/>
            <w:noWrap w:val="0"/>
            <w:vAlign w:val="center"/>
          </w:tcPr>
          <w:p w14:paraId="45E58EBD">
            <w:pPr>
              <w:pStyle w:val="189"/>
              <w:rPr>
                <w:color w:val="auto"/>
                <w:szCs w:val="21"/>
                <w:highlight w:val="none"/>
              </w:rPr>
            </w:pPr>
            <w:r>
              <w:rPr>
                <w:color w:val="auto"/>
                <w:szCs w:val="21"/>
                <w:highlight w:val="none"/>
              </w:rPr>
              <w:t>80m</w:t>
            </w:r>
          </w:p>
        </w:tc>
        <w:tc>
          <w:tcPr>
            <w:tcW w:w="985" w:type="dxa"/>
            <w:noWrap w:val="0"/>
            <w:vAlign w:val="center"/>
          </w:tcPr>
          <w:p w14:paraId="564098B3">
            <w:pPr>
              <w:pStyle w:val="189"/>
              <w:rPr>
                <w:color w:val="auto"/>
                <w:szCs w:val="21"/>
                <w:highlight w:val="none"/>
              </w:rPr>
            </w:pPr>
            <w:r>
              <w:rPr>
                <w:color w:val="auto"/>
                <w:szCs w:val="21"/>
                <w:highlight w:val="none"/>
              </w:rPr>
              <w:t>150m</w:t>
            </w:r>
          </w:p>
        </w:tc>
        <w:tc>
          <w:tcPr>
            <w:tcW w:w="985" w:type="dxa"/>
            <w:noWrap w:val="0"/>
            <w:vAlign w:val="center"/>
          </w:tcPr>
          <w:p w14:paraId="02CC886B">
            <w:pPr>
              <w:pStyle w:val="189"/>
              <w:rPr>
                <w:color w:val="auto"/>
                <w:szCs w:val="21"/>
                <w:highlight w:val="none"/>
              </w:rPr>
            </w:pPr>
            <w:r>
              <w:rPr>
                <w:color w:val="auto"/>
                <w:szCs w:val="21"/>
                <w:highlight w:val="none"/>
              </w:rPr>
              <w:t>200m</w:t>
            </w:r>
          </w:p>
        </w:tc>
      </w:tr>
      <w:tr w14:paraId="74EA5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05A42362">
            <w:pPr>
              <w:pStyle w:val="189"/>
              <w:rPr>
                <w:color w:val="auto"/>
                <w:szCs w:val="21"/>
                <w:highlight w:val="none"/>
              </w:rPr>
            </w:pPr>
            <w:r>
              <w:rPr>
                <w:rFonts w:hint="eastAsia"/>
                <w:color w:val="auto"/>
                <w:szCs w:val="21"/>
                <w:highlight w:val="none"/>
              </w:rPr>
              <w:t>挖掘机</w:t>
            </w:r>
          </w:p>
        </w:tc>
        <w:tc>
          <w:tcPr>
            <w:tcW w:w="867" w:type="dxa"/>
            <w:noWrap w:val="0"/>
            <w:vAlign w:val="center"/>
          </w:tcPr>
          <w:p w14:paraId="45355DF0">
            <w:pPr>
              <w:pStyle w:val="189"/>
              <w:rPr>
                <w:color w:val="auto"/>
                <w:szCs w:val="21"/>
                <w:highlight w:val="none"/>
              </w:rPr>
            </w:pPr>
            <w:r>
              <w:rPr>
                <w:color w:val="auto"/>
                <w:szCs w:val="21"/>
                <w:highlight w:val="none"/>
              </w:rPr>
              <w:t>84</w:t>
            </w:r>
          </w:p>
        </w:tc>
        <w:tc>
          <w:tcPr>
            <w:tcW w:w="984" w:type="dxa"/>
            <w:noWrap w:val="0"/>
            <w:vAlign w:val="center"/>
          </w:tcPr>
          <w:p w14:paraId="4E1FB1F4">
            <w:pPr>
              <w:pStyle w:val="189"/>
              <w:rPr>
                <w:color w:val="auto"/>
                <w:szCs w:val="21"/>
                <w:highlight w:val="none"/>
              </w:rPr>
            </w:pPr>
            <w:r>
              <w:rPr>
                <w:color w:val="auto"/>
                <w:szCs w:val="21"/>
                <w:highlight w:val="none"/>
              </w:rPr>
              <w:t>78</w:t>
            </w:r>
          </w:p>
        </w:tc>
        <w:tc>
          <w:tcPr>
            <w:tcW w:w="985" w:type="dxa"/>
            <w:noWrap w:val="0"/>
            <w:vAlign w:val="center"/>
          </w:tcPr>
          <w:p w14:paraId="3CB93606">
            <w:pPr>
              <w:pStyle w:val="189"/>
              <w:rPr>
                <w:color w:val="auto"/>
                <w:szCs w:val="21"/>
                <w:highlight w:val="none"/>
              </w:rPr>
            </w:pPr>
            <w:r>
              <w:rPr>
                <w:color w:val="auto"/>
                <w:szCs w:val="21"/>
                <w:highlight w:val="none"/>
              </w:rPr>
              <w:t>78</w:t>
            </w:r>
          </w:p>
        </w:tc>
        <w:tc>
          <w:tcPr>
            <w:tcW w:w="985" w:type="dxa"/>
            <w:noWrap w:val="0"/>
            <w:vAlign w:val="center"/>
          </w:tcPr>
          <w:p w14:paraId="6BE89794">
            <w:pPr>
              <w:pStyle w:val="189"/>
              <w:rPr>
                <w:color w:val="auto"/>
                <w:szCs w:val="21"/>
                <w:highlight w:val="none"/>
              </w:rPr>
            </w:pPr>
            <w:r>
              <w:rPr>
                <w:color w:val="auto"/>
                <w:szCs w:val="21"/>
                <w:highlight w:val="none"/>
              </w:rPr>
              <w:t>68.5</w:t>
            </w:r>
          </w:p>
        </w:tc>
        <w:tc>
          <w:tcPr>
            <w:tcW w:w="985" w:type="dxa"/>
            <w:noWrap w:val="0"/>
            <w:vAlign w:val="center"/>
          </w:tcPr>
          <w:p w14:paraId="1A9E1FEC">
            <w:pPr>
              <w:pStyle w:val="189"/>
              <w:rPr>
                <w:color w:val="auto"/>
                <w:szCs w:val="21"/>
                <w:highlight w:val="none"/>
              </w:rPr>
            </w:pPr>
            <w:r>
              <w:rPr>
                <w:color w:val="auto"/>
                <w:szCs w:val="21"/>
                <w:highlight w:val="none"/>
              </w:rPr>
              <w:t>66</w:t>
            </w:r>
          </w:p>
        </w:tc>
        <w:tc>
          <w:tcPr>
            <w:tcW w:w="985" w:type="dxa"/>
            <w:noWrap w:val="0"/>
            <w:vAlign w:val="center"/>
          </w:tcPr>
          <w:p w14:paraId="6EAA6D38">
            <w:pPr>
              <w:pStyle w:val="189"/>
              <w:rPr>
                <w:color w:val="auto"/>
                <w:szCs w:val="21"/>
                <w:highlight w:val="none"/>
              </w:rPr>
            </w:pPr>
            <w:r>
              <w:rPr>
                <w:color w:val="auto"/>
                <w:szCs w:val="21"/>
                <w:highlight w:val="none"/>
              </w:rPr>
              <w:t>62</w:t>
            </w:r>
          </w:p>
        </w:tc>
        <w:tc>
          <w:tcPr>
            <w:tcW w:w="985" w:type="dxa"/>
            <w:noWrap w:val="0"/>
            <w:vAlign w:val="center"/>
          </w:tcPr>
          <w:p w14:paraId="44414C71">
            <w:pPr>
              <w:pStyle w:val="189"/>
              <w:rPr>
                <w:color w:val="auto"/>
                <w:szCs w:val="21"/>
                <w:highlight w:val="none"/>
              </w:rPr>
            </w:pPr>
            <w:r>
              <w:rPr>
                <w:color w:val="auto"/>
                <w:szCs w:val="21"/>
                <w:highlight w:val="none"/>
              </w:rPr>
              <w:t>56.5</w:t>
            </w:r>
          </w:p>
        </w:tc>
        <w:tc>
          <w:tcPr>
            <w:tcW w:w="985" w:type="dxa"/>
            <w:noWrap w:val="0"/>
            <w:vAlign w:val="center"/>
          </w:tcPr>
          <w:p w14:paraId="4E680435">
            <w:pPr>
              <w:pStyle w:val="189"/>
              <w:rPr>
                <w:color w:val="auto"/>
                <w:szCs w:val="21"/>
                <w:highlight w:val="none"/>
              </w:rPr>
            </w:pPr>
            <w:r>
              <w:rPr>
                <w:color w:val="auto"/>
                <w:szCs w:val="21"/>
                <w:highlight w:val="none"/>
              </w:rPr>
              <w:t>53.9</w:t>
            </w:r>
          </w:p>
        </w:tc>
      </w:tr>
      <w:tr w14:paraId="77764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2EF95FEA">
            <w:pPr>
              <w:pStyle w:val="189"/>
              <w:rPr>
                <w:color w:val="auto"/>
                <w:szCs w:val="21"/>
                <w:highlight w:val="none"/>
              </w:rPr>
            </w:pPr>
            <w:r>
              <w:rPr>
                <w:rFonts w:hint="eastAsia"/>
                <w:color w:val="auto"/>
                <w:szCs w:val="21"/>
                <w:highlight w:val="none"/>
              </w:rPr>
              <w:t>装载机</w:t>
            </w:r>
          </w:p>
        </w:tc>
        <w:tc>
          <w:tcPr>
            <w:tcW w:w="867" w:type="dxa"/>
            <w:noWrap w:val="0"/>
            <w:vAlign w:val="center"/>
          </w:tcPr>
          <w:p w14:paraId="40369E2E">
            <w:pPr>
              <w:pStyle w:val="189"/>
              <w:rPr>
                <w:color w:val="auto"/>
                <w:szCs w:val="21"/>
                <w:highlight w:val="none"/>
              </w:rPr>
            </w:pPr>
            <w:r>
              <w:rPr>
                <w:color w:val="auto"/>
                <w:szCs w:val="21"/>
                <w:highlight w:val="none"/>
              </w:rPr>
              <w:t>90</w:t>
            </w:r>
          </w:p>
        </w:tc>
        <w:tc>
          <w:tcPr>
            <w:tcW w:w="984" w:type="dxa"/>
            <w:noWrap w:val="0"/>
            <w:vAlign w:val="center"/>
          </w:tcPr>
          <w:p w14:paraId="64A87D22">
            <w:pPr>
              <w:pStyle w:val="189"/>
              <w:rPr>
                <w:color w:val="auto"/>
                <w:szCs w:val="21"/>
                <w:highlight w:val="none"/>
              </w:rPr>
            </w:pPr>
            <w:r>
              <w:rPr>
                <w:color w:val="auto"/>
                <w:szCs w:val="21"/>
                <w:highlight w:val="none"/>
              </w:rPr>
              <w:t>84</w:t>
            </w:r>
          </w:p>
        </w:tc>
        <w:tc>
          <w:tcPr>
            <w:tcW w:w="985" w:type="dxa"/>
            <w:noWrap w:val="0"/>
            <w:vAlign w:val="center"/>
          </w:tcPr>
          <w:p w14:paraId="68D6890B">
            <w:pPr>
              <w:pStyle w:val="189"/>
              <w:rPr>
                <w:color w:val="auto"/>
                <w:szCs w:val="21"/>
                <w:highlight w:val="none"/>
              </w:rPr>
            </w:pPr>
            <w:r>
              <w:rPr>
                <w:color w:val="auto"/>
                <w:szCs w:val="21"/>
                <w:highlight w:val="none"/>
              </w:rPr>
              <w:t>78</w:t>
            </w:r>
          </w:p>
        </w:tc>
        <w:tc>
          <w:tcPr>
            <w:tcW w:w="985" w:type="dxa"/>
            <w:noWrap w:val="0"/>
            <w:vAlign w:val="center"/>
          </w:tcPr>
          <w:p w14:paraId="38D4026F">
            <w:pPr>
              <w:pStyle w:val="189"/>
              <w:rPr>
                <w:color w:val="auto"/>
                <w:szCs w:val="21"/>
                <w:highlight w:val="none"/>
              </w:rPr>
            </w:pPr>
            <w:r>
              <w:rPr>
                <w:color w:val="auto"/>
                <w:szCs w:val="21"/>
                <w:highlight w:val="none"/>
              </w:rPr>
              <w:t>74.5</w:t>
            </w:r>
          </w:p>
        </w:tc>
        <w:tc>
          <w:tcPr>
            <w:tcW w:w="985" w:type="dxa"/>
            <w:noWrap w:val="0"/>
            <w:vAlign w:val="center"/>
          </w:tcPr>
          <w:p w14:paraId="7A629FFB">
            <w:pPr>
              <w:pStyle w:val="189"/>
              <w:rPr>
                <w:color w:val="auto"/>
                <w:szCs w:val="21"/>
                <w:highlight w:val="none"/>
              </w:rPr>
            </w:pPr>
            <w:r>
              <w:rPr>
                <w:color w:val="auto"/>
                <w:szCs w:val="21"/>
                <w:highlight w:val="none"/>
              </w:rPr>
              <w:t>72</w:t>
            </w:r>
          </w:p>
        </w:tc>
        <w:tc>
          <w:tcPr>
            <w:tcW w:w="985" w:type="dxa"/>
            <w:noWrap w:val="0"/>
            <w:vAlign w:val="center"/>
          </w:tcPr>
          <w:p w14:paraId="6F8091FB">
            <w:pPr>
              <w:pStyle w:val="189"/>
              <w:rPr>
                <w:color w:val="auto"/>
                <w:szCs w:val="21"/>
                <w:highlight w:val="none"/>
              </w:rPr>
            </w:pPr>
            <w:r>
              <w:rPr>
                <w:color w:val="auto"/>
                <w:szCs w:val="21"/>
                <w:highlight w:val="none"/>
              </w:rPr>
              <w:t>68</w:t>
            </w:r>
          </w:p>
        </w:tc>
        <w:tc>
          <w:tcPr>
            <w:tcW w:w="985" w:type="dxa"/>
            <w:noWrap w:val="0"/>
            <w:vAlign w:val="center"/>
          </w:tcPr>
          <w:p w14:paraId="3B897815">
            <w:pPr>
              <w:pStyle w:val="189"/>
              <w:rPr>
                <w:color w:val="auto"/>
                <w:szCs w:val="21"/>
                <w:highlight w:val="none"/>
              </w:rPr>
            </w:pPr>
            <w:r>
              <w:rPr>
                <w:color w:val="auto"/>
                <w:szCs w:val="21"/>
                <w:highlight w:val="none"/>
              </w:rPr>
              <w:t>62.5</w:t>
            </w:r>
          </w:p>
        </w:tc>
        <w:tc>
          <w:tcPr>
            <w:tcW w:w="985" w:type="dxa"/>
            <w:noWrap w:val="0"/>
            <w:vAlign w:val="center"/>
          </w:tcPr>
          <w:p w14:paraId="0029A557">
            <w:pPr>
              <w:pStyle w:val="189"/>
              <w:rPr>
                <w:color w:val="auto"/>
                <w:szCs w:val="21"/>
                <w:highlight w:val="none"/>
              </w:rPr>
            </w:pPr>
            <w:r>
              <w:rPr>
                <w:color w:val="auto"/>
                <w:szCs w:val="21"/>
                <w:highlight w:val="none"/>
              </w:rPr>
              <w:t>59.9</w:t>
            </w:r>
          </w:p>
        </w:tc>
      </w:tr>
      <w:tr w14:paraId="1A278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6D1298CC">
            <w:pPr>
              <w:pStyle w:val="189"/>
              <w:rPr>
                <w:color w:val="auto"/>
                <w:szCs w:val="21"/>
                <w:highlight w:val="none"/>
              </w:rPr>
            </w:pPr>
            <w:r>
              <w:rPr>
                <w:rFonts w:hint="eastAsia"/>
                <w:color w:val="auto"/>
                <w:szCs w:val="21"/>
                <w:highlight w:val="none"/>
              </w:rPr>
              <w:t>振拔机</w:t>
            </w:r>
          </w:p>
        </w:tc>
        <w:tc>
          <w:tcPr>
            <w:tcW w:w="867" w:type="dxa"/>
            <w:noWrap w:val="0"/>
            <w:vAlign w:val="center"/>
          </w:tcPr>
          <w:p w14:paraId="51A9EF6D">
            <w:pPr>
              <w:pStyle w:val="189"/>
              <w:rPr>
                <w:color w:val="auto"/>
                <w:szCs w:val="21"/>
                <w:highlight w:val="none"/>
              </w:rPr>
            </w:pPr>
            <w:r>
              <w:rPr>
                <w:color w:val="auto"/>
                <w:szCs w:val="21"/>
                <w:highlight w:val="none"/>
              </w:rPr>
              <w:t>88</w:t>
            </w:r>
          </w:p>
        </w:tc>
        <w:tc>
          <w:tcPr>
            <w:tcW w:w="984" w:type="dxa"/>
            <w:noWrap w:val="0"/>
            <w:vAlign w:val="center"/>
          </w:tcPr>
          <w:p w14:paraId="1E74A372">
            <w:pPr>
              <w:pStyle w:val="189"/>
              <w:rPr>
                <w:color w:val="auto"/>
                <w:szCs w:val="21"/>
                <w:highlight w:val="none"/>
              </w:rPr>
            </w:pPr>
            <w:r>
              <w:rPr>
                <w:color w:val="auto"/>
                <w:szCs w:val="21"/>
                <w:highlight w:val="none"/>
              </w:rPr>
              <w:t>82</w:t>
            </w:r>
          </w:p>
        </w:tc>
        <w:tc>
          <w:tcPr>
            <w:tcW w:w="985" w:type="dxa"/>
            <w:noWrap w:val="0"/>
            <w:vAlign w:val="center"/>
          </w:tcPr>
          <w:p w14:paraId="5E38D346">
            <w:pPr>
              <w:pStyle w:val="189"/>
              <w:rPr>
                <w:color w:val="auto"/>
                <w:szCs w:val="21"/>
                <w:highlight w:val="none"/>
              </w:rPr>
            </w:pPr>
            <w:r>
              <w:rPr>
                <w:color w:val="auto"/>
                <w:szCs w:val="21"/>
                <w:highlight w:val="none"/>
              </w:rPr>
              <w:t>76</w:t>
            </w:r>
          </w:p>
        </w:tc>
        <w:tc>
          <w:tcPr>
            <w:tcW w:w="985" w:type="dxa"/>
            <w:noWrap w:val="0"/>
            <w:vAlign w:val="center"/>
          </w:tcPr>
          <w:p w14:paraId="52166D71">
            <w:pPr>
              <w:pStyle w:val="189"/>
              <w:rPr>
                <w:color w:val="auto"/>
                <w:szCs w:val="21"/>
                <w:highlight w:val="none"/>
              </w:rPr>
            </w:pPr>
            <w:r>
              <w:rPr>
                <w:color w:val="auto"/>
                <w:szCs w:val="21"/>
                <w:highlight w:val="none"/>
              </w:rPr>
              <w:t>72.5</w:t>
            </w:r>
          </w:p>
        </w:tc>
        <w:tc>
          <w:tcPr>
            <w:tcW w:w="985" w:type="dxa"/>
            <w:noWrap w:val="0"/>
            <w:vAlign w:val="center"/>
          </w:tcPr>
          <w:p w14:paraId="03B98BD9">
            <w:pPr>
              <w:pStyle w:val="189"/>
              <w:rPr>
                <w:color w:val="auto"/>
                <w:szCs w:val="21"/>
                <w:highlight w:val="none"/>
              </w:rPr>
            </w:pPr>
            <w:r>
              <w:rPr>
                <w:color w:val="auto"/>
                <w:szCs w:val="21"/>
                <w:highlight w:val="none"/>
              </w:rPr>
              <w:t>70</w:t>
            </w:r>
          </w:p>
        </w:tc>
        <w:tc>
          <w:tcPr>
            <w:tcW w:w="985" w:type="dxa"/>
            <w:noWrap w:val="0"/>
            <w:vAlign w:val="center"/>
          </w:tcPr>
          <w:p w14:paraId="65C2DFC0">
            <w:pPr>
              <w:pStyle w:val="189"/>
              <w:rPr>
                <w:color w:val="auto"/>
                <w:szCs w:val="21"/>
                <w:highlight w:val="none"/>
              </w:rPr>
            </w:pPr>
            <w:r>
              <w:rPr>
                <w:color w:val="auto"/>
                <w:szCs w:val="21"/>
                <w:highlight w:val="none"/>
              </w:rPr>
              <w:t>66</w:t>
            </w:r>
          </w:p>
        </w:tc>
        <w:tc>
          <w:tcPr>
            <w:tcW w:w="985" w:type="dxa"/>
            <w:noWrap w:val="0"/>
            <w:vAlign w:val="center"/>
          </w:tcPr>
          <w:p w14:paraId="329E18CA">
            <w:pPr>
              <w:pStyle w:val="189"/>
              <w:rPr>
                <w:color w:val="auto"/>
                <w:szCs w:val="21"/>
                <w:highlight w:val="none"/>
              </w:rPr>
            </w:pPr>
            <w:r>
              <w:rPr>
                <w:color w:val="auto"/>
                <w:szCs w:val="21"/>
                <w:highlight w:val="none"/>
              </w:rPr>
              <w:t>60.5</w:t>
            </w:r>
          </w:p>
        </w:tc>
        <w:tc>
          <w:tcPr>
            <w:tcW w:w="985" w:type="dxa"/>
            <w:noWrap w:val="0"/>
            <w:vAlign w:val="center"/>
          </w:tcPr>
          <w:p w14:paraId="6CD2FCE3">
            <w:pPr>
              <w:pStyle w:val="189"/>
              <w:rPr>
                <w:color w:val="auto"/>
                <w:szCs w:val="21"/>
                <w:highlight w:val="none"/>
              </w:rPr>
            </w:pPr>
            <w:r>
              <w:rPr>
                <w:color w:val="auto"/>
                <w:szCs w:val="21"/>
                <w:highlight w:val="none"/>
              </w:rPr>
              <w:t>57.9</w:t>
            </w:r>
          </w:p>
        </w:tc>
      </w:tr>
      <w:tr w14:paraId="46A70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7BC4FF18">
            <w:pPr>
              <w:pStyle w:val="189"/>
              <w:rPr>
                <w:color w:val="auto"/>
                <w:szCs w:val="21"/>
                <w:highlight w:val="none"/>
              </w:rPr>
            </w:pPr>
            <w:r>
              <w:rPr>
                <w:rFonts w:hint="eastAsia"/>
                <w:color w:val="auto"/>
                <w:szCs w:val="21"/>
                <w:highlight w:val="none"/>
              </w:rPr>
              <w:t>钻孔机</w:t>
            </w:r>
          </w:p>
        </w:tc>
        <w:tc>
          <w:tcPr>
            <w:tcW w:w="867" w:type="dxa"/>
            <w:noWrap w:val="0"/>
            <w:vAlign w:val="center"/>
          </w:tcPr>
          <w:p w14:paraId="7B3E6992">
            <w:pPr>
              <w:pStyle w:val="189"/>
              <w:rPr>
                <w:color w:val="auto"/>
                <w:szCs w:val="21"/>
                <w:highlight w:val="none"/>
              </w:rPr>
            </w:pPr>
            <w:r>
              <w:rPr>
                <w:color w:val="auto"/>
                <w:szCs w:val="21"/>
                <w:highlight w:val="none"/>
              </w:rPr>
              <w:t>82</w:t>
            </w:r>
          </w:p>
        </w:tc>
        <w:tc>
          <w:tcPr>
            <w:tcW w:w="984" w:type="dxa"/>
            <w:noWrap w:val="0"/>
            <w:vAlign w:val="center"/>
          </w:tcPr>
          <w:p w14:paraId="5192A9A2">
            <w:pPr>
              <w:pStyle w:val="189"/>
              <w:rPr>
                <w:color w:val="auto"/>
                <w:szCs w:val="21"/>
                <w:highlight w:val="none"/>
              </w:rPr>
            </w:pPr>
            <w:r>
              <w:rPr>
                <w:color w:val="auto"/>
                <w:szCs w:val="21"/>
                <w:highlight w:val="none"/>
              </w:rPr>
              <w:t>76</w:t>
            </w:r>
          </w:p>
        </w:tc>
        <w:tc>
          <w:tcPr>
            <w:tcW w:w="985" w:type="dxa"/>
            <w:noWrap w:val="0"/>
            <w:vAlign w:val="center"/>
          </w:tcPr>
          <w:p w14:paraId="1075D788">
            <w:pPr>
              <w:pStyle w:val="189"/>
              <w:rPr>
                <w:color w:val="auto"/>
                <w:szCs w:val="21"/>
                <w:highlight w:val="none"/>
              </w:rPr>
            </w:pPr>
            <w:r>
              <w:rPr>
                <w:color w:val="auto"/>
                <w:szCs w:val="21"/>
                <w:highlight w:val="none"/>
              </w:rPr>
              <w:t>73</w:t>
            </w:r>
          </w:p>
        </w:tc>
        <w:tc>
          <w:tcPr>
            <w:tcW w:w="985" w:type="dxa"/>
            <w:noWrap w:val="0"/>
            <w:vAlign w:val="center"/>
          </w:tcPr>
          <w:p w14:paraId="09299112">
            <w:pPr>
              <w:pStyle w:val="189"/>
              <w:rPr>
                <w:color w:val="auto"/>
                <w:szCs w:val="21"/>
                <w:highlight w:val="none"/>
              </w:rPr>
            </w:pPr>
            <w:r>
              <w:rPr>
                <w:color w:val="auto"/>
                <w:szCs w:val="21"/>
                <w:highlight w:val="none"/>
              </w:rPr>
              <w:t>66.5</w:t>
            </w:r>
          </w:p>
        </w:tc>
        <w:tc>
          <w:tcPr>
            <w:tcW w:w="985" w:type="dxa"/>
            <w:noWrap w:val="0"/>
            <w:vAlign w:val="center"/>
          </w:tcPr>
          <w:p w14:paraId="0C367AAF">
            <w:pPr>
              <w:pStyle w:val="189"/>
              <w:rPr>
                <w:color w:val="auto"/>
                <w:szCs w:val="21"/>
                <w:highlight w:val="none"/>
              </w:rPr>
            </w:pPr>
            <w:r>
              <w:rPr>
                <w:color w:val="auto"/>
                <w:szCs w:val="21"/>
                <w:highlight w:val="none"/>
              </w:rPr>
              <w:t>64</w:t>
            </w:r>
          </w:p>
        </w:tc>
        <w:tc>
          <w:tcPr>
            <w:tcW w:w="985" w:type="dxa"/>
            <w:noWrap w:val="0"/>
            <w:vAlign w:val="center"/>
          </w:tcPr>
          <w:p w14:paraId="6AB71B08">
            <w:pPr>
              <w:pStyle w:val="189"/>
              <w:rPr>
                <w:color w:val="auto"/>
                <w:szCs w:val="21"/>
                <w:highlight w:val="none"/>
              </w:rPr>
            </w:pPr>
            <w:r>
              <w:rPr>
                <w:color w:val="auto"/>
                <w:szCs w:val="21"/>
                <w:highlight w:val="none"/>
              </w:rPr>
              <w:t>60</w:t>
            </w:r>
          </w:p>
        </w:tc>
        <w:tc>
          <w:tcPr>
            <w:tcW w:w="985" w:type="dxa"/>
            <w:noWrap w:val="0"/>
            <w:vAlign w:val="center"/>
          </w:tcPr>
          <w:p w14:paraId="303703D3">
            <w:pPr>
              <w:pStyle w:val="189"/>
              <w:rPr>
                <w:color w:val="auto"/>
                <w:szCs w:val="21"/>
                <w:highlight w:val="none"/>
              </w:rPr>
            </w:pPr>
            <w:r>
              <w:rPr>
                <w:color w:val="auto"/>
                <w:szCs w:val="21"/>
                <w:highlight w:val="none"/>
              </w:rPr>
              <w:t>54.5</w:t>
            </w:r>
          </w:p>
        </w:tc>
        <w:tc>
          <w:tcPr>
            <w:tcW w:w="985" w:type="dxa"/>
            <w:noWrap w:val="0"/>
            <w:vAlign w:val="center"/>
          </w:tcPr>
          <w:p w14:paraId="62F72425">
            <w:pPr>
              <w:pStyle w:val="189"/>
              <w:rPr>
                <w:color w:val="auto"/>
                <w:szCs w:val="21"/>
                <w:highlight w:val="none"/>
              </w:rPr>
            </w:pPr>
            <w:r>
              <w:rPr>
                <w:color w:val="auto"/>
                <w:szCs w:val="21"/>
                <w:highlight w:val="none"/>
              </w:rPr>
              <w:t>51.9</w:t>
            </w:r>
          </w:p>
        </w:tc>
      </w:tr>
      <w:tr w14:paraId="0D016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4CF7C097">
            <w:pPr>
              <w:pStyle w:val="189"/>
              <w:rPr>
                <w:color w:val="auto"/>
                <w:szCs w:val="21"/>
                <w:highlight w:val="none"/>
              </w:rPr>
            </w:pPr>
            <w:r>
              <w:rPr>
                <w:rFonts w:hint="eastAsia"/>
                <w:color w:val="auto"/>
                <w:szCs w:val="21"/>
                <w:highlight w:val="none"/>
              </w:rPr>
              <w:t>搅拌机</w:t>
            </w:r>
          </w:p>
        </w:tc>
        <w:tc>
          <w:tcPr>
            <w:tcW w:w="867" w:type="dxa"/>
            <w:noWrap w:val="0"/>
            <w:vAlign w:val="center"/>
          </w:tcPr>
          <w:p w14:paraId="1558BE74">
            <w:pPr>
              <w:pStyle w:val="189"/>
              <w:rPr>
                <w:color w:val="auto"/>
                <w:szCs w:val="21"/>
                <w:highlight w:val="none"/>
              </w:rPr>
            </w:pPr>
            <w:r>
              <w:rPr>
                <w:color w:val="auto"/>
                <w:szCs w:val="21"/>
                <w:highlight w:val="none"/>
              </w:rPr>
              <w:t>80</w:t>
            </w:r>
          </w:p>
        </w:tc>
        <w:tc>
          <w:tcPr>
            <w:tcW w:w="984" w:type="dxa"/>
            <w:noWrap w:val="0"/>
            <w:vAlign w:val="center"/>
          </w:tcPr>
          <w:p w14:paraId="57FFCE8D">
            <w:pPr>
              <w:pStyle w:val="189"/>
              <w:rPr>
                <w:color w:val="auto"/>
                <w:szCs w:val="21"/>
                <w:highlight w:val="none"/>
              </w:rPr>
            </w:pPr>
            <w:r>
              <w:rPr>
                <w:color w:val="auto"/>
                <w:szCs w:val="21"/>
                <w:highlight w:val="none"/>
              </w:rPr>
              <w:t>84</w:t>
            </w:r>
          </w:p>
        </w:tc>
        <w:tc>
          <w:tcPr>
            <w:tcW w:w="985" w:type="dxa"/>
            <w:noWrap w:val="0"/>
            <w:vAlign w:val="center"/>
          </w:tcPr>
          <w:p w14:paraId="1C207348">
            <w:pPr>
              <w:pStyle w:val="189"/>
              <w:rPr>
                <w:color w:val="auto"/>
                <w:szCs w:val="21"/>
                <w:highlight w:val="none"/>
              </w:rPr>
            </w:pPr>
            <w:r>
              <w:rPr>
                <w:color w:val="auto"/>
                <w:szCs w:val="21"/>
                <w:highlight w:val="none"/>
              </w:rPr>
              <w:t>78</w:t>
            </w:r>
          </w:p>
        </w:tc>
        <w:tc>
          <w:tcPr>
            <w:tcW w:w="985" w:type="dxa"/>
            <w:noWrap w:val="0"/>
            <w:vAlign w:val="center"/>
          </w:tcPr>
          <w:p w14:paraId="3CDBFE51">
            <w:pPr>
              <w:pStyle w:val="189"/>
              <w:rPr>
                <w:color w:val="auto"/>
                <w:szCs w:val="21"/>
                <w:highlight w:val="none"/>
              </w:rPr>
            </w:pPr>
            <w:r>
              <w:rPr>
                <w:color w:val="auto"/>
                <w:szCs w:val="21"/>
                <w:highlight w:val="none"/>
              </w:rPr>
              <w:t>74.5</w:t>
            </w:r>
          </w:p>
        </w:tc>
        <w:tc>
          <w:tcPr>
            <w:tcW w:w="985" w:type="dxa"/>
            <w:noWrap w:val="0"/>
            <w:vAlign w:val="center"/>
          </w:tcPr>
          <w:p w14:paraId="3EC3A389">
            <w:pPr>
              <w:pStyle w:val="189"/>
              <w:rPr>
                <w:color w:val="auto"/>
                <w:szCs w:val="21"/>
                <w:highlight w:val="none"/>
              </w:rPr>
            </w:pPr>
            <w:r>
              <w:rPr>
                <w:color w:val="auto"/>
                <w:szCs w:val="21"/>
                <w:highlight w:val="none"/>
              </w:rPr>
              <w:t>72</w:t>
            </w:r>
          </w:p>
        </w:tc>
        <w:tc>
          <w:tcPr>
            <w:tcW w:w="985" w:type="dxa"/>
            <w:noWrap w:val="0"/>
            <w:vAlign w:val="center"/>
          </w:tcPr>
          <w:p w14:paraId="375B4969">
            <w:pPr>
              <w:pStyle w:val="189"/>
              <w:rPr>
                <w:color w:val="auto"/>
                <w:szCs w:val="21"/>
                <w:highlight w:val="none"/>
              </w:rPr>
            </w:pPr>
            <w:r>
              <w:rPr>
                <w:color w:val="auto"/>
                <w:szCs w:val="21"/>
                <w:highlight w:val="none"/>
              </w:rPr>
              <w:t>68</w:t>
            </w:r>
          </w:p>
        </w:tc>
        <w:tc>
          <w:tcPr>
            <w:tcW w:w="985" w:type="dxa"/>
            <w:noWrap w:val="0"/>
            <w:vAlign w:val="center"/>
          </w:tcPr>
          <w:p w14:paraId="47704000">
            <w:pPr>
              <w:pStyle w:val="189"/>
              <w:rPr>
                <w:color w:val="auto"/>
                <w:szCs w:val="21"/>
                <w:highlight w:val="none"/>
              </w:rPr>
            </w:pPr>
            <w:r>
              <w:rPr>
                <w:color w:val="auto"/>
                <w:szCs w:val="21"/>
                <w:highlight w:val="none"/>
              </w:rPr>
              <w:t>62.5</w:t>
            </w:r>
          </w:p>
        </w:tc>
        <w:tc>
          <w:tcPr>
            <w:tcW w:w="985" w:type="dxa"/>
            <w:noWrap w:val="0"/>
            <w:vAlign w:val="center"/>
          </w:tcPr>
          <w:p w14:paraId="45DF7ACB">
            <w:pPr>
              <w:pStyle w:val="189"/>
              <w:rPr>
                <w:color w:val="auto"/>
                <w:szCs w:val="21"/>
                <w:highlight w:val="none"/>
              </w:rPr>
            </w:pPr>
            <w:r>
              <w:rPr>
                <w:color w:val="auto"/>
                <w:szCs w:val="21"/>
                <w:highlight w:val="none"/>
              </w:rPr>
              <w:t>59.9</w:t>
            </w:r>
          </w:p>
        </w:tc>
      </w:tr>
      <w:tr w14:paraId="59377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4981390C">
            <w:pPr>
              <w:pStyle w:val="189"/>
              <w:rPr>
                <w:color w:val="auto"/>
                <w:szCs w:val="21"/>
                <w:highlight w:val="none"/>
              </w:rPr>
            </w:pPr>
            <w:r>
              <w:rPr>
                <w:rFonts w:hint="eastAsia"/>
                <w:color w:val="auto"/>
                <w:szCs w:val="21"/>
                <w:highlight w:val="none"/>
              </w:rPr>
              <w:t>卷扬机</w:t>
            </w:r>
          </w:p>
        </w:tc>
        <w:tc>
          <w:tcPr>
            <w:tcW w:w="867" w:type="dxa"/>
            <w:noWrap w:val="0"/>
            <w:vAlign w:val="center"/>
          </w:tcPr>
          <w:p w14:paraId="56FED289">
            <w:pPr>
              <w:pStyle w:val="189"/>
              <w:rPr>
                <w:color w:val="auto"/>
                <w:szCs w:val="21"/>
                <w:highlight w:val="none"/>
              </w:rPr>
            </w:pPr>
            <w:r>
              <w:rPr>
                <w:color w:val="auto"/>
                <w:szCs w:val="21"/>
                <w:highlight w:val="none"/>
              </w:rPr>
              <w:t>75</w:t>
            </w:r>
          </w:p>
        </w:tc>
        <w:tc>
          <w:tcPr>
            <w:tcW w:w="984" w:type="dxa"/>
            <w:noWrap w:val="0"/>
            <w:vAlign w:val="center"/>
          </w:tcPr>
          <w:p w14:paraId="2EE8D775">
            <w:pPr>
              <w:pStyle w:val="189"/>
              <w:rPr>
                <w:color w:val="auto"/>
                <w:szCs w:val="21"/>
                <w:highlight w:val="none"/>
              </w:rPr>
            </w:pPr>
            <w:r>
              <w:rPr>
                <w:color w:val="auto"/>
                <w:szCs w:val="21"/>
                <w:highlight w:val="none"/>
              </w:rPr>
              <w:t>69</w:t>
            </w:r>
          </w:p>
        </w:tc>
        <w:tc>
          <w:tcPr>
            <w:tcW w:w="985" w:type="dxa"/>
            <w:noWrap w:val="0"/>
            <w:vAlign w:val="center"/>
          </w:tcPr>
          <w:p w14:paraId="5F922503">
            <w:pPr>
              <w:pStyle w:val="189"/>
              <w:rPr>
                <w:color w:val="auto"/>
                <w:szCs w:val="21"/>
                <w:highlight w:val="none"/>
              </w:rPr>
            </w:pPr>
            <w:r>
              <w:rPr>
                <w:color w:val="auto"/>
                <w:szCs w:val="21"/>
                <w:highlight w:val="none"/>
              </w:rPr>
              <w:t>63</w:t>
            </w:r>
          </w:p>
        </w:tc>
        <w:tc>
          <w:tcPr>
            <w:tcW w:w="985" w:type="dxa"/>
            <w:noWrap w:val="0"/>
            <w:vAlign w:val="center"/>
          </w:tcPr>
          <w:p w14:paraId="6E8D6276">
            <w:pPr>
              <w:pStyle w:val="189"/>
              <w:rPr>
                <w:color w:val="auto"/>
                <w:szCs w:val="21"/>
                <w:highlight w:val="none"/>
              </w:rPr>
            </w:pPr>
            <w:r>
              <w:rPr>
                <w:color w:val="auto"/>
                <w:szCs w:val="21"/>
                <w:highlight w:val="none"/>
              </w:rPr>
              <w:t>59.5</w:t>
            </w:r>
          </w:p>
        </w:tc>
        <w:tc>
          <w:tcPr>
            <w:tcW w:w="985" w:type="dxa"/>
            <w:noWrap w:val="0"/>
            <w:vAlign w:val="center"/>
          </w:tcPr>
          <w:p w14:paraId="0B131319">
            <w:pPr>
              <w:pStyle w:val="189"/>
              <w:rPr>
                <w:color w:val="auto"/>
                <w:szCs w:val="21"/>
                <w:highlight w:val="none"/>
              </w:rPr>
            </w:pPr>
            <w:r>
              <w:rPr>
                <w:color w:val="auto"/>
                <w:szCs w:val="21"/>
                <w:highlight w:val="none"/>
              </w:rPr>
              <w:t>57</w:t>
            </w:r>
          </w:p>
        </w:tc>
        <w:tc>
          <w:tcPr>
            <w:tcW w:w="985" w:type="dxa"/>
            <w:noWrap w:val="0"/>
            <w:vAlign w:val="center"/>
          </w:tcPr>
          <w:p w14:paraId="0A8A6C8D">
            <w:pPr>
              <w:pStyle w:val="189"/>
              <w:rPr>
                <w:color w:val="auto"/>
                <w:szCs w:val="21"/>
                <w:highlight w:val="none"/>
              </w:rPr>
            </w:pPr>
            <w:r>
              <w:rPr>
                <w:color w:val="auto"/>
                <w:szCs w:val="21"/>
                <w:highlight w:val="none"/>
              </w:rPr>
              <w:t>53</w:t>
            </w:r>
          </w:p>
        </w:tc>
        <w:tc>
          <w:tcPr>
            <w:tcW w:w="985" w:type="dxa"/>
            <w:noWrap w:val="0"/>
            <w:vAlign w:val="center"/>
          </w:tcPr>
          <w:p w14:paraId="61DE0152">
            <w:pPr>
              <w:pStyle w:val="189"/>
              <w:rPr>
                <w:color w:val="auto"/>
                <w:szCs w:val="21"/>
                <w:highlight w:val="none"/>
              </w:rPr>
            </w:pPr>
            <w:r>
              <w:rPr>
                <w:color w:val="auto"/>
                <w:szCs w:val="21"/>
                <w:highlight w:val="none"/>
              </w:rPr>
              <w:t>47.5</w:t>
            </w:r>
          </w:p>
        </w:tc>
        <w:tc>
          <w:tcPr>
            <w:tcW w:w="985" w:type="dxa"/>
            <w:noWrap w:val="0"/>
            <w:vAlign w:val="center"/>
          </w:tcPr>
          <w:p w14:paraId="2C82E391">
            <w:pPr>
              <w:pStyle w:val="189"/>
              <w:rPr>
                <w:color w:val="auto"/>
                <w:szCs w:val="21"/>
                <w:highlight w:val="none"/>
              </w:rPr>
            </w:pPr>
            <w:r>
              <w:rPr>
                <w:color w:val="auto"/>
                <w:szCs w:val="21"/>
                <w:highlight w:val="none"/>
              </w:rPr>
              <w:t>44.9</w:t>
            </w:r>
          </w:p>
        </w:tc>
      </w:tr>
      <w:tr w14:paraId="79ED6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1F961F12">
            <w:pPr>
              <w:pStyle w:val="189"/>
              <w:rPr>
                <w:color w:val="auto"/>
                <w:szCs w:val="21"/>
                <w:highlight w:val="none"/>
              </w:rPr>
            </w:pPr>
            <w:r>
              <w:rPr>
                <w:rFonts w:hint="eastAsia"/>
                <w:color w:val="auto"/>
                <w:szCs w:val="21"/>
                <w:highlight w:val="none"/>
              </w:rPr>
              <w:t>振捣棒</w:t>
            </w:r>
          </w:p>
        </w:tc>
        <w:tc>
          <w:tcPr>
            <w:tcW w:w="867" w:type="dxa"/>
            <w:noWrap w:val="0"/>
            <w:vAlign w:val="center"/>
          </w:tcPr>
          <w:p w14:paraId="48D6055C">
            <w:pPr>
              <w:pStyle w:val="189"/>
              <w:rPr>
                <w:color w:val="auto"/>
                <w:szCs w:val="21"/>
                <w:highlight w:val="none"/>
              </w:rPr>
            </w:pPr>
            <w:r>
              <w:rPr>
                <w:color w:val="auto"/>
                <w:szCs w:val="21"/>
                <w:highlight w:val="none"/>
              </w:rPr>
              <w:t>87</w:t>
            </w:r>
          </w:p>
        </w:tc>
        <w:tc>
          <w:tcPr>
            <w:tcW w:w="984" w:type="dxa"/>
            <w:noWrap w:val="0"/>
            <w:vAlign w:val="center"/>
          </w:tcPr>
          <w:p w14:paraId="15366B7E">
            <w:pPr>
              <w:pStyle w:val="189"/>
              <w:rPr>
                <w:color w:val="auto"/>
                <w:szCs w:val="21"/>
                <w:highlight w:val="none"/>
              </w:rPr>
            </w:pPr>
            <w:r>
              <w:rPr>
                <w:color w:val="auto"/>
                <w:szCs w:val="21"/>
                <w:highlight w:val="none"/>
              </w:rPr>
              <w:t>81</w:t>
            </w:r>
          </w:p>
        </w:tc>
        <w:tc>
          <w:tcPr>
            <w:tcW w:w="985" w:type="dxa"/>
            <w:noWrap w:val="0"/>
            <w:vAlign w:val="center"/>
          </w:tcPr>
          <w:p w14:paraId="0A6A17D2">
            <w:pPr>
              <w:pStyle w:val="189"/>
              <w:rPr>
                <w:color w:val="auto"/>
                <w:szCs w:val="21"/>
                <w:highlight w:val="none"/>
              </w:rPr>
            </w:pPr>
            <w:r>
              <w:rPr>
                <w:color w:val="auto"/>
                <w:szCs w:val="21"/>
                <w:highlight w:val="none"/>
              </w:rPr>
              <w:t>75</w:t>
            </w:r>
          </w:p>
        </w:tc>
        <w:tc>
          <w:tcPr>
            <w:tcW w:w="985" w:type="dxa"/>
            <w:noWrap w:val="0"/>
            <w:vAlign w:val="center"/>
          </w:tcPr>
          <w:p w14:paraId="7C465C55">
            <w:pPr>
              <w:pStyle w:val="189"/>
              <w:rPr>
                <w:color w:val="auto"/>
                <w:szCs w:val="21"/>
                <w:highlight w:val="none"/>
              </w:rPr>
            </w:pPr>
            <w:r>
              <w:rPr>
                <w:color w:val="auto"/>
                <w:szCs w:val="21"/>
                <w:highlight w:val="none"/>
              </w:rPr>
              <w:t>71.5</w:t>
            </w:r>
          </w:p>
        </w:tc>
        <w:tc>
          <w:tcPr>
            <w:tcW w:w="985" w:type="dxa"/>
            <w:noWrap w:val="0"/>
            <w:vAlign w:val="center"/>
          </w:tcPr>
          <w:p w14:paraId="513C1968">
            <w:pPr>
              <w:pStyle w:val="189"/>
              <w:rPr>
                <w:color w:val="auto"/>
                <w:szCs w:val="21"/>
                <w:highlight w:val="none"/>
              </w:rPr>
            </w:pPr>
            <w:r>
              <w:rPr>
                <w:color w:val="auto"/>
                <w:szCs w:val="21"/>
                <w:highlight w:val="none"/>
              </w:rPr>
              <w:t>69</w:t>
            </w:r>
          </w:p>
        </w:tc>
        <w:tc>
          <w:tcPr>
            <w:tcW w:w="985" w:type="dxa"/>
            <w:noWrap w:val="0"/>
            <w:vAlign w:val="center"/>
          </w:tcPr>
          <w:p w14:paraId="577A629A">
            <w:pPr>
              <w:pStyle w:val="189"/>
              <w:rPr>
                <w:color w:val="auto"/>
                <w:szCs w:val="21"/>
                <w:highlight w:val="none"/>
              </w:rPr>
            </w:pPr>
            <w:r>
              <w:rPr>
                <w:color w:val="auto"/>
                <w:szCs w:val="21"/>
                <w:highlight w:val="none"/>
              </w:rPr>
              <w:t>65</w:t>
            </w:r>
          </w:p>
        </w:tc>
        <w:tc>
          <w:tcPr>
            <w:tcW w:w="985" w:type="dxa"/>
            <w:noWrap w:val="0"/>
            <w:vAlign w:val="center"/>
          </w:tcPr>
          <w:p w14:paraId="235CE639">
            <w:pPr>
              <w:pStyle w:val="189"/>
              <w:rPr>
                <w:color w:val="auto"/>
                <w:szCs w:val="21"/>
                <w:highlight w:val="none"/>
              </w:rPr>
            </w:pPr>
            <w:r>
              <w:rPr>
                <w:color w:val="auto"/>
                <w:szCs w:val="21"/>
                <w:highlight w:val="none"/>
              </w:rPr>
              <w:t>59.5</w:t>
            </w:r>
          </w:p>
        </w:tc>
        <w:tc>
          <w:tcPr>
            <w:tcW w:w="985" w:type="dxa"/>
            <w:noWrap w:val="0"/>
            <w:vAlign w:val="center"/>
          </w:tcPr>
          <w:p w14:paraId="6A022CCB">
            <w:pPr>
              <w:pStyle w:val="189"/>
              <w:rPr>
                <w:color w:val="auto"/>
                <w:szCs w:val="21"/>
                <w:highlight w:val="none"/>
              </w:rPr>
            </w:pPr>
            <w:r>
              <w:rPr>
                <w:color w:val="auto"/>
                <w:szCs w:val="21"/>
                <w:highlight w:val="none"/>
              </w:rPr>
              <w:t>56.9</w:t>
            </w:r>
          </w:p>
        </w:tc>
      </w:tr>
      <w:tr w14:paraId="0FE70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145F9527">
            <w:pPr>
              <w:pStyle w:val="189"/>
              <w:rPr>
                <w:color w:val="auto"/>
                <w:szCs w:val="21"/>
                <w:highlight w:val="none"/>
              </w:rPr>
            </w:pPr>
            <w:r>
              <w:rPr>
                <w:rFonts w:hint="eastAsia"/>
                <w:color w:val="auto"/>
                <w:szCs w:val="21"/>
                <w:highlight w:val="none"/>
              </w:rPr>
              <w:t>电锯</w:t>
            </w:r>
          </w:p>
        </w:tc>
        <w:tc>
          <w:tcPr>
            <w:tcW w:w="867" w:type="dxa"/>
            <w:noWrap w:val="0"/>
            <w:vAlign w:val="center"/>
          </w:tcPr>
          <w:p w14:paraId="072EACB9">
            <w:pPr>
              <w:pStyle w:val="189"/>
              <w:rPr>
                <w:color w:val="auto"/>
                <w:szCs w:val="21"/>
                <w:highlight w:val="none"/>
              </w:rPr>
            </w:pPr>
            <w:r>
              <w:rPr>
                <w:color w:val="auto"/>
                <w:szCs w:val="21"/>
                <w:highlight w:val="none"/>
              </w:rPr>
              <w:t>92</w:t>
            </w:r>
          </w:p>
        </w:tc>
        <w:tc>
          <w:tcPr>
            <w:tcW w:w="984" w:type="dxa"/>
            <w:noWrap w:val="0"/>
            <w:vAlign w:val="center"/>
          </w:tcPr>
          <w:p w14:paraId="1FEE9F0B">
            <w:pPr>
              <w:pStyle w:val="189"/>
              <w:rPr>
                <w:color w:val="auto"/>
                <w:szCs w:val="21"/>
                <w:highlight w:val="none"/>
              </w:rPr>
            </w:pPr>
            <w:r>
              <w:rPr>
                <w:color w:val="auto"/>
                <w:szCs w:val="21"/>
                <w:highlight w:val="none"/>
              </w:rPr>
              <w:t>86</w:t>
            </w:r>
          </w:p>
        </w:tc>
        <w:tc>
          <w:tcPr>
            <w:tcW w:w="985" w:type="dxa"/>
            <w:noWrap w:val="0"/>
            <w:vAlign w:val="center"/>
          </w:tcPr>
          <w:p w14:paraId="082E3BD8">
            <w:pPr>
              <w:pStyle w:val="189"/>
              <w:rPr>
                <w:color w:val="auto"/>
                <w:szCs w:val="21"/>
                <w:highlight w:val="none"/>
              </w:rPr>
            </w:pPr>
            <w:r>
              <w:rPr>
                <w:color w:val="auto"/>
                <w:szCs w:val="21"/>
                <w:highlight w:val="none"/>
              </w:rPr>
              <w:t>80</w:t>
            </w:r>
          </w:p>
        </w:tc>
        <w:tc>
          <w:tcPr>
            <w:tcW w:w="985" w:type="dxa"/>
            <w:noWrap w:val="0"/>
            <w:vAlign w:val="center"/>
          </w:tcPr>
          <w:p w14:paraId="46D4E388">
            <w:pPr>
              <w:pStyle w:val="189"/>
              <w:rPr>
                <w:color w:val="auto"/>
                <w:szCs w:val="21"/>
                <w:highlight w:val="none"/>
              </w:rPr>
            </w:pPr>
            <w:r>
              <w:rPr>
                <w:color w:val="auto"/>
                <w:szCs w:val="21"/>
                <w:highlight w:val="none"/>
              </w:rPr>
              <w:t>76.5</w:t>
            </w:r>
          </w:p>
        </w:tc>
        <w:tc>
          <w:tcPr>
            <w:tcW w:w="985" w:type="dxa"/>
            <w:noWrap w:val="0"/>
            <w:vAlign w:val="center"/>
          </w:tcPr>
          <w:p w14:paraId="121ACBD6">
            <w:pPr>
              <w:pStyle w:val="189"/>
              <w:rPr>
                <w:color w:val="auto"/>
                <w:szCs w:val="21"/>
                <w:highlight w:val="none"/>
              </w:rPr>
            </w:pPr>
            <w:r>
              <w:rPr>
                <w:color w:val="auto"/>
                <w:szCs w:val="21"/>
                <w:highlight w:val="none"/>
              </w:rPr>
              <w:t>74</w:t>
            </w:r>
          </w:p>
        </w:tc>
        <w:tc>
          <w:tcPr>
            <w:tcW w:w="985" w:type="dxa"/>
            <w:noWrap w:val="0"/>
            <w:vAlign w:val="center"/>
          </w:tcPr>
          <w:p w14:paraId="70D79F85">
            <w:pPr>
              <w:pStyle w:val="189"/>
              <w:rPr>
                <w:color w:val="auto"/>
                <w:szCs w:val="21"/>
                <w:highlight w:val="none"/>
              </w:rPr>
            </w:pPr>
            <w:r>
              <w:rPr>
                <w:color w:val="auto"/>
                <w:szCs w:val="21"/>
                <w:highlight w:val="none"/>
              </w:rPr>
              <w:t>70</w:t>
            </w:r>
          </w:p>
        </w:tc>
        <w:tc>
          <w:tcPr>
            <w:tcW w:w="985" w:type="dxa"/>
            <w:noWrap w:val="0"/>
            <w:vAlign w:val="center"/>
          </w:tcPr>
          <w:p w14:paraId="7EE451E4">
            <w:pPr>
              <w:pStyle w:val="189"/>
              <w:rPr>
                <w:color w:val="auto"/>
                <w:szCs w:val="21"/>
                <w:highlight w:val="none"/>
              </w:rPr>
            </w:pPr>
            <w:r>
              <w:rPr>
                <w:color w:val="auto"/>
                <w:szCs w:val="21"/>
                <w:highlight w:val="none"/>
              </w:rPr>
              <w:t>64.5</w:t>
            </w:r>
          </w:p>
        </w:tc>
        <w:tc>
          <w:tcPr>
            <w:tcW w:w="985" w:type="dxa"/>
            <w:noWrap w:val="0"/>
            <w:vAlign w:val="center"/>
          </w:tcPr>
          <w:p w14:paraId="141C5DCB">
            <w:pPr>
              <w:pStyle w:val="189"/>
              <w:rPr>
                <w:color w:val="auto"/>
                <w:szCs w:val="21"/>
                <w:highlight w:val="none"/>
              </w:rPr>
            </w:pPr>
            <w:r>
              <w:rPr>
                <w:color w:val="auto"/>
                <w:szCs w:val="21"/>
                <w:highlight w:val="none"/>
              </w:rPr>
              <w:t>61.9</w:t>
            </w:r>
          </w:p>
        </w:tc>
      </w:tr>
      <w:tr w14:paraId="0BA16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312CA853">
            <w:pPr>
              <w:pStyle w:val="189"/>
              <w:rPr>
                <w:color w:val="auto"/>
                <w:szCs w:val="21"/>
                <w:highlight w:val="none"/>
              </w:rPr>
            </w:pPr>
            <w:r>
              <w:rPr>
                <w:rFonts w:hint="eastAsia"/>
                <w:color w:val="auto"/>
                <w:szCs w:val="21"/>
                <w:highlight w:val="none"/>
              </w:rPr>
              <w:t>卡车</w:t>
            </w:r>
          </w:p>
        </w:tc>
        <w:tc>
          <w:tcPr>
            <w:tcW w:w="867" w:type="dxa"/>
            <w:noWrap w:val="0"/>
            <w:vAlign w:val="center"/>
          </w:tcPr>
          <w:p w14:paraId="31A82931">
            <w:pPr>
              <w:pStyle w:val="189"/>
              <w:rPr>
                <w:color w:val="auto"/>
                <w:szCs w:val="21"/>
                <w:highlight w:val="none"/>
              </w:rPr>
            </w:pPr>
            <w:r>
              <w:rPr>
                <w:color w:val="auto"/>
                <w:szCs w:val="21"/>
                <w:highlight w:val="none"/>
              </w:rPr>
              <w:t>90</w:t>
            </w:r>
          </w:p>
        </w:tc>
        <w:tc>
          <w:tcPr>
            <w:tcW w:w="984" w:type="dxa"/>
            <w:noWrap w:val="0"/>
            <w:vAlign w:val="center"/>
          </w:tcPr>
          <w:p w14:paraId="7B1C0E24">
            <w:pPr>
              <w:pStyle w:val="189"/>
              <w:rPr>
                <w:color w:val="auto"/>
                <w:szCs w:val="21"/>
                <w:highlight w:val="none"/>
              </w:rPr>
            </w:pPr>
            <w:r>
              <w:rPr>
                <w:color w:val="auto"/>
                <w:szCs w:val="21"/>
                <w:highlight w:val="none"/>
              </w:rPr>
              <w:t>84</w:t>
            </w:r>
          </w:p>
        </w:tc>
        <w:tc>
          <w:tcPr>
            <w:tcW w:w="985" w:type="dxa"/>
            <w:noWrap w:val="0"/>
            <w:vAlign w:val="center"/>
          </w:tcPr>
          <w:p w14:paraId="43948B96">
            <w:pPr>
              <w:pStyle w:val="189"/>
              <w:rPr>
                <w:color w:val="auto"/>
                <w:szCs w:val="21"/>
                <w:highlight w:val="none"/>
              </w:rPr>
            </w:pPr>
            <w:r>
              <w:rPr>
                <w:color w:val="auto"/>
                <w:szCs w:val="21"/>
                <w:highlight w:val="none"/>
              </w:rPr>
              <w:t>78</w:t>
            </w:r>
          </w:p>
        </w:tc>
        <w:tc>
          <w:tcPr>
            <w:tcW w:w="985" w:type="dxa"/>
            <w:noWrap w:val="0"/>
            <w:vAlign w:val="center"/>
          </w:tcPr>
          <w:p w14:paraId="7CCFEC1F">
            <w:pPr>
              <w:pStyle w:val="189"/>
              <w:rPr>
                <w:color w:val="auto"/>
                <w:szCs w:val="21"/>
                <w:highlight w:val="none"/>
              </w:rPr>
            </w:pPr>
            <w:r>
              <w:rPr>
                <w:color w:val="auto"/>
                <w:szCs w:val="21"/>
                <w:highlight w:val="none"/>
              </w:rPr>
              <w:t>74.5</w:t>
            </w:r>
          </w:p>
        </w:tc>
        <w:tc>
          <w:tcPr>
            <w:tcW w:w="985" w:type="dxa"/>
            <w:noWrap w:val="0"/>
            <w:vAlign w:val="center"/>
          </w:tcPr>
          <w:p w14:paraId="082D6766">
            <w:pPr>
              <w:pStyle w:val="189"/>
              <w:rPr>
                <w:color w:val="auto"/>
                <w:szCs w:val="21"/>
                <w:highlight w:val="none"/>
              </w:rPr>
            </w:pPr>
            <w:r>
              <w:rPr>
                <w:color w:val="auto"/>
                <w:szCs w:val="21"/>
                <w:highlight w:val="none"/>
              </w:rPr>
              <w:t>72</w:t>
            </w:r>
          </w:p>
        </w:tc>
        <w:tc>
          <w:tcPr>
            <w:tcW w:w="985" w:type="dxa"/>
            <w:noWrap w:val="0"/>
            <w:vAlign w:val="center"/>
          </w:tcPr>
          <w:p w14:paraId="4A1A5B24">
            <w:pPr>
              <w:pStyle w:val="189"/>
              <w:rPr>
                <w:color w:val="auto"/>
                <w:szCs w:val="21"/>
                <w:highlight w:val="none"/>
              </w:rPr>
            </w:pPr>
            <w:r>
              <w:rPr>
                <w:color w:val="auto"/>
                <w:szCs w:val="21"/>
                <w:highlight w:val="none"/>
              </w:rPr>
              <w:t>68</w:t>
            </w:r>
          </w:p>
        </w:tc>
        <w:tc>
          <w:tcPr>
            <w:tcW w:w="985" w:type="dxa"/>
            <w:noWrap w:val="0"/>
            <w:vAlign w:val="center"/>
          </w:tcPr>
          <w:p w14:paraId="5F5F1BC3">
            <w:pPr>
              <w:pStyle w:val="189"/>
              <w:rPr>
                <w:color w:val="auto"/>
                <w:szCs w:val="21"/>
                <w:highlight w:val="none"/>
              </w:rPr>
            </w:pPr>
            <w:r>
              <w:rPr>
                <w:color w:val="auto"/>
                <w:szCs w:val="21"/>
                <w:highlight w:val="none"/>
              </w:rPr>
              <w:t>62.5</w:t>
            </w:r>
          </w:p>
        </w:tc>
        <w:tc>
          <w:tcPr>
            <w:tcW w:w="985" w:type="dxa"/>
            <w:noWrap w:val="0"/>
            <w:vAlign w:val="center"/>
          </w:tcPr>
          <w:p w14:paraId="150B9DA1">
            <w:pPr>
              <w:pStyle w:val="189"/>
              <w:rPr>
                <w:color w:val="auto"/>
                <w:szCs w:val="21"/>
                <w:highlight w:val="none"/>
              </w:rPr>
            </w:pPr>
            <w:r>
              <w:rPr>
                <w:color w:val="auto"/>
                <w:szCs w:val="21"/>
                <w:highlight w:val="none"/>
              </w:rPr>
              <w:t>59.9</w:t>
            </w:r>
          </w:p>
        </w:tc>
      </w:tr>
      <w:tr w14:paraId="1A28B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noWrap w:val="0"/>
            <w:vAlign w:val="center"/>
          </w:tcPr>
          <w:p w14:paraId="7DDF998A">
            <w:pPr>
              <w:pStyle w:val="189"/>
              <w:rPr>
                <w:color w:val="auto"/>
                <w:szCs w:val="21"/>
                <w:highlight w:val="none"/>
              </w:rPr>
            </w:pPr>
            <w:r>
              <w:rPr>
                <w:rFonts w:hint="eastAsia"/>
                <w:color w:val="auto"/>
                <w:szCs w:val="21"/>
                <w:highlight w:val="none"/>
              </w:rPr>
              <w:t>升降机</w:t>
            </w:r>
          </w:p>
        </w:tc>
        <w:tc>
          <w:tcPr>
            <w:tcW w:w="867" w:type="dxa"/>
            <w:noWrap w:val="0"/>
            <w:vAlign w:val="center"/>
          </w:tcPr>
          <w:p w14:paraId="47461BC9">
            <w:pPr>
              <w:pStyle w:val="189"/>
              <w:rPr>
                <w:color w:val="auto"/>
                <w:szCs w:val="21"/>
                <w:highlight w:val="none"/>
              </w:rPr>
            </w:pPr>
            <w:r>
              <w:rPr>
                <w:color w:val="auto"/>
                <w:szCs w:val="21"/>
                <w:highlight w:val="none"/>
              </w:rPr>
              <w:t>74</w:t>
            </w:r>
          </w:p>
        </w:tc>
        <w:tc>
          <w:tcPr>
            <w:tcW w:w="984" w:type="dxa"/>
            <w:noWrap w:val="0"/>
            <w:vAlign w:val="center"/>
          </w:tcPr>
          <w:p w14:paraId="0B491871">
            <w:pPr>
              <w:pStyle w:val="189"/>
              <w:rPr>
                <w:color w:val="auto"/>
                <w:szCs w:val="21"/>
                <w:highlight w:val="none"/>
              </w:rPr>
            </w:pPr>
            <w:r>
              <w:rPr>
                <w:color w:val="auto"/>
                <w:szCs w:val="21"/>
                <w:highlight w:val="none"/>
              </w:rPr>
              <w:t>68</w:t>
            </w:r>
          </w:p>
        </w:tc>
        <w:tc>
          <w:tcPr>
            <w:tcW w:w="985" w:type="dxa"/>
            <w:noWrap w:val="0"/>
            <w:vAlign w:val="center"/>
          </w:tcPr>
          <w:p w14:paraId="3BFCA639">
            <w:pPr>
              <w:pStyle w:val="189"/>
              <w:rPr>
                <w:color w:val="auto"/>
                <w:szCs w:val="21"/>
                <w:highlight w:val="none"/>
              </w:rPr>
            </w:pPr>
            <w:r>
              <w:rPr>
                <w:color w:val="auto"/>
                <w:szCs w:val="21"/>
                <w:highlight w:val="none"/>
              </w:rPr>
              <w:t>60</w:t>
            </w:r>
          </w:p>
        </w:tc>
        <w:tc>
          <w:tcPr>
            <w:tcW w:w="985" w:type="dxa"/>
            <w:noWrap w:val="0"/>
            <w:vAlign w:val="center"/>
          </w:tcPr>
          <w:p w14:paraId="51C3F17A">
            <w:pPr>
              <w:pStyle w:val="189"/>
              <w:rPr>
                <w:color w:val="auto"/>
                <w:szCs w:val="21"/>
                <w:highlight w:val="none"/>
              </w:rPr>
            </w:pPr>
            <w:r>
              <w:rPr>
                <w:color w:val="auto"/>
                <w:szCs w:val="21"/>
                <w:highlight w:val="none"/>
              </w:rPr>
              <w:t>56.5</w:t>
            </w:r>
          </w:p>
        </w:tc>
        <w:tc>
          <w:tcPr>
            <w:tcW w:w="985" w:type="dxa"/>
            <w:noWrap w:val="0"/>
            <w:vAlign w:val="center"/>
          </w:tcPr>
          <w:p w14:paraId="7CB8B900">
            <w:pPr>
              <w:pStyle w:val="189"/>
              <w:rPr>
                <w:color w:val="auto"/>
                <w:szCs w:val="21"/>
                <w:highlight w:val="none"/>
              </w:rPr>
            </w:pPr>
            <w:r>
              <w:rPr>
                <w:color w:val="auto"/>
                <w:szCs w:val="21"/>
                <w:highlight w:val="none"/>
              </w:rPr>
              <w:t>54</w:t>
            </w:r>
          </w:p>
        </w:tc>
        <w:tc>
          <w:tcPr>
            <w:tcW w:w="985" w:type="dxa"/>
            <w:noWrap w:val="0"/>
            <w:vAlign w:val="center"/>
          </w:tcPr>
          <w:p w14:paraId="6621B107">
            <w:pPr>
              <w:pStyle w:val="189"/>
              <w:rPr>
                <w:color w:val="auto"/>
                <w:szCs w:val="21"/>
                <w:highlight w:val="none"/>
              </w:rPr>
            </w:pPr>
            <w:r>
              <w:rPr>
                <w:color w:val="auto"/>
                <w:szCs w:val="21"/>
                <w:highlight w:val="none"/>
              </w:rPr>
              <w:t>50</w:t>
            </w:r>
          </w:p>
        </w:tc>
        <w:tc>
          <w:tcPr>
            <w:tcW w:w="985" w:type="dxa"/>
            <w:noWrap w:val="0"/>
            <w:vAlign w:val="center"/>
          </w:tcPr>
          <w:p w14:paraId="76512236">
            <w:pPr>
              <w:pStyle w:val="189"/>
              <w:rPr>
                <w:color w:val="auto"/>
                <w:szCs w:val="21"/>
                <w:highlight w:val="none"/>
              </w:rPr>
            </w:pPr>
            <w:r>
              <w:rPr>
                <w:color w:val="auto"/>
                <w:szCs w:val="21"/>
                <w:highlight w:val="none"/>
              </w:rPr>
              <w:t>44.5</w:t>
            </w:r>
          </w:p>
        </w:tc>
        <w:tc>
          <w:tcPr>
            <w:tcW w:w="985" w:type="dxa"/>
            <w:noWrap w:val="0"/>
            <w:vAlign w:val="center"/>
          </w:tcPr>
          <w:p w14:paraId="5CB38E21">
            <w:pPr>
              <w:pStyle w:val="189"/>
              <w:rPr>
                <w:color w:val="auto"/>
                <w:szCs w:val="21"/>
                <w:highlight w:val="none"/>
              </w:rPr>
            </w:pPr>
            <w:r>
              <w:rPr>
                <w:color w:val="auto"/>
                <w:szCs w:val="21"/>
                <w:highlight w:val="none"/>
              </w:rPr>
              <w:t>41.9</w:t>
            </w:r>
          </w:p>
        </w:tc>
      </w:tr>
    </w:tbl>
    <w:p w14:paraId="18ADB9B6">
      <w:pPr>
        <w:pStyle w:val="181"/>
        <w:ind w:firstLine="480"/>
        <w:rPr>
          <w:color w:val="auto"/>
          <w:highlight w:val="none"/>
        </w:rPr>
      </w:pPr>
      <w:r>
        <w:rPr>
          <w:rFonts w:hint="eastAsia"/>
          <w:color w:val="auto"/>
          <w:highlight w:val="none"/>
        </w:rPr>
        <w:t>本工程厂区，各种施工机械距厂区边界最近距离约</w:t>
      </w:r>
      <w:r>
        <w:rPr>
          <w:rFonts w:hint="eastAsia"/>
          <w:color w:val="auto"/>
          <w:highlight w:val="none"/>
          <w:lang w:val="en-US" w:eastAsia="zh-CN"/>
        </w:rPr>
        <w:t>10</w:t>
      </w:r>
      <w:r>
        <w:rPr>
          <w:color w:val="auto"/>
          <w:highlight w:val="none"/>
        </w:rPr>
        <w:t>m</w:t>
      </w:r>
      <w:r>
        <w:rPr>
          <w:rFonts w:hint="eastAsia"/>
          <w:color w:val="auto"/>
          <w:highlight w:val="none"/>
        </w:rPr>
        <w:t>以上，在无阻挡情况下，</w:t>
      </w:r>
      <w:r>
        <w:rPr>
          <w:color w:val="auto"/>
          <w:highlight w:val="none"/>
        </w:rPr>
        <w:t xml:space="preserve"> </w:t>
      </w:r>
      <w:r>
        <w:rPr>
          <w:rFonts w:hint="eastAsia"/>
          <w:color w:val="auto"/>
          <w:highlight w:val="none"/>
          <w:lang w:val="en-US" w:eastAsia="zh-CN"/>
        </w:rPr>
        <w:t>10</w:t>
      </w:r>
      <w:r>
        <w:rPr>
          <w:color w:val="auto"/>
          <w:highlight w:val="none"/>
        </w:rPr>
        <w:t>m</w:t>
      </w:r>
      <w:r>
        <w:rPr>
          <w:rFonts w:hint="eastAsia"/>
          <w:color w:val="auto"/>
          <w:highlight w:val="none"/>
        </w:rPr>
        <w:t>外上述施工机械噪声将衰减至</w:t>
      </w:r>
      <w:r>
        <w:rPr>
          <w:color w:val="auto"/>
          <w:highlight w:val="none"/>
        </w:rPr>
        <w:t>45</w:t>
      </w:r>
      <w:r>
        <w:rPr>
          <w:rFonts w:hint="eastAsia"/>
          <w:color w:val="auto"/>
          <w:highlight w:val="none"/>
        </w:rPr>
        <w:t>～</w:t>
      </w:r>
      <w:r>
        <w:rPr>
          <w:color w:val="auto"/>
          <w:highlight w:val="none"/>
        </w:rPr>
        <w:t>55dB</w:t>
      </w:r>
      <w:r>
        <w:rPr>
          <w:rFonts w:hint="eastAsia"/>
          <w:color w:val="auto"/>
          <w:highlight w:val="none"/>
        </w:rPr>
        <w:t>（</w:t>
      </w:r>
      <w:r>
        <w:rPr>
          <w:color w:val="auto"/>
          <w:highlight w:val="none"/>
        </w:rPr>
        <w:t>A</w:t>
      </w:r>
      <w:r>
        <w:rPr>
          <w:rFonts w:hint="eastAsia"/>
          <w:color w:val="auto"/>
          <w:highlight w:val="none"/>
        </w:rPr>
        <w:t>），施工场界噪声完全可以满足《建筑施工场界环境噪声排放标准》标准要求。</w:t>
      </w:r>
    </w:p>
    <w:p w14:paraId="437B74ED">
      <w:pPr>
        <w:pStyle w:val="181"/>
        <w:ind w:firstLine="480"/>
        <w:rPr>
          <w:color w:val="auto"/>
          <w:highlight w:val="none"/>
        </w:rPr>
      </w:pPr>
      <w:r>
        <w:rPr>
          <w:rFonts w:hint="eastAsia"/>
          <w:color w:val="auto"/>
          <w:highlight w:val="none"/>
        </w:rPr>
        <w:t>综上所述，施工期只要杜绝夜间施工，施工噪声不会对场界外环境产生明显的不良影响，施工噪声对其影响很小。</w:t>
      </w:r>
    </w:p>
    <w:p w14:paraId="309A195D">
      <w:pPr>
        <w:pStyle w:val="181"/>
        <w:ind w:firstLine="480"/>
        <w:rPr>
          <w:color w:val="auto"/>
          <w:highlight w:val="none"/>
        </w:rPr>
      </w:pPr>
      <w:r>
        <w:rPr>
          <w:rFonts w:hint="eastAsia"/>
          <w:color w:val="auto"/>
          <w:highlight w:val="none"/>
        </w:rPr>
        <w:t>施工期土石方的运出及建筑材料的运进，将使区域道路车流量增多，经估算运输车辆将增加</w:t>
      </w:r>
      <w:r>
        <w:rPr>
          <w:color w:val="auto"/>
          <w:highlight w:val="none"/>
        </w:rPr>
        <w:t>10</w:t>
      </w:r>
      <w:r>
        <w:rPr>
          <w:rFonts w:hint="eastAsia"/>
          <w:color w:val="auto"/>
          <w:highlight w:val="none"/>
        </w:rPr>
        <w:t>台次</w:t>
      </w:r>
      <w:r>
        <w:rPr>
          <w:color w:val="auto"/>
          <w:highlight w:val="none"/>
        </w:rPr>
        <w:t>/d</w:t>
      </w:r>
      <w:r>
        <w:rPr>
          <w:rFonts w:hint="eastAsia"/>
          <w:color w:val="auto"/>
          <w:highlight w:val="none"/>
        </w:rPr>
        <w:t>，均系高吨位货车，其声级值可达</w:t>
      </w:r>
      <w:r>
        <w:rPr>
          <w:color w:val="auto"/>
          <w:highlight w:val="none"/>
        </w:rPr>
        <w:t>85dB</w:t>
      </w:r>
      <w:r>
        <w:rPr>
          <w:rFonts w:hint="eastAsia"/>
          <w:color w:val="auto"/>
          <w:highlight w:val="none"/>
        </w:rPr>
        <w:t>（</w:t>
      </w:r>
      <w:r>
        <w:rPr>
          <w:color w:val="auto"/>
          <w:highlight w:val="none"/>
        </w:rPr>
        <w:t>A</w:t>
      </w:r>
      <w:r>
        <w:rPr>
          <w:rFonts w:hint="eastAsia"/>
          <w:color w:val="auto"/>
          <w:highlight w:val="none"/>
        </w:rPr>
        <w:t>）以上，由于是间断运输，对交通噪声贡献量不会很大，但为避免道路两侧居民及企事业单位将受到这些高噪声干扰，因此要严格禁止夜间</w:t>
      </w:r>
      <w:r>
        <w:rPr>
          <w:color w:val="auto"/>
          <w:highlight w:val="none"/>
        </w:rPr>
        <w:t>22:00</w:t>
      </w:r>
      <w:r>
        <w:rPr>
          <w:rFonts w:hint="eastAsia"/>
          <w:color w:val="auto"/>
          <w:highlight w:val="none"/>
        </w:rPr>
        <w:t>～</w:t>
      </w:r>
      <w:r>
        <w:rPr>
          <w:color w:val="auto"/>
          <w:highlight w:val="none"/>
        </w:rPr>
        <w:t>6:00</w:t>
      </w:r>
      <w:r>
        <w:rPr>
          <w:rFonts w:hint="eastAsia"/>
          <w:color w:val="auto"/>
          <w:highlight w:val="none"/>
        </w:rPr>
        <w:t>运输施工材料，避免增加夜间交通噪声幅度，同时还要避开车流高峰期，以免造成交通阻塞。采取措施后场界噪声符合《建筑施工场界环境噪声排放标准》（</w:t>
      </w:r>
      <w:r>
        <w:rPr>
          <w:color w:val="auto"/>
          <w:highlight w:val="none"/>
        </w:rPr>
        <w:t>GB12523-2011</w:t>
      </w:r>
      <w:r>
        <w:rPr>
          <w:rFonts w:hint="eastAsia"/>
          <w:color w:val="auto"/>
          <w:highlight w:val="none"/>
        </w:rPr>
        <w:t>）要求。</w:t>
      </w:r>
    </w:p>
    <w:p w14:paraId="06CBCBD8">
      <w:pPr>
        <w:pStyle w:val="5"/>
        <w:rPr>
          <w:color w:val="auto"/>
          <w:highlight w:val="none"/>
        </w:rPr>
      </w:pPr>
      <w:bookmarkStart w:id="145" w:name="_Toc24447135"/>
      <w:r>
        <w:rPr>
          <w:rFonts w:hint="eastAsia"/>
          <w:color w:val="auto"/>
          <w:highlight w:val="none"/>
        </w:rPr>
        <w:t>施工期水环境影响分析</w:t>
      </w:r>
      <w:bookmarkEnd w:id="145"/>
    </w:p>
    <w:p w14:paraId="57121F50">
      <w:pPr>
        <w:pStyle w:val="181"/>
        <w:ind w:firstLine="480"/>
        <w:rPr>
          <w:color w:val="auto"/>
          <w:highlight w:val="none"/>
        </w:rPr>
      </w:pPr>
      <w:r>
        <w:rPr>
          <w:rFonts w:hint="eastAsia"/>
          <w:color w:val="auto"/>
          <w:highlight w:val="none"/>
        </w:rPr>
        <w:t>施工人员主要为当地雇佣，不设置施工营地，故施工期水环境影响因素主要是施工废水。</w:t>
      </w:r>
    </w:p>
    <w:p w14:paraId="017832B5">
      <w:pPr>
        <w:pStyle w:val="181"/>
        <w:ind w:firstLine="480"/>
        <w:rPr>
          <w:color w:val="auto"/>
          <w:highlight w:val="none"/>
        </w:rPr>
      </w:pPr>
      <w:r>
        <w:rPr>
          <w:rFonts w:hint="eastAsia"/>
          <w:color w:val="auto"/>
          <w:highlight w:val="none"/>
        </w:rPr>
        <w:t>施工产生少量施工废水，如设备清洗用水、物料搅拌水泥砂浆可能产生的砂石料清洗排水，施工污水主要含泥沙、悬浮颗粒等，如得不到妥善处理，也会对厂区的环境产生影响。施工废水有组织收集，</w:t>
      </w:r>
      <w:r>
        <w:rPr>
          <w:rFonts w:hint="eastAsia"/>
          <w:color w:val="auto"/>
          <w:spacing w:val="-4"/>
          <w:highlight w:val="none"/>
        </w:rPr>
        <w:t>经沉淀后循环使用不外排。</w:t>
      </w:r>
    </w:p>
    <w:p w14:paraId="6BB64014">
      <w:pPr>
        <w:pStyle w:val="5"/>
        <w:rPr>
          <w:color w:val="auto"/>
          <w:highlight w:val="none"/>
        </w:rPr>
      </w:pPr>
      <w:bookmarkStart w:id="146" w:name="_Toc24447136"/>
      <w:r>
        <w:rPr>
          <w:rFonts w:hint="eastAsia"/>
          <w:color w:val="auto"/>
          <w:highlight w:val="none"/>
        </w:rPr>
        <w:t>施工期固体废弃物环境影响分析</w:t>
      </w:r>
      <w:bookmarkEnd w:id="146"/>
    </w:p>
    <w:p w14:paraId="67B6E6DB">
      <w:pPr>
        <w:pStyle w:val="181"/>
        <w:ind w:firstLine="480"/>
        <w:rPr>
          <w:color w:val="auto"/>
          <w:highlight w:val="none"/>
        </w:rPr>
      </w:pPr>
      <w:r>
        <w:rPr>
          <w:rFonts w:hint="eastAsia"/>
          <w:color w:val="auto"/>
          <w:highlight w:val="none"/>
        </w:rPr>
        <w:t>施工期固体废物主要是施工建筑垃圾及少量生活垃圾。</w:t>
      </w:r>
    </w:p>
    <w:p w14:paraId="283BDEB3">
      <w:pPr>
        <w:pStyle w:val="181"/>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）施工过程中产生的建筑垃圾及施工弃土应及时清运，运出废物应使用苫布遮盖，不得沿街洒落泥土，并按照市政部门批准的地点倾倒。</w:t>
      </w:r>
    </w:p>
    <w:p w14:paraId="32E4ADAC">
      <w:pPr>
        <w:pStyle w:val="181"/>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）施工人员产生的生活垃圾量较少，可设置固定垃圾箱存放，由市政部门统一清运，不得随意丢弃。</w:t>
      </w:r>
    </w:p>
    <w:p w14:paraId="21A54DEA">
      <w:pPr>
        <w:pStyle w:val="181"/>
        <w:ind w:firstLine="480"/>
        <w:rPr>
          <w:color w:val="auto"/>
          <w:spacing w:val="-4"/>
          <w:highlight w:val="none"/>
        </w:rPr>
      </w:pPr>
      <w:r>
        <w:rPr>
          <w:rFonts w:hint="eastAsia"/>
          <w:color w:val="auto"/>
          <w:highlight w:val="none"/>
        </w:rPr>
        <w:t>固体废物经过以上措施处置后对周围环境不会产生较大影响。</w:t>
      </w:r>
    </w:p>
    <w:p w14:paraId="73572AED">
      <w:pPr>
        <w:pStyle w:val="4"/>
        <w:spacing w:before="120" w:after="120"/>
        <w:rPr>
          <w:color w:val="auto"/>
          <w:highlight w:val="none"/>
        </w:rPr>
      </w:pPr>
      <w:bookmarkStart w:id="147" w:name="_Toc18663"/>
      <w:r>
        <w:rPr>
          <w:rFonts w:hint="eastAsia"/>
          <w:color w:val="auto"/>
          <w:highlight w:val="none"/>
        </w:rPr>
        <w:t>运营期大气环境影响分析</w:t>
      </w:r>
      <w:bookmarkEnd w:id="147"/>
    </w:p>
    <w:p w14:paraId="26264356">
      <w:pPr>
        <w:pStyle w:val="5"/>
        <w:rPr>
          <w:color w:val="auto"/>
          <w:highlight w:val="none"/>
        </w:rPr>
      </w:pPr>
      <w:r>
        <w:rPr>
          <w:color w:val="auto"/>
          <w:highlight w:val="none"/>
        </w:rPr>
        <w:t>区域</w:t>
      </w:r>
      <w:r>
        <w:rPr>
          <w:rFonts w:hint="eastAsia"/>
          <w:color w:val="auto"/>
          <w:highlight w:val="none"/>
          <w:lang w:val="en-US" w:eastAsia="zh-CN"/>
        </w:rPr>
        <w:t>地面</w:t>
      </w:r>
      <w:r>
        <w:rPr>
          <w:color w:val="auto"/>
          <w:highlight w:val="none"/>
        </w:rPr>
        <w:t>气象资料</w:t>
      </w:r>
    </w:p>
    <w:p w14:paraId="05F6D6DD">
      <w:pPr>
        <w:pStyle w:val="6"/>
        <w:rPr>
          <w:color w:val="auto"/>
          <w:highlight w:val="none"/>
        </w:rPr>
      </w:pPr>
      <w:r>
        <w:rPr>
          <w:rFonts w:hint="eastAsia"/>
          <w:color w:val="auto"/>
          <w:highlight w:val="none"/>
          <w:lang w:val="en-US" w:eastAsia="zh-CN"/>
        </w:rPr>
        <w:t xml:space="preserve"> </w:t>
      </w:r>
      <w:r>
        <w:rPr>
          <w:rFonts w:hint="eastAsia"/>
          <w:color w:val="auto"/>
          <w:highlight w:val="none"/>
        </w:rPr>
        <w:t>气候特征</w:t>
      </w:r>
    </w:p>
    <w:p w14:paraId="39289D6C">
      <w:pPr>
        <w:pStyle w:val="181"/>
        <w:ind w:firstLine="480"/>
        <w:rPr>
          <w:rFonts w:hint="eastAsia"/>
          <w:color w:val="auto"/>
          <w:highlight w:val="none"/>
        </w:rPr>
      </w:pPr>
      <w:r>
        <w:rPr>
          <w:rFonts w:hint="eastAsia"/>
          <w:color w:val="auto"/>
          <w:highlight w:val="none"/>
        </w:rPr>
        <w:t>本次评价采用的是多伦县气象站（54208）资料，气象站位于内蒙古自治区锡林郭勒盟多伦县，地理坐标为东经116.4664度，北纬42.1939度，海拔高度1246</w:t>
      </w:r>
      <w:r>
        <w:rPr>
          <w:rFonts w:hint="eastAsia"/>
          <w:color w:val="auto"/>
          <w:highlight w:val="none"/>
          <w:lang w:val="en-US" w:eastAsia="zh-CN"/>
        </w:rPr>
        <w:t>m</w:t>
      </w:r>
      <w:r>
        <w:rPr>
          <w:rFonts w:hint="eastAsia"/>
          <w:color w:val="auto"/>
          <w:highlight w:val="none"/>
        </w:rPr>
        <w:t>。</w:t>
      </w:r>
    </w:p>
    <w:p w14:paraId="212DF17E">
      <w:pPr>
        <w:pStyle w:val="181"/>
        <w:ind w:firstLine="480"/>
        <w:rPr>
          <w:rFonts w:hint="eastAsia"/>
          <w:color w:val="auto"/>
          <w:highlight w:val="none"/>
        </w:rPr>
      </w:pPr>
      <w:r>
        <w:rPr>
          <w:rFonts w:hint="eastAsia"/>
          <w:color w:val="auto"/>
          <w:highlight w:val="none"/>
        </w:rPr>
        <w:t>多伦县气象站距项目</w:t>
      </w:r>
      <w:r>
        <w:rPr>
          <w:rFonts w:hint="eastAsia"/>
          <w:color w:val="auto"/>
          <w:highlight w:val="none"/>
          <w:lang w:val="en-US" w:eastAsia="zh-CN"/>
        </w:rPr>
        <w:t>4.6</w:t>
      </w:r>
      <w:r>
        <w:rPr>
          <w:rFonts w:hint="eastAsia"/>
          <w:color w:val="auto"/>
          <w:highlight w:val="none"/>
        </w:rPr>
        <w:t>km，是距项目最近的基准气象站，拥有长期的气象观测资料，以下资料根据2004-2023年气象数据统计分析。</w:t>
      </w:r>
    </w:p>
    <w:p w14:paraId="4772E949">
      <w:pPr>
        <w:pStyle w:val="181"/>
        <w:ind w:firstLine="480"/>
        <w:rPr>
          <w:rFonts w:hint="eastAsia"/>
          <w:color w:val="auto"/>
          <w:highlight w:val="none"/>
        </w:rPr>
      </w:pPr>
      <w:r>
        <w:rPr>
          <w:rFonts w:hint="eastAsia"/>
          <w:color w:val="auto"/>
          <w:highlight w:val="none"/>
        </w:rPr>
        <w:t>多伦县气象站气象资料整编表如下表</w:t>
      </w:r>
      <w:r>
        <w:rPr>
          <w:rFonts w:hint="eastAsia"/>
          <w:color w:val="auto"/>
          <w:highlight w:val="none"/>
          <w:lang w:val="en-US" w:eastAsia="zh-CN"/>
        </w:rPr>
        <w:t>5.2-1</w:t>
      </w:r>
      <w:r>
        <w:rPr>
          <w:rFonts w:hint="eastAsia"/>
          <w:color w:val="auto"/>
          <w:highlight w:val="none"/>
        </w:rPr>
        <w:t>所示：</w:t>
      </w:r>
    </w:p>
    <w:p w14:paraId="61C92B06">
      <w:pPr>
        <w:pStyle w:val="199"/>
        <w:spacing w:before="120"/>
        <w:rPr>
          <w:rFonts w:hint="eastAsia"/>
          <w:color w:val="auto"/>
          <w:sz w:val="24"/>
          <w:highlight w:val="none"/>
        </w:rPr>
      </w:pPr>
    </w:p>
    <w:p w14:paraId="74BB4F51">
      <w:pPr>
        <w:pStyle w:val="199"/>
        <w:spacing w:before="120"/>
        <w:rPr>
          <w:rFonts w:hint="eastAsia"/>
          <w:color w:val="auto"/>
          <w:sz w:val="24"/>
          <w:highlight w:val="none"/>
        </w:rPr>
      </w:pPr>
    </w:p>
    <w:p w14:paraId="2EC5E631">
      <w:pPr>
        <w:pStyle w:val="199"/>
        <w:spacing w:before="120"/>
        <w:rPr>
          <w:rFonts w:hint="eastAsia"/>
          <w:color w:val="auto"/>
          <w:sz w:val="24"/>
          <w:highlight w:val="none"/>
        </w:rPr>
      </w:pPr>
      <w:r>
        <w:rPr>
          <w:rFonts w:hint="eastAsia"/>
          <w:color w:val="auto"/>
          <w:sz w:val="24"/>
          <w:highlight w:val="none"/>
        </w:rPr>
        <w:t>表5.</w:t>
      </w:r>
      <w:r>
        <w:rPr>
          <w:rFonts w:hint="eastAsia"/>
          <w:color w:val="auto"/>
          <w:sz w:val="24"/>
          <w:highlight w:val="none"/>
          <w:lang w:val="en-US" w:eastAsia="zh-CN"/>
        </w:rPr>
        <w:t>2</w:t>
      </w:r>
      <w:r>
        <w:rPr>
          <w:rFonts w:hint="eastAsia"/>
          <w:color w:val="auto"/>
          <w:sz w:val="24"/>
          <w:highlight w:val="none"/>
        </w:rPr>
        <w:t>-1</w:t>
      </w:r>
      <w:r>
        <w:rPr>
          <w:rFonts w:hint="eastAsia"/>
          <w:color w:val="auto"/>
          <w:sz w:val="24"/>
          <w:highlight w:val="none"/>
          <w:lang w:val="en-US" w:eastAsia="zh-CN"/>
        </w:rPr>
        <w:t xml:space="preserve">     </w:t>
      </w:r>
      <w:r>
        <w:rPr>
          <w:rFonts w:hint="eastAsia"/>
          <w:color w:val="auto"/>
          <w:sz w:val="24"/>
          <w:highlight w:val="none"/>
        </w:rPr>
        <w:t xml:space="preserve"> 多伦县气象常规气象项目统计（2004-2023）</w:t>
      </w:r>
    </w:p>
    <w:tbl>
      <w:tblPr>
        <w:tblStyle w:val="297"/>
        <w:tblW w:w="5000"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08"/>
        <w:gridCol w:w="2210"/>
        <w:gridCol w:w="1402"/>
        <w:gridCol w:w="1788"/>
        <w:gridCol w:w="1804"/>
      </w:tblGrid>
      <w:tr w14:paraId="4075F2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07BDB444">
            <w:pPr>
              <w:pStyle w:val="189"/>
              <w:autoSpaceDE w:val="0"/>
              <w:autoSpaceDN w:val="0"/>
              <w:jc w:val="center"/>
              <w:rPr>
                <w:rFonts w:hint="eastAsia"/>
                <w:color w:val="auto"/>
                <w:szCs w:val="21"/>
                <w:highlight w:val="none"/>
              </w:rPr>
            </w:pPr>
            <w:r>
              <w:rPr>
                <w:rFonts w:hint="eastAsia"/>
                <w:color w:val="auto"/>
                <w:szCs w:val="21"/>
                <w:highlight w:val="none"/>
              </w:rPr>
              <w:t>统计项目</w:t>
            </w:r>
          </w:p>
        </w:tc>
        <w:tc>
          <w:tcPr>
            <w:tcW w:w="1557" w:type="dxa"/>
            <w:tcBorders>
              <w:tl2br w:val="nil"/>
              <w:tr2bl w:val="nil"/>
            </w:tcBorders>
            <w:noWrap w:val="0"/>
            <w:vAlign w:val="center"/>
          </w:tcPr>
          <w:p w14:paraId="2511721B">
            <w:pPr>
              <w:pStyle w:val="189"/>
              <w:autoSpaceDE w:val="0"/>
              <w:autoSpaceDN w:val="0"/>
              <w:jc w:val="center"/>
              <w:rPr>
                <w:rFonts w:hint="eastAsia"/>
                <w:color w:val="auto"/>
                <w:szCs w:val="21"/>
                <w:highlight w:val="none"/>
              </w:rPr>
            </w:pPr>
            <w:r>
              <w:rPr>
                <w:rFonts w:hint="eastAsia"/>
                <w:color w:val="auto"/>
                <w:szCs w:val="21"/>
                <w:highlight w:val="none"/>
              </w:rPr>
              <w:t>*统计值</w:t>
            </w:r>
          </w:p>
        </w:tc>
        <w:tc>
          <w:tcPr>
            <w:tcW w:w="1986" w:type="dxa"/>
            <w:tcBorders>
              <w:tl2br w:val="nil"/>
              <w:tr2bl w:val="nil"/>
            </w:tcBorders>
            <w:noWrap w:val="0"/>
            <w:vAlign w:val="center"/>
          </w:tcPr>
          <w:p w14:paraId="4DF33804">
            <w:pPr>
              <w:pStyle w:val="189"/>
              <w:autoSpaceDE w:val="0"/>
              <w:autoSpaceDN w:val="0"/>
              <w:jc w:val="center"/>
              <w:rPr>
                <w:rFonts w:hint="eastAsia"/>
                <w:color w:val="auto"/>
                <w:szCs w:val="21"/>
                <w:highlight w:val="none"/>
              </w:rPr>
            </w:pPr>
            <w:r>
              <w:rPr>
                <w:rFonts w:hint="eastAsia"/>
                <w:color w:val="auto"/>
                <w:szCs w:val="21"/>
                <w:highlight w:val="none"/>
              </w:rPr>
              <w:t>极值出现时间</w:t>
            </w:r>
          </w:p>
        </w:tc>
        <w:tc>
          <w:tcPr>
            <w:tcW w:w="2005" w:type="dxa"/>
            <w:tcBorders>
              <w:tl2br w:val="nil"/>
              <w:tr2bl w:val="nil"/>
            </w:tcBorders>
            <w:noWrap w:val="0"/>
            <w:vAlign w:val="center"/>
          </w:tcPr>
          <w:p w14:paraId="4FE5B0DF">
            <w:pPr>
              <w:pStyle w:val="189"/>
              <w:autoSpaceDE w:val="0"/>
              <w:autoSpaceDN w:val="0"/>
              <w:jc w:val="center"/>
              <w:rPr>
                <w:rFonts w:hint="eastAsia"/>
                <w:color w:val="auto"/>
                <w:szCs w:val="21"/>
                <w:highlight w:val="none"/>
              </w:rPr>
            </w:pPr>
            <w:r>
              <w:rPr>
                <w:rFonts w:hint="eastAsia"/>
                <w:color w:val="auto"/>
                <w:szCs w:val="21"/>
                <w:highlight w:val="none"/>
              </w:rPr>
              <w:t>**极值</w:t>
            </w:r>
          </w:p>
        </w:tc>
      </w:tr>
      <w:tr w14:paraId="541BD6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799B888A">
            <w:pPr>
              <w:pStyle w:val="189"/>
              <w:autoSpaceDE w:val="0"/>
              <w:autoSpaceDN w:val="0"/>
              <w:jc w:val="center"/>
              <w:rPr>
                <w:rFonts w:hint="eastAsia"/>
                <w:color w:val="auto"/>
                <w:szCs w:val="21"/>
                <w:highlight w:val="none"/>
              </w:rPr>
            </w:pPr>
            <w:r>
              <w:rPr>
                <w:rFonts w:hint="eastAsia"/>
                <w:color w:val="auto"/>
                <w:szCs w:val="21"/>
                <w:highlight w:val="none"/>
              </w:rPr>
              <w:t>多年平均气温(℃)</w:t>
            </w:r>
          </w:p>
        </w:tc>
        <w:tc>
          <w:tcPr>
            <w:tcW w:w="1557" w:type="dxa"/>
            <w:tcBorders>
              <w:tl2br w:val="nil"/>
              <w:tr2bl w:val="nil"/>
            </w:tcBorders>
            <w:noWrap w:val="0"/>
            <w:vAlign w:val="center"/>
          </w:tcPr>
          <w:p w14:paraId="31391731">
            <w:pPr>
              <w:pStyle w:val="189"/>
              <w:autoSpaceDE w:val="0"/>
              <w:autoSpaceDN w:val="0"/>
              <w:jc w:val="center"/>
              <w:rPr>
                <w:rFonts w:hint="eastAsia"/>
                <w:color w:val="auto"/>
                <w:szCs w:val="21"/>
                <w:highlight w:val="none"/>
              </w:rPr>
            </w:pPr>
            <w:r>
              <w:rPr>
                <w:rFonts w:hint="eastAsia"/>
                <w:color w:val="auto"/>
                <w:szCs w:val="21"/>
                <w:highlight w:val="none"/>
              </w:rPr>
              <w:t>3.4</w:t>
            </w:r>
          </w:p>
        </w:tc>
        <w:tc>
          <w:tcPr>
            <w:tcW w:w="1986" w:type="dxa"/>
            <w:tcBorders>
              <w:tl2br w:val="nil"/>
              <w:tr2bl w:val="nil"/>
            </w:tcBorders>
            <w:noWrap w:val="0"/>
            <w:vAlign w:val="center"/>
          </w:tcPr>
          <w:p w14:paraId="3CEFA7DA">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0C8337B7">
            <w:pPr>
              <w:pStyle w:val="189"/>
              <w:autoSpaceDE w:val="0"/>
              <w:autoSpaceDN w:val="0"/>
              <w:jc w:val="center"/>
              <w:rPr>
                <w:rFonts w:hint="eastAsia"/>
                <w:color w:val="auto"/>
                <w:szCs w:val="21"/>
                <w:highlight w:val="none"/>
              </w:rPr>
            </w:pPr>
          </w:p>
        </w:tc>
      </w:tr>
      <w:tr w14:paraId="7F913D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08B46540">
            <w:pPr>
              <w:pStyle w:val="189"/>
              <w:autoSpaceDE w:val="0"/>
              <w:autoSpaceDN w:val="0"/>
              <w:jc w:val="center"/>
              <w:rPr>
                <w:rFonts w:hint="eastAsia"/>
                <w:color w:val="auto"/>
                <w:szCs w:val="21"/>
                <w:highlight w:val="none"/>
              </w:rPr>
            </w:pPr>
            <w:r>
              <w:rPr>
                <w:rFonts w:hint="eastAsia"/>
                <w:color w:val="auto"/>
                <w:szCs w:val="21"/>
                <w:highlight w:val="none"/>
              </w:rPr>
              <w:t>累年极端最高气温(℃)</w:t>
            </w:r>
          </w:p>
        </w:tc>
        <w:tc>
          <w:tcPr>
            <w:tcW w:w="1557" w:type="dxa"/>
            <w:tcBorders>
              <w:tl2br w:val="nil"/>
              <w:tr2bl w:val="nil"/>
            </w:tcBorders>
            <w:noWrap w:val="0"/>
            <w:vAlign w:val="center"/>
          </w:tcPr>
          <w:p w14:paraId="06F4FBA3">
            <w:pPr>
              <w:pStyle w:val="189"/>
              <w:autoSpaceDE w:val="0"/>
              <w:autoSpaceDN w:val="0"/>
              <w:jc w:val="center"/>
              <w:rPr>
                <w:rFonts w:hint="eastAsia"/>
                <w:color w:val="auto"/>
                <w:szCs w:val="21"/>
                <w:highlight w:val="none"/>
              </w:rPr>
            </w:pPr>
            <w:r>
              <w:rPr>
                <w:rFonts w:hint="eastAsia"/>
                <w:color w:val="auto"/>
                <w:szCs w:val="21"/>
                <w:highlight w:val="none"/>
              </w:rPr>
              <w:t>32.9</w:t>
            </w:r>
          </w:p>
        </w:tc>
        <w:tc>
          <w:tcPr>
            <w:tcW w:w="1986" w:type="dxa"/>
            <w:tcBorders>
              <w:tl2br w:val="nil"/>
              <w:tr2bl w:val="nil"/>
            </w:tcBorders>
            <w:noWrap w:val="0"/>
            <w:vAlign w:val="center"/>
          </w:tcPr>
          <w:p w14:paraId="16799CD0">
            <w:pPr>
              <w:pStyle w:val="189"/>
              <w:autoSpaceDE w:val="0"/>
              <w:autoSpaceDN w:val="0"/>
              <w:jc w:val="center"/>
              <w:rPr>
                <w:rFonts w:hint="eastAsia"/>
                <w:color w:val="auto"/>
                <w:szCs w:val="21"/>
                <w:highlight w:val="none"/>
              </w:rPr>
            </w:pPr>
            <w:r>
              <w:rPr>
                <w:rFonts w:hint="eastAsia"/>
                <w:color w:val="auto"/>
                <w:szCs w:val="21"/>
                <w:highlight w:val="none"/>
              </w:rPr>
              <w:t>2010-07-29</w:t>
            </w:r>
          </w:p>
        </w:tc>
        <w:tc>
          <w:tcPr>
            <w:tcW w:w="2005" w:type="dxa"/>
            <w:tcBorders>
              <w:tl2br w:val="nil"/>
              <w:tr2bl w:val="nil"/>
            </w:tcBorders>
            <w:noWrap w:val="0"/>
            <w:vAlign w:val="center"/>
          </w:tcPr>
          <w:p w14:paraId="79BD62A1">
            <w:pPr>
              <w:pStyle w:val="189"/>
              <w:autoSpaceDE w:val="0"/>
              <w:autoSpaceDN w:val="0"/>
              <w:jc w:val="center"/>
              <w:rPr>
                <w:rFonts w:hint="eastAsia"/>
                <w:color w:val="auto"/>
                <w:szCs w:val="21"/>
                <w:highlight w:val="none"/>
              </w:rPr>
            </w:pPr>
            <w:r>
              <w:rPr>
                <w:rFonts w:hint="eastAsia"/>
                <w:color w:val="auto"/>
                <w:szCs w:val="21"/>
                <w:highlight w:val="none"/>
              </w:rPr>
              <w:t>36.8</w:t>
            </w:r>
          </w:p>
        </w:tc>
      </w:tr>
      <w:tr w14:paraId="7D079E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61C3CE60">
            <w:pPr>
              <w:pStyle w:val="189"/>
              <w:autoSpaceDE w:val="0"/>
              <w:autoSpaceDN w:val="0"/>
              <w:jc w:val="center"/>
              <w:rPr>
                <w:rFonts w:hint="eastAsia"/>
                <w:color w:val="auto"/>
                <w:szCs w:val="21"/>
                <w:highlight w:val="none"/>
              </w:rPr>
            </w:pPr>
            <w:r>
              <w:rPr>
                <w:rFonts w:hint="eastAsia"/>
                <w:color w:val="auto"/>
                <w:szCs w:val="21"/>
                <w:highlight w:val="none"/>
              </w:rPr>
              <w:t>累年极端最低气温(℃)</w:t>
            </w:r>
          </w:p>
        </w:tc>
        <w:tc>
          <w:tcPr>
            <w:tcW w:w="1557" w:type="dxa"/>
            <w:tcBorders>
              <w:tl2br w:val="nil"/>
              <w:tr2bl w:val="nil"/>
            </w:tcBorders>
            <w:noWrap w:val="0"/>
            <w:vAlign w:val="center"/>
          </w:tcPr>
          <w:p w14:paraId="3AA7D294">
            <w:pPr>
              <w:pStyle w:val="189"/>
              <w:autoSpaceDE w:val="0"/>
              <w:autoSpaceDN w:val="0"/>
              <w:jc w:val="center"/>
              <w:rPr>
                <w:rFonts w:hint="eastAsia"/>
                <w:color w:val="auto"/>
                <w:szCs w:val="21"/>
                <w:highlight w:val="none"/>
              </w:rPr>
            </w:pPr>
            <w:r>
              <w:rPr>
                <w:rFonts w:hint="eastAsia"/>
                <w:color w:val="auto"/>
                <w:szCs w:val="21"/>
                <w:highlight w:val="none"/>
              </w:rPr>
              <w:t>-32.4</w:t>
            </w:r>
          </w:p>
        </w:tc>
        <w:tc>
          <w:tcPr>
            <w:tcW w:w="1986" w:type="dxa"/>
            <w:tcBorders>
              <w:tl2br w:val="nil"/>
              <w:tr2bl w:val="nil"/>
            </w:tcBorders>
            <w:noWrap w:val="0"/>
            <w:vAlign w:val="center"/>
          </w:tcPr>
          <w:p w14:paraId="6B95F1F2">
            <w:pPr>
              <w:pStyle w:val="189"/>
              <w:autoSpaceDE w:val="0"/>
              <w:autoSpaceDN w:val="0"/>
              <w:jc w:val="center"/>
              <w:rPr>
                <w:rFonts w:hint="eastAsia"/>
                <w:color w:val="auto"/>
                <w:szCs w:val="21"/>
                <w:highlight w:val="none"/>
              </w:rPr>
            </w:pPr>
            <w:r>
              <w:rPr>
                <w:rFonts w:hint="eastAsia"/>
                <w:color w:val="auto"/>
                <w:szCs w:val="21"/>
                <w:highlight w:val="none"/>
              </w:rPr>
              <w:t>2010-01-07</w:t>
            </w:r>
          </w:p>
        </w:tc>
        <w:tc>
          <w:tcPr>
            <w:tcW w:w="2005" w:type="dxa"/>
            <w:tcBorders>
              <w:tl2br w:val="nil"/>
              <w:tr2bl w:val="nil"/>
            </w:tcBorders>
            <w:noWrap w:val="0"/>
            <w:vAlign w:val="center"/>
          </w:tcPr>
          <w:p w14:paraId="69F6B9AE">
            <w:pPr>
              <w:pStyle w:val="189"/>
              <w:autoSpaceDE w:val="0"/>
              <w:autoSpaceDN w:val="0"/>
              <w:jc w:val="center"/>
              <w:rPr>
                <w:rFonts w:hint="eastAsia"/>
                <w:color w:val="auto"/>
                <w:szCs w:val="21"/>
                <w:highlight w:val="none"/>
              </w:rPr>
            </w:pPr>
            <w:r>
              <w:rPr>
                <w:rFonts w:hint="eastAsia"/>
                <w:color w:val="auto"/>
                <w:szCs w:val="21"/>
                <w:highlight w:val="none"/>
              </w:rPr>
              <w:t>-38.4</w:t>
            </w:r>
          </w:p>
        </w:tc>
      </w:tr>
      <w:tr w14:paraId="3BBA3C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79263900">
            <w:pPr>
              <w:pStyle w:val="189"/>
              <w:autoSpaceDE w:val="0"/>
              <w:autoSpaceDN w:val="0"/>
              <w:jc w:val="center"/>
              <w:rPr>
                <w:rFonts w:hint="eastAsia"/>
                <w:color w:val="auto"/>
                <w:szCs w:val="21"/>
                <w:highlight w:val="none"/>
              </w:rPr>
            </w:pPr>
            <w:r>
              <w:rPr>
                <w:rFonts w:hint="eastAsia"/>
                <w:color w:val="auto"/>
                <w:szCs w:val="21"/>
                <w:highlight w:val="none"/>
              </w:rPr>
              <w:t>多年平均气压（hPa）</w:t>
            </w:r>
          </w:p>
        </w:tc>
        <w:tc>
          <w:tcPr>
            <w:tcW w:w="1557" w:type="dxa"/>
            <w:tcBorders>
              <w:tl2br w:val="nil"/>
              <w:tr2bl w:val="nil"/>
            </w:tcBorders>
            <w:noWrap w:val="0"/>
            <w:vAlign w:val="center"/>
          </w:tcPr>
          <w:p w14:paraId="4F24E26E">
            <w:pPr>
              <w:pStyle w:val="189"/>
              <w:autoSpaceDE w:val="0"/>
              <w:autoSpaceDN w:val="0"/>
              <w:jc w:val="center"/>
              <w:rPr>
                <w:rFonts w:hint="eastAsia"/>
                <w:color w:val="auto"/>
                <w:szCs w:val="21"/>
                <w:highlight w:val="none"/>
              </w:rPr>
            </w:pPr>
            <w:r>
              <w:rPr>
                <w:rFonts w:hint="eastAsia"/>
                <w:color w:val="auto"/>
                <w:szCs w:val="21"/>
                <w:highlight w:val="none"/>
              </w:rPr>
              <w:t>874.73</w:t>
            </w:r>
          </w:p>
        </w:tc>
        <w:tc>
          <w:tcPr>
            <w:tcW w:w="1986" w:type="dxa"/>
            <w:tcBorders>
              <w:tl2br w:val="nil"/>
              <w:tr2bl w:val="nil"/>
            </w:tcBorders>
            <w:noWrap w:val="0"/>
            <w:vAlign w:val="center"/>
          </w:tcPr>
          <w:p w14:paraId="78BEE87D">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1AB05CFF">
            <w:pPr>
              <w:pStyle w:val="189"/>
              <w:autoSpaceDE w:val="0"/>
              <w:autoSpaceDN w:val="0"/>
              <w:jc w:val="center"/>
              <w:rPr>
                <w:rFonts w:hint="eastAsia"/>
                <w:color w:val="auto"/>
                <w:szCs w:val="21"/>
                <w:highlight w:val="none"/>
              </w:rPr>
            </w:pPr>
          </w:p>
        </w:tc>
      </w:tr>
      <w:tr w14:paraId="440DE9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438665BF">
            <w:pPr>
              <w:pStyle w:val="189"/>
              <w:autoSpaceDE w:val="0"/>
              <w:autoSpaceDN w:val="0"/>
              <w:jc w:val="center"/>
              <w:rPr>
                <w:rFonts w:hint="eastAsia"/>
                <w:color w:val="auto"/>
                <w:szCs w:val="21"/>
                <w:highlight w:val="none"/>
              </w:rPr>
            </w:pPr>
            <w:r>
              <w:rPr>
                <w:rFonts w:hint="eastAsia"/>
                <w:color w:val="auto"/>
                <w:szCs w:val="21"/>
                <w:highlight w:val="none"/>
              </w:rPr>
              <w:t>多年平均相对湿度(%)</w:t>
            </w:r>
          </w:p>
        </w:tc>
        <w:tc>
          <w:tcPr>
            <w:tcW w:w="1557" w:type="dxa"/>
            <w:tcBorders>
              <w:tl2br w:val="nil"/>
              <w:tr2bl w:val="nil"/>
            </w:tcBorders>
            <w:noWrap w:val="0"/>
            <w:vAlign w:val="center"/>
          </w:tcPr>
          <w:p w14:paraId="155BD76D">
            <w:pPr>
              <w:pStyle w:val="189"/>
              <w:autoSpaceDE w:val="0"/>
              <w:autoSpaceDN w:val="0"/>
              <w:jc w:val="center"/>
              <w:rPr>
                <w:rFonts w:hint="eastAsia"/>
                <w:color w:val="auto"/>
                <w:szCs w:val="21"/>
                <w:highlight w:val="none"/>
              </w:rPr>
            </w:pPr>
            <w:r>
              <w:rPr>
                <w:rFonts w:hint="eastAsia"/>
                <w:color w:val="auto"/>
                <w:szCs w:val="21"/>
                <w:highlight w:val="none"/>
              </w:rPr>
              <w:t>58.2</w:t>
            </w:r>
          </w:p>
        </w:tc>
        <w:tc>
          <w:tcPr>
            <w:tcW w:w="1986" w:type="dxa"/>
            <w:tcBorders>
              <w:tl2br w:val="nil"/>
              <w:tr2bl w:val="nil"/>
            </w:tcBorders>
            <w:noWrap w:val="0"/>
            <w:vAlign w:val="center"/>
          </w:tcPr>
          <w:p w14:paraId="243FD277">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6046C6D5">
            <w:pPr>
              <w:pStyle w:val="189"/>
              <w:autoSpaceDE w:val="0"/>
              <w:autoSpaceDN w:val="0"/>
              <w:jc w:val="center"/>
              <w:rPr>
                <w:rFonts w:hint="eastAsia"/>
                <w:color w:val="auto"/>
                <w:szCs w:val="21"/>
                <w:highlight w:val="none"/>
              </w:rPr>
            </w:pPr>
          </w:p>
        </w:tc>
      </w:tr>
      <w:tr w14:paraId="34351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44A01737">
            <w:pPr>
              <w:pStyle w:val="189"/>
              <w:autoSpaceDE w:val="0"/>
              <w:autoSpaceDN w:val="0"/>
              <w:jc w:val="center"/>
              <w:rPr>
                <w:rFonts w:hint="eastAsia"/>
                <w:color w:val="auto"/>
                <w:szCs w:val="21"/>
                <w:highlight w:val="none"/>
              </w:rPr>
            </w:pPr>
            <w:r>
              <w:rPr>
                <w:rFonts w:hint="eastAsia"/>
                <w:color w:val="auto"/>
                <w:szCs w:val="21"/>
                <w:highlight w:val="none"/>
              </w:rPr>
              <w:t>多年平均降雨量(mm)</w:t>
            </w:r>
          </w:p>
        </w:tc>
        <w:tc>
          <w:tcPr>
            <w:tcW w:w="1557" w:type="dxa"/>
            <w:tcBorders>
              <w:tl2br w:val="nil"/>
              <w:tr2bl w:val="nil"/>
            </w:tcBorders>
            <w:noWrap w:val="0"/>
            <w:vAlign w:val="center"/>
          </w:tcPr>
          <w:p w14:paraId="26E0487E">
            <w:pPr>
              <w:pStyle w:val="189"/>
              <w:autoSpaceDE w:val="0"/>
              <w:autoSpaceDN w:val="0"/>
              <w:jc w:val="center"/>
              <w:rPr>
                <w:rFonts w:hint="eastAsia"/>
                <w:color w:val="auto"/>
                <w:szCs w:val="21"/>
                <w:highlight w:val="none"/>
              </w:rPr>
            </w:pPr>
            <w:r>
              <w:rPr>
                <w:rFonts w:hint="eastAsia"/>
                <w:color w:val="auto"/>
                <w:szCs w:val="21"/>
                <w:highlight w:val="none"/>
              </w:rPr>
              <w:t>371.7</w:t>
            </w:r>
          </w:p>
        </w:tc>
        <w:tc>
          <w:tcPr>
            <w:tcW w:w="1986" w:type="dxa"/>
            <w:tcBorders>
              <w:tl2br w:val="nil"/>
              <w:tr2bl w:val="nil"/>
            </w:tcBorders>
            <w:noWrap w:val="0"/>
            <w:vAlign w:val="center"/>
          </w:tcPr>
          <w:p w14:paraId="7359C800">
            <w:pPr>
              <w:pStyle w:val="189"/>
              <w:autoSpaceDE w:val="0"/>
              <w:autoSpaceDN w:val="0"/>
              <w:jc w:val="center"/>
              <w:rPr>
                <w:rFonts w:hint="eastAsia"/>
                <w:color w:val="auto"/>
                <w:szCs w:val="21"/>
                <w:highlight w:val="none"/>
              </w:rPr>
            </w:pPr>
            <w:r>
              <w:rPr>
                <w:rFonts w:hint="eastAsia"/>
                <w:color w:val="auto"/>
                <w:szCs w:val="21"/>
                <w:highlight w:val="none"/>
              </w:rPr>
              <w:t>2009（极小年）</w:t>
            </w:r>
          </w:p>
        </w:tc>
        <w:tc>
          <w:tcPr>
            <w:tcW w:w="2005" w:type="dxa"/>
            <w:tcBorders>
              <w:tl2br w:val="nil"/>
              <w:tr2bl w:val="nil"/>
            </w:tcBorders>
            <w:noWrap w:val="0"/>
            <w:vAlign w:val="center"/>
          </w:tcPr>
          <w:p w14:paraId="36CBF6C9">
            <w:pPr>
              <w:pStyle w:val="189"/>
              <w:autoSpaceDE w:val="0"/>
              <w:autoSpaceDN w:val="0"/>
              <w:jc w:val="center"/>
              <w:rPr>
                <w:rFonts w:hint="eastAsia"/>
                <w:color w:val="auto"/>
                <w:szCs w:val="21"/>
                <w:highlight w:val="none"/>
              </w:rPr>
            </w:pPr>
            <w:r>
              <w:rPr>
                <w:rFonts w:hint="eastAsia"/>
                <w:color w:val="auto"/>
                <w:szCs w:val="21"/>
                <w:highlight w:val="none"/>
              </w:rPr>
              <w:t>247.6</w:t>
            </w:r>
          </w:p>
        </w:tc>
      </w:tr>
      <w:tr w14:paraId="54E1F8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1" w:type="dxa"/>
            <w:vMerge w:val="restart"/>
            <w:tcBorders>
              <w:tl2br w:val="nil"/>
              <w:tr2bl w:val="nil"/>
            </w:tcBorders>
            <w:noWrap w:val="0"/>
            <w:vAlign w:val="center"/>
          </w:tcPr>
          <w:p w14:paraId="3E47C460">
            <w:pPr>
              <w:pStyle w:val="189"/>
              <w:autoSpaceDE w:val="0"/>
              <w:autoSpaceDN w:val="0"/>
              <w:jc w:val="center"/>
              <w:rPr>
                <w:rFonts w:hint="eastAsia"/>
                <w:color w:val="auto"/>
                <w:szCs w:val="21"/>
                <w:highlight w:val="none"/>
              </w:rPr>
            </w:pPr>
            <w:r>
              <w:rPr>
                <w:rFonts w:hint="eastAsia"/>
                <w:color w:val="auto"/>
                <w:szCs w:val="21"/>
                <w:highlight w:val="none"/>
              </w:rPr>
              <w:t>灾害天气 统计</w:t>
            </w:r>
          </w:p>
        </w:tc>
        <w:tc>
          <w:tcPr>
            <w:tcW w:w="2455" w:type="dxa"/>
            <w:tcBorders>
              <w:tl2br w:val="nil"/>
              <w:tr2bl w:val="nil"/>
            </w:tcBorders>
            <w:noWrap w:val="0"/>
            <w:vAlign w:val="center"/>
          </w:tcPr>
          <w:p w14:paraId="614C97BA">
            <w:pPr>
              <w:pStyle w:val="189"/>
              <w:autoSpaceDE w:val="0"/>
              <w:autoSpaceDN w:val="0"/>
              <w:jc w:val="center"/>
              <w:rPr>
                <w:rFonts w:hint="eastAsia"/>
                <w:color w:val="auto"/>
                <w:szCs w:val="21"/>
                <w:highlight w:val="none"/>
              </w:rPr>
            </w:pPr>
            <w:r>
              <w:rPr>
                <w:rFonts w:hint="eastAsia"/>
                <w:color w:val="auto"/>
                <w:szCs w:val="21"/>
                <w:highlight w:val="none"/>
              </w:rPr>
              <w:t>多年平均雷暴日数(d)</w:t>
            </w:r>
          </w:p>
        </w:tc>
        <w:tc>
          <w:tcPr>
            <w:tcW w:w="1557" w:type="dxa"/>
            <w:tcBorders>
              <w:tl2br w:val="nil"/>
              <w:tr2bl w:val="nil"/>
            </w:tcBorders>
            <w:noWrap w:val="0"/>
            <w:vAlign w:val="center"/>
          </w:tcPr>
          <w:p w14:paraId="2C354DAF">
            <w:pPr>
              <w:pStyle w:val="189"/>
              <w:autoSpaceDE w:val="0"/>
              <w:autoSpaceDN w:val="0"/>
              <w:jc w:val="center"/>
              <w:rPr>
                <w:rFonts w:hint="eastAsia"/>
                <w:color w:val="auto"/>
                <w:szCs w:val="21"/>
                <w:highlight w:val="none"/>
              </w:rPr>
            </w:pPr>
            <w:r>
              <w:rPr>
                <w:rFonts w:hint="eastAsia"/>
                <w:color w:val="auto"/>
                <w:szCs w:val="21"/>
                <w:highlight w:val="none"/>
              </w:rPr>
              <w:t>35.6</w:t>
            </w:r>
          </w:p>
        </w:tc>
        <w:tc>
          <w:tcPr>
            <w:tcW w:w="1986" w:type="dxa"/>
            <w:tcBorders>
              <w:tl2br w:val="nil"/>
              <w:tr2bl w:val="nil"/>
            </w:tcBorders>
            <w:noWrap w:val="0"/>
            <w:vAlign w:val="center"/>
          </w:tcPr>
          <w:p w14:paraId="45C18336">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4A2A67E0">
            <w:pPr>
              <w:pStyle w:val="189"/>
              <w:autoSpaceDE w:val="0"/>
              <w:autoSpaceDN w:val="0"/>
              <w:jc w:val="center"/>
              <w:rPr>
                <w:rFonts w:hint="eastAsia"/>
                <w:color w:val="auto"/>
                <w:szCs w:val="21"/>
                <w:highlight w:val="none"/>
              </w:rPr>
            </w:pPr>
          </w:p>
        </w:tc>
      </w:tr>
      <w:tr w14:paraId="1F2ABB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1" w:type="dxa"/>
            <w:vMerge w:val="continue"/>
            <w:tcBorders>
              <w:tl2br w:val="nil"/>
              <w:tr2bl w:val="nil"/>
            </w:tcBorders>
            <w:noWrap w:val="0"/>
            <w:vAlign w:val="center"/>
          </w:tcPr>
          <w:p w14:paraId="45F72B5B">
            <w:pPr>
              <w:pStyle w:val="189"/>
              <w:autoSpaceDE w:val="0"/>
              <w:autoSpaceDN w:val="0"/>
              <w:jc w:val="center"/>
              <w:rPr>
                <w:rFonts w:hint="eastAsia"/>
                <w:color w:val="auto"/>
                <w:szCs w:val="21"/>
                <w:highlight w:val="none"/>
              </w:rPr>
            </w:pPr>
          </w:p>
        </w:tc>
        <w:tc>
          <w:tcPr>
            <w:tcW w:w="2455" w:type="dxa"/>
            <w:tcBorders>
              <w:tl2br w:val="nil"/>
              <w:tr2bl w:val="nil"/>
            </w:tcBorders>
            <w:noWrap w:val="0"/>
            <w:vAlign w:val="center"/>
          </w:tcPr>
          <w:p w14:paraId="77D938AC">
            <w:pPr>
              <w:pStyle w:val="189"/>
              <w:autoSpaceDE w:val="0"/>
              <w:autoSpaceDN w:val="0"/>
              <w:jc w:val="center"/>
              <w:rPr>
                <w:rFonts w:hint="eastAsia"/>
                <w:color w:val="auto"/>
                <w:szCs w:val="21"/>
                <w:highlight w:val="none"/>
              </w:rPr>
            </w:pPr>
            <w:r>
              <w:rPr>
                <w:rFonts w:hint="eastAsia"/>
                <w:color w:val="auto"/>
                <w:szCs w:val="21"/>
                <w:highlight w:val="none"/>
              </w:rPr>
              <w:t>多年平均冰雹日数(d)</w:t>
            </w:r>
          </w:p>
        </w:tc>
        <w:tc>
          <w:tcPr>
            <w:tcW w:w="1557" w:type="dxa"/>
            <w:tcBorders>
              <w:tl2br w:val="nil"/>
              <w:tr2bl w:val="nil"/>
            </w:tcBorders>
            <w:noWrap w:val="0"/>
            <w:vAlign w:val="center"/>
          </w:tcPr>
          <w:p w14:paraId="57CC5DCA">
            <w:pPr>
              <w:pStyle w:val="189"/>
              <w:autoSpaceDE w:val="0"/>
              <w:autoSpaceDN w:val="0"/>
              <w:jc w:val="center"/>
              <w:rPr>
                <w:rFonts w:hint="eastAsia"/>
                <w:color w:val="auto"/>
                <w:szCs w:val="21"/>
                <w:highlight w:val="none"/>
              </w:rPr>
            </w:pPr>
            <w:r>
              <w:rPr>
                <w:rFonts w:hint="eastAsia"/>
                <w:color w:val="auto"/>
                <w:szCs w:val="21"/>
                <w:highlight w:val="none"/>
              </w:rPr>
              <w:t>1.7</w:t>
            </w:r>
          </w:p>
        </w:tc>
        <w:tc>
          <w:tcPr>
            <w:tcW w:w="1986" w:type="dxa"/>
            <w:tcBorders>
              <w:tl2br w:val="nil"/>
              <w:tr2bl w:val="nil"/>
            </w:tcBorders>
            <w:noWrap w:val="0"/>
            <w:vAlign w:val="center"/>
          </w:tcPr>
          <w:p w14:paraId="54B3DCCB">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6464236B">
            <w:pPr>
              <w:pStyle w:val="189"/>
              <w:autoSpaceDE w:val="0"/>
              <w:autoSpaceDN w:val="0"/>
              <w:jc w:val="center"/>
              <w:rPr>
                <w:rFonts w:hint="eastAsia"/>
                <w:color w:val="auto"/>
                <w:szCs w:val="21"/>
                <w:highlight w:val="none"/>
              </w:rPr>
            </w:pPr>
          </w:p>
        </w:tc>
      </w:tr>
      <w:tr w14:paraId="76B9A4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31" w:type="dxa"/>
            <w:vMerge w:val="continue"/>
            <w:tcBorders>
              <w:tl2br w:val="nil"/>
              <w:tr2bl w:val="nil"/>
            </w:tcBorders>
            <w:noWrap w:val="0"/>
            <w:vAlign w:val="center"/>
          </w:tcPr>
          <w:p w14:paraId="0DC2988D">
            <w:pPr>
              <w:pStyle w:val="189"/>
              <w:autoSpaceDE w:val="0"/>
              <w:autoSpaceDN w:val="0"/>
              <w:jc w:val="center"/>
              <w:rPr>
                <w:rFonts w:hint="eastAsia"/>
                <w:color w:val="auto"/>
                <w:szCs w:val="21"/>
                <w:highlight w:val="none"/>
              </w:rPr>
            </w:pPr>
          </w:p>
        </w:tc>
        <w:tc>
          <w:tcPr>
            <w:tcW w:w="2455" w:type="dxa"/>
            <w:tcBorders>
              <w:tl2br w:val="nil"/>
              <w:tr2bl w:val="nil"/>
            </w:tcBorders>
            <w:noWrap w:val="0"/>
            <w:vAlign w:val="center"/>
          </w:tcPr>
          <w:p w14:paraId="70F04E7C">
            <w:pPr>
              <w:pStyle w:val="189"/>
              <w:autoSpaceDE w:val="0"/>
              <w:autoSpaceDN w:val="0"/>
              <w:jc w:val="center"/>
              <w:rPr>
                <w:rFonts w:hint="eastAsia"/>
                <w:color w:val="auto"/>
                <w:szCs w:val="21"/>
                <w:highlight w:val="none"/>
              </w:rPr>
            </w:pPr>
            <w:r>
              <w:rPr>
                <w:rFonts w:hint="eastAsia"/>
                <w:color w:val="auto"/>
                <w:szCs w:val="21"/>
                <w:highlight w:val="none"/>
              </w:rPr>
              <w:t>多年平均大风日数(d)</w:t>
            </w:r>
          </w:p>
        </w:tc>
        <w:tc>
          <w:tcPr>
            <w:tcW w:w="1557" w:type="dxa"/>
            <w:tcBorders>
              <w:tl2br w:val="nil"/>
              <w:tr2bl w:val="nil"/>
            </w:tcBorders>
            <w:noWrap w:val="0"/>
            <w:vAlign w:val="center"/>
          </w:tcPr>
          <w:p w14:paraId="5EED3B36">
            <w:pPr>
              <w:pStyle w:val="189"/>
              <w:autoSpaceDE w:val="0"/>
              <w:autoSpaceDN w:val="0"/>
              <w:jc w:val="center"/>
              <w:rPr>
                <w:rFonts w:hint="eastAsia"/>
                <w:color w:val="auto"/>
                <w:szCs w:val="21"/>
                <w:highlight w:val="none"/>
              </w:rPr>
            </w:pPr>
            <w:r>
              <w:rPr>
                <w:rFonts w:hint="eastAsia"/>
                <w:color w:val="auto"/>
                <w:szCs w:val="21"/>
                <w:highlight w:val="none"/>
              </w:rPr>
              <w:t>19.0</w:t>
            </w:r>
          </w:p>
        </w:tc>
        <w:tc>
          <w:tcPr>
            <w:tcW w:w="1986" w:type="dxa"/>
            <w:tcBorders>
              <w:tl2br w:val="nil"/>
              <w:tr2bl w:val="nil"/>
            </w:tcBorders>
            <w:noWrap w:val="0"/>
            <w:vAlign w:val="center"/>
          </w:tcPr>
          <w:p w14:paraId="65454B2A">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7F47DF40">
            <w:pPr>
              <w:pStyle w:val="189"/>
              <w:autoSpaceDE w:val="0"/>
              <w:autoSpaceDN w:val="0"/>
              <w:jc w:val="center"/>
              <w:rPr>
                <w:rFonts w:hint="eastAsia"/>
                <w:color w:val="auto"/>
                <w:szCs w:val="21"/>
                <w:highlight w:val="none"/>
              </w:rPr>
            </w:pPr>
          </w:p>
        </w:tc>
      </w:tr>
      <w:tr w14:paraId="43D791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2AA4FCB5">
            <w:pPr>
              <w:pStyle w:val="189"/>
              <w:autoSpaceDE w:val="0"/>
              <w:autoSpaceDN w:val="0"/>
              <w:jc w:val="center"/>
              <w:rPr>
                <w:rFonts w:hint="eastAsia"/>
                <w:color w:val="auto"/>
                <w:szCs w:val="21"/>
                <w:highlight w:val="none"/>
              </w:rPr>
            </w:pPr>
            <w:r>
              <w:rPr>
                <w:rFonts w:hint="eastAsia"/>
                <w:color w:val="auto"/>
                <w:szCs w:val="21"/>
                <w:highlight w:val="none"/>
              </w:rPr>
              <w:t>多年实测极大风速（m/s）、相应风向</w:t>
            </w:r>
          </w:p>
        </w:tc>
        <w:tc>
          <w:tcPr>
            <w:tcW w:w="1557" w:type="dxa"/>
            <w:tcBorders>
              <w:tl2br w:val="nil"/>
              <w:tr2bl w:val="nil"/>
            </w:tcBorders>
            <w:noWrap w:val="0"/>
            <w:vAlign w:val="center"/>
          </w:tcPr>
          <w:p w14:paraId="3AD09542">
            <w:pPr>
              <w:pStyle w:val="189"/>
              <w:autoSpaceDE w:val="0"/>
              <w:autoSpaceDN w:val="0"/>
              <w:jc w:val="center"/>
              <w:rPr>
                <w:rFonts w:hint="eastAsia"/>
                <w:color w:val="auto"/>
                <w:szCs w:val="21"/>
                <w:highlight w:val="none"/>
              </w:rPr>
            </w:pPr>
            <w:r>
              <w:rPr>
                <w:rFonts w:hint="eastAsia"/>
                <w:color w:val="auto"/>
                <w:szCs w:val="21"/>
                <w:highlight w:val="none"/>
              </w:rPr>
              <w:t>26.6</w:t>
            </w:r>
          </w:p>
        </w:tc>
        <w:tc>
          <w:tcPr>
            <w:tcW w:w="1986" w:type="dxa"/>
            <w:tcBorders>
              <w:tl2br w:val="nil"/>
              <w:tr2bl w:val="nil"/>
            </w:tcBorders>
            <w:noWrap w:val="0"/>
            <w:vAlign w:val="center"/>
          </w:tcPr>
          <w:p w14:paraId="6E67F937">
            <w:pPr>
              <w:pStyle w:val="189"/>
              <w:autoSpaceDE w:val="0"/>
              <w:autoSpaceDN w:val="0"/>
              <w:jc w:val="center"/>
              <w:rPr>
                <w:rFonts w:hint="eastAsia"/>
                <w:color w:val="auto"/>
                <w:szCs w:val="21"/>
                <w:highlight w:val="none"/>
              </w:rPr>
            </w:pPr>
            <w:r>
              <w:rPr>
                <w:rFonts w:hint="eastAsia"/>
                <w:color w:val="auto"/>
                <w:szCs w:val="21"/>
                <w:highlight w:val="none"/>
              </w:rPr>
              <w:t>2006-07-17</w:t>
            </w:r>
          </w:p>
        </w:tc>
        <w:tc>
          <w:tcPr>
            <w:tcW w:w="2005" w:type="dxa"/>
            <w:tcBorders>
              <w:tl2br w:val="nil"/>
              <w:tr2bl w:val="nil"/>
            </w:tcBorders>
            <w:noWrap w:val="0"/>
            <w:vAlign w:val="center"/>
          </w:tcPr>
          <w:p w14:paraId="655756A4">
            <w:pPr>
              <w:pStyle w:val="189"/>
              <w:autoSpaceDE w:val="0"/>
              <w:autoSpaceDN w:val="0"/>
              <w:jc w:val="center"/>
              <w:rPr>
                <w:rFonts w:hint="eastAsia"/>
                <w:color w:val="auto"/>
                <w:szCs w:val="21"/>
                <w:highlight w:val="none"/>
              </w:rPr>
            </w:pPr>
            <w:r>
              <w:rPr>
                <w:rFonts w:hint="eastAsia"/>
                <w:color w:val="auto"/>
                <w:szCs w:val="21"/>
                <w:highlight w:val="none"/>
              </w:rPr>
              <w:t>286.0</w:t>
            </w:r>
          </w:p>
        </w:tc>
      </w:tr>
      <w:tr w14:paraId="77ADC9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0B5E5AE4">
            <w:pPr>
              <w:pStyle w:val="189"/>
              <w:autoSpaceDE w:val="0"/>
              <w:autoSpaceDN w:val="0"/>
              <w:jc w:val="center"/>
              <w:rPr>
                <w:rFonts w:hint="eastAsia"/>
                <w:color w:val="auto"/>
                <w:szCs w:val="21"/>
                <w:highlight w:val="none"/>
              </w:rPr>
            </w:pPr>
            <w:r>
              <w:rPr>
                <w:rFonts w:hint="eastAsia"/>
                <w:color w:val="auto"/>
                <w:szCs w:val="21"/>
                <w:highlight w:val="none"/>
              </w:rPr>
              <w:t>多年平均风速（m/s）</w:t>
            </w:r>
          </w:p>
        </w:tc>
        <w:tc>
          <w:tcPr>
            <w:tcW w:w="1557" w:type="dxa"/>
            <w:tcBorders>
              <w:tl2br w:val="nil"/>
              <w:tr2bl w:val="nil"/>
            </w:tcBorders>
            <w:noWrap w:val="0"/>
            <w:vAlign w:val="center"/>
          </w:tcPr>
          <w:p w14:paraId="65272D56">
            <w:pPr>
              <w:pStyle w:val="189"/>
              <w:autoSpaceDE w:val="0"/>
              <w:autoSpaceDN w:val="0"/>
              <w:jc w:val="center"/>
              <w:rPr>
                <w:rFonts w:hint="eastAsia"/>
                <w:color w:val="auto"/>
                <w:szCs w:val="21"/>
                <w:highlight w:val="none"/>
              </w:rPr>
            </w:pPr>
            <w:r>
              <w:rPr>
                <w:rFonts w:hint="eastAsia"/>
                <w:color w:val="auto"/>
                <w:szCs w:val="21"/>
                <w:highlight w:val="none"/>
              </w:rPr>
              <w:t>2.7</w:t>
            </w:r>
          </w:p>
        </w:tc>
        <w:tc>
          <w:tcPr>
            <w:tcW w:w="1986" w:type="dxa"/>
            <w:tcBorders>
              <w:tl2br w:val="nil"/>
              <w:tr2bl w:val="nil"/>
            </w:tcBorders>
            <w:noWrap w:val="0"/>
            <w:vAlign w:val="center"/>
          </w:tcPr>
          <w:p w14:paraId="21599ED1">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765819F1">
            <w:pPr>
              <w:pStyle w:val="189"/>
              <w:autoSpaceDE w:val="0"/>
              <w:autoSpaceDN w:val="0"/>
              <w:jc w:val="center"/>
              <w:rPr>
                <w:rFonts w:hint="eastAsia"/>
                <w:color w:val="auto"/>
                <w:szCs w:val="21"/>
                <w:highlight w:val="none"/>
              </w:rPr>
            </w:pPr>
          </w:p>
        </w:tc>
      </w:tr>
      <w:tr w14:paraId="247ED8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442A1021">
            <w:pPr>
              <w:pStyle w:val="189"/>
              <w:autoSpaceDE w:val="0"/>
              <w:autoSpaceDN w:val="0"/>
              <w:jc w:val="center"/>
              <w:rPr>
                <w:rFonts w:hint="eastAsia"/>
                <w:color w:val="auto"/>
                <w:szCs w:val="21"/>
                <w:highlight w:val="none"/>
              </w:rPr>
            </w:pPr>
            <w:r>
              <w:rPr>
                <w:rFonts w:hint="eastAsia"/>
                <w:color w:val="auto"/>
                <w:szCs w:val="21"/>
                <w:highlight w:val="none"/>
              </w:rPr>
              <w:t>多年主导风向、风向频率(%)</w:t>
            </w:r>
          </w:p>
        </w:tc>
        <w:tc>
          <w:tcPr>
            <w:tcW w:w="1557" w:type="dxa"/>
            <w:tcBorders>
              <w:tl2br w:val="nil"/>
              <w:tr2bl w:val="nil"/>
            </w:tcBorders>
            <w:noWrap w:val="0"/>
            <w:vAlign w:val="center"/>
          </w:tcPr>
          <w:p w14:paraId="47B94B0D">
            <w:pPr>
              <w:pStyle w:val="189"/>
              <w:autoSpaceDE w:val="0"/>
              <w:autoSpaceDN w:val="0"/>
              <w:jc w:val="center"/>
              <w:rPr>
                <w:rFonts w:hint="eastAsia"/>
                <w:color w:val="auto"/>
                <w:szCs w:val="21"/>
                <w:highlight w:val="none"/>
              </w:rPr>
            </w:pPr>
            <w:r>
              <w:rPr>
                <w:rFonts w:hint="eastAsia"/>
                <w:color w:val="auto"/>
                <w:szCs w:val="21"/>
                <w:highlight w:val="none"/>
              </w:rPr>
              <w:t>WNW 7.95%</w:t>
            </w:r>
          </w:p>
        </w:tc>
        <w:tc>
          <w:tcPr>
            <w:tcW w:w="1986" w:type="dxa"/>
            <w:tcBorders>
              <w:tl2br w:val="nil"/>
              <w:tr2bl w:val="nil"/>
            </w:tcBorders>
            <w:noWrap w:val="0"/>
            <w:vAlign w:val="center"/>
          </w:tcPr>
          <w:p w14:paraId="735934F0">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62C15753">
            <w:pPr>
              <w:pStyle w:val="189"/>
              <w:autoSpaceDE w:val="0"/>
              <w:autoSpaceDN w:val="0"/>
              <w:jc w:val="center"/>
              <w:rPr>
                <w:rFonts w:hint="eastAsia"/>
                <w:color w:val="auto"/>
                <w:szCs w:val="21"/>
                <w:highlight w:val="none"/>
              </w:rPr>
            </w:pPr>
          </w:p>
        </w:tc>
      </w:tr>
      <w:tr w14:paraId="27ED4F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4250D8F6">
            <w:pPr>
              <w:pStyle w:val="189"/>
              <w:autoSpaceDE w:val="0"/>
              <w:autoSpaceDN w:val="0"/>
              <w:jc w:val="center"/>
              <w:rPr>
                <w:rFonts w:hint="eastAsia"/>
                <w:color w:val="auto"/>
                <w:szCs w:val="21"/>
                <w:highlight w:val="none"/>
              </w:rPr>
            </w:pPr>
            <w:r>
              <w:rPr>
                <w:rFonts w:hint="eastAsia"/>
                <w:color w:val="auto"/>
                <w:szCs w:val="21"/>
                <w:highlight w:val="none"/>
              </w:rPr>
              <w:t>多年静风频率(风速&lt;=0.2m/s)(%)</w:t>
            </w:r>
          </w:p>
        </w:tc>
        <w:tc>
          <w:tcPr>
            <w:tcW w:w="1557" w:type="dxa"/>
            <w:tcBorders>
              <w:tl2br w:val="nil"/>
              <w:tr2bl w:val="nil"/>
            </w:tcBorders>
            <w:noWrap w:val="0"/>
            <w:vAlign w:val="center"/>
          </w:tcPr>
          <w:p w14:paraId="7312127E">
            <w:pPr>
              <w:pStyle w:val="189"/>
              <w:autoSpaceDE w:val="0"/>
              <w:autoSpaceDN w:val="0"/>
              <w:jc w:val="center"/>
              <w:rPr>
                <w:rFonts w:hint="eastAsia"/>
                <w:color w:val="auto"/>
                <w:szCs w:val="21"/>
                <w:highlight w:val="none"/>
              </w:rPr>
            </w:pPr>
            <w:r>
              <w:rPr>
                <w:rFonts w:hint="eastAsia"/>
                <w:color w:val="auto"/>
                <w:szCs w:val="21"/>
                <w:highlight w:val="none"/>
              </w:rPr>
              <w:t>7.9</w:t>
            </w:r>
          </w:p>
        </w:tc>
        <w:tc>
          <w:tcPr>
            <w:tcW w:w="1986" w:type="dxa"/>
            <w:tcBorders>
              <w:tl2br w:val="nil"/>
              <w:tr2bl w:val="nil"/>
            </w:tcBorders>
            <w:noWrap w:val="0"/>
            <w:vAlign w:val="center"/>
          </w:tcPr>
          <w:p w14:paraId="18D262B4">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068DA47F">
            <w:pPr>
              <w:pStyle w:val="189"/>
              <w:autoSpaceDE w:val="0"/>
              <w:autoSpaceDN w:val="0"/>
              <w:jc w:val="center"/>
              <w:rPr>
                <w:rFonts w:hint="eastAsia"/>
                <w:color w:val="auto"/>
                <w:szCs w:val="21"/>
                <w:highlight w:val="none"/>
              </w:rPr>
            </w:pPr>
          </w:p>
        </w:tc>
      </w:tr>
      <w:tr w14:paraId="4254D2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7D9FF766">
            <w:pPr>
              <w:pStyle w:val="189"/>
              <w:autoSpaceDE w:val="0"/>
              <w:autoSpaceDN w:val="0"/>
              <w:jc w:val="center"/>
              <w:rPr>
                <w:rFonts w:hint="eastAsia"/>
                <w:color w:val="auto"/>
                <w:szCs w:val="21"/>
                <w:highlight w:val="none"/>
              </w:rPr>
            </w:pPr>
            <w:r>
              <w:rPr>
                <w:rFonts w:hint="eastAsia"/>
                <w:color w:val="auto"/>
                <w:szCs w:val="21"/>
                <w:highlight w:val="none"/>
              </w:rPr>
              <w:t>日照时长（h）</w:t>
            </w:r>
          </w:p>
        </w:tc>
        <w:tc>
          <w:tcPr>
            <w:tcW w:w="1557" w:type="dxa"/>
            <w:tcBorders>
              <w:tl2br w:val="nil"/>
              <w:tr2bl w:val="nil"/>
            </w:tcBorders>
            <w:noWrap w:val="0"/>
            <w:vAlign w:val="center"/>
          </w:tcPr>
          <w:p w14:paraId="4B657C00">
            <w:pPr>
              <w:pStyle w:val="189"/>
              <w:autoSpaceDE w:val="0"/>
              <w:autoSpaceDN w:val="0"/>
              <w:jc w:val="center"/>
              <w:rPr>
                <w:rFonts w:hint="eastAsia"/>
                <w:color w:val="auto"/>
                <w:szCs w:val="21"/>
                <w:highlight w:val="none"/>
              </w:rPr>
            </w:pPr>
            <w:r>
              <w:rPr>
                <w:rFonts w:hint="eastAsia"/>
                <w:color w:val="auto"/>
                <w:szCs w:val="21"/>
                <w:highlight w:val="none"/>
              </w:rPr>
              <w:t>2831.1</w:t>
            </w:r>
          </w:p>
        </w:tc>
        <w:tc>
          <w:tcPr>
            <w:tcW w:w="1986" w:type="dxa"/>
            <w:tcBorders>
              <w:tl2br w:val="nil"/>
              <w:tr2bl w:val="nil"/>
            </w:tcBorders>
            <w:noWrap w:val="0"/>
            <w:vAlign w:val="center"/>
          </w:tcPr>
          <w:p w14:paraId="69FE491C">
            <w:pPr>
              <w:pStyle w:val="189"/>
              <w:autoSpaceDE w:val="0"/>
              <w:autoSpaceDN w:val="0"/>
              <w:jc w:val="center"/>
              <w:rPr>
                <w:rFonts w:hint="eastAsia"/>
                <w:color w:val="auto"/>
                <w:szCs w:val="21"/>
                <w:highlight w:val="none"/>
              </w:rPr>
            </w:pPr>
          </w:p>
        </w:tc>
        <w:tc>
          <w:tcPr>
            <w:tcW w:w="2005" w:type="dxa"/>
            <w:tcBorders>
              <w:tl2br w:val="nil"/>
              <w:tr2bl w:val="nil"/>
            </w:tcBorders>
            <w:noWrap w:val="0"/>
            <w:vAlign w:val="center"/>
          </w:tcPr>
          <w:p w14:paraId="0B2D6B04">
            <w:pPr>
              <w:pStyle w:val="189"/>
              <w:autoSpaceDE w:val="0"/>
              <w:autoSpaceDN w:val="0"/>
              <w:jc w:val="center"/>
              <w:rPr>
                <w:rFonts w:hint="eastAsia"/>
                <w:color w:val="auto"/>
                <w:szCs w:val="21"/>
                <w:highlight w:val="none"/>
              </w:rPr>
            </w:pPr>
          </w:p>
        </w:tc>
      </w:tr>
      <w:tr w14:paraId="5F8BA7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686" w:type="dxa"/>
            <w:gridSpan w:val="2"/>
            <w:tcBorders>
              <w:tl2br w:val="nil"/>
              <w:tr2bl w:val="nil"/>
            </w:tcBorders>
            <w:noWrap w:val="0"/>
            <w:vAlign w:val="center"/>
          </w:tcPr>
          <w:p w14:paraId="27D357C6">
            <w:pPr>
              <w:pStyle w:val="189"/>
              <w:autoSpaceDE w:val="0"/>
              <w:autoSpaceDN w:val="0"/>
              <w:jc w:val="center"/>
              <w:rPr>
                <w:rFonts w:hint="eastAsia"/>
                <w:color w:val="auto"/>
                <w:szCs w:val="21"/>
                <w:highlight w:val="none"/>
              </w:rPr>
            </w:pPr>
            <w:r>
              <w:rPr>
                <w:rFonts w:hint="eastAsia"/>
                <w:color w:val="auto"/>
                <w:szCs w:val="21"/>
                <w:highlight w:val="none"/>
              </w:rPr>
              <w:t>*统计值代表均值 **极值代表极端值</w:t>
            </w:r>
          </w:p>
        </w:tc>
        <w:tc>
          <w:tcPr>
            <w:tcW w:w="1557" w:type="dxa"/>
            <w:tcBorders>
              <w:tl2br w:val="nil"/>
              <w:tr2bl w:val="nil"/>
            </w:tcBorders>
            <w:noWrap w:val="0"/>
            <w:vAlign w:val="center"/>
          </w:tcPr>
          <w:p w14:paraId="07A8154F">
            <w:pPr>
              <w:pStyle w:val="189"/>
              <w:autoSpaceDE w:val="0"/>
              <w:autoSpaceDN w:val="0"/>
              <w:jc w:val="center"/>
              <w:rPr>
                <w:rFonts w:hint="eastAsia"/>
                <w:color w:val="auto"/>
                <w:szCs w:val="21"/>
                <w:highlight w:val="none"/>
              </w:rPr>
            </w:pPr>
            <w:r>
              <w:rPr>
                <w:rFonts w:hint="eastAsia"/>
                <w:color w:val="auto"/>
                <w:szCs w:val="21"/>
                <w:highlight w:val="none"/>
              </w:rPr>
              <w:t>举例：累年极 端最高气温</w:t>
            </w:r>
          </w:p>
        </w:tc>
        <w:tc>
          <w:tcPr>
            <w:tcW w:w="1986" w:type="dxa"/>
            <w:tcBorders>
              <w:tl2br w:val="nil"/>
              <w:tr2bl w:val="nil"/>
            </w:tcBorders>
            <w:noWrap w:val="0"/>
            <w:vAlign w:val="center"/>
          </w:tcPr>
          <w:p w14:paraId="0AE2A949">
            <w:pPr>
              <w:pStyle w:val="189"/>
              <w:autoSpaceDE w:val="0"/>
              <w:autoSpaceDN w:val="0"/>
              <w:jc w:val="center"/>
              <w:rPr>
                <w:rFonts w:hint="eastAsia"/>
                <w:color w:val="auto"/>
                <w:szCs w:val="21"/>
                <w:highlight w:val="none"/>
              </w:rPr>
            </w:pPr>
            <w:r>
              <w:rPr>
                <w:rFonts w:hint="eastAsia"/>
                <w:color w:val="auto"/>
                <w:szCs w:val="21"/>
                <w:highlight w:val="none"/>
              </w:rPr>
              <w:t>*代表极端最高  气温的累年平均值</w:t>
            </w:r>
          </w:p>
        </w:tc>
        <w:tc>
          <w:tcPr>
            <w:tcW w:w="2005" w:type="dxa"/>
            <w:tcBorders>
              <w:tl2br w:val="nil"/>
              <w:tr2bl w:val="nil"/>
            </w:tcBorders>
            <w:noWrap w:val="0"/>
            <w:vAlign w:val="center"/>
          </w:tcPr>
          <w:p w14:paraId="091D10E6">
            <w:pPr>
              <w:pStyle w:val="189"/>
              <w:autoSpaceDE w:val="0"/>
              <w:autoSpaceDN w:val="0"/>
              <w:jc w:val="center"/>
              <w:rPr>
                <w:rFonts w:hint="eastAsia"/>
                <w:color w:val="auto"/>
                <w:szCs w:val="21"/>
                <w:highlight w:val="none"/>
              </w:rPr>
            </w:pPr>
            <w:r>
              <w:rPr>
                <w:rFonts w:hint="eastAsia"/>
                <w:color w:val="auto"/>
                <w:szCs w:val="21"/>
                <w:highlight w:val="none"/>
              </w:rPr>
              <w:t>**代表极端最高  气温的累年最高值</w:t>
            </w:r>
          </w:p>
        </w:tc>
      </w:tr>
    </w:tbl>
    <w:p w14:paraId="06612EBD">
      <w:pPr>
        <w:pStyle w:val="6"/>
        <w:rPr>
          <w:color w:val="auto"/>
          <w:highlight w:val="none"/>
        </w:rPr>
      </w:pPr>
      <w:r>
        <w:rPr>
          <w:rFonts w:hint="eastAsia"/>
          <w:color w:val="auto"/>
          <w:highlight w:val="none"/>
          <w:lang w:val="en-US" w:eastAsia="zh-CN"/>
        </w:rPr>
        <w:t xml:space="preserve"> 温度变化分析</w:t>
      </w:r>
    </w:p>
    <w:p w14:paraId="7468E08A">
      <w:pPr>
        <w:pStyle w:val="181"/>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月平均气温与极端气温</w:t>
      </w:r>
    </w:p>
    <w:p w14:paraId="412625F4">
      <w:pPr>
        <w:pStyle w:val="181"/>
        <w:ind w:firstLine="480"/>
        <w:rPr>
          <w:rFonts w:hint="eastAsia"/>
          <w:color w:val="auto"/>
          <w:highlight w:val="none"/>
        </w:rPr>
      </w:pPr>
      <w:r>
        <w:rPr>
          <w:rFonts w:hint="eastAsia"/>
          <w:color w:val="auto"/>
          <w:highlight w:val="none"/>
        </w:rPr>
        <w:t>多伦县气象站07月气温最高（19.9℃)</w:t>
      </w:r>
      <w:r>
        <w:rPr>
          <w:rFonts w:hint="eastAsia"/>
          <w:color w:val="auto"/>
          <w:highlight w:val="none"/>
          <w:lang w:eastAsia="zh-CN"/>
        </w:rPr>
        <w:t>，</w:t>
      </w:r>
      <w:r>
        <w:rPr>
          <w:rFonts w:hint="eastAsia"/>
          <w:color w:val="auto"/>
          <w:highlight w:val="none"/>
        </w:rPr>
        <w:t>01月气温最低（-16.2℃)</w:t>
      </w:r>
      <w:r>
        <w:rPr>
          <w:rFonts w:hint="eastAsia"/>
          <w:color w:val="auto"/>
          <w:highlight w:val="none"/>
          <w:lang w:eastAsia="zh-CN"/>
        </w:rPr>
        <w:t>，</w:t>
      </w:r>
      <w:r>
        <w:rPr>
          <w:rFonts w:hint="eastAsia"/>
          <w:color w:val="auto"/>
          <w:highlight w:val="none"/>
        </w:rPr>
        <w:t>近20年极端最高气温出现在2010年07月29日（36.8℃)</w:t>
      </w:r>
      <w:r>
        <w:rPr>
          <w:rFonts w:hint="eastAsia"/>
          <w:color w:val="auto"/>
          <w:highlight w:val="none"/>
          <w:lang w:eastAsia="zh-CN"/>
        </w:rPr>
        <w:t>，</w:t>
      </w:r>
      <w:r>
        <w:rPr>
          <w:rFonts w:hint="eastAsia"/>
          <w:color w:val="auto"/>
          <w:highlight w:val="none"/>
        </w:rPr>
        <w:t>近20年极端最低气温出现在2010年01月07日（-38.4℃)。</w:t>
      </w:r>
    </w:p>
    <w:p w14:paraId="79702F3B">
      <w:pPr>
        <w:pStyle w:val="181"/>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color w:val="auto"/>
          <w:highlight w:val="none"/>
        </w:rPr>
      </w:pPr>
      <w:r>
        <w:rPr>
          <w:color w:val="auto"/>
          <w:position w:val="-67"/>
          <w:highlight w:val="none"/>
        </w:rPr>
        <w:drawing>
          <wp:inline distT="0" distB="0" distL="114300" distR="114300">
            <wp:extent cx="4320540" cy="2879725"/>
            <wp:effectExtent l="0" t="0" r="3810" b="15875"/>
            <wp:docPr id="19" name="IM 278"/>
            <wp:cNvGraphicFramePr/>
            <a:graphic xmlns:a="http://schemas.openxmlformats.org/drawingml/2006/main">
              <a:graphicData uri="http://schemas.openxmlformats.org/drawingml/2006/picture">
                <pic:pic xmlns:pic="http://schemas.openxmlformats.org/drawingml/2006/picture">
                  <pic:nvPicPr>
                    <pic:cNvPr id="19" name="IM 278"/>
                    <pic:cNvPicPr/>
                  </pic:nvPicPr>
                  <pic:blipFill>
                    <a:blip r:embed="rId65"/>
                    <a:stretch>
                      <a:fillRect/>
                    </a:stretch>
                  </pic:blipFill>
                  <pic:spPr>
                    <a:xfrm>
                      <a:off x="0" y="0"/>
                      <a:ext cx="4320540" cy="2879725"/>
                    </a:xfrm>
                    <a:prstGeom prst="rect">
                      <a:avLst/>
                    </a:prstGeom>
                    <a:noFill/>
                    <a:ln>
                      <a:noFill/>
                    </a:ln>
                  </pic:spPr>
                </pic:pic>
              </a:graphicData>
            </a:graphic>
          </wp:inline>
        </w:drawing>
      </w:r>
    </w:p>
    <w:p w14:paraId="359D440E">
      <w:pPr>
        <w:ind w:left="480" w:firstLine="0" w:firstLineChars="0"/>
        <w:jc w:val="center"/>
        <w:rPr>
          <w:rFonts w:hint="eastAsia"/>
          <w:b/>
          <w:bCs/>
          <w:color w:val="auto"/>
          <w:highlight w:val="none"/>
        </w:rPr>
      </w:pPr>
      <w:r>
        <w:rPr>
          <w:rFonts w:hint="eastAsia"/>
          <w:b/>
          <w:bCs/>
          <w:color w:val="auto"/>
          <w:highlight w:val="none"/>
        </w:rPr>
        <w:t>图5.</w:t>
      </w:r>
      <w:r>
        <w:rPr>
          <w:rFonts w:hint="eastAsia"/>
          <w:b/>
          <w:bCs/>
          <w:color w:val="auto"/>
          <w:highlight w:val="none"/>
          <w:lang w:val="en-US" w:eastAsia="zh-CN"/>
        </w:rPr>
        <w:t>2</w:t>
      </w:r>
      <w:r>
        <w:rPr>
          <w:rFonts w:hint="eastAsia"/>
          <w:b/>
          <w:bCs/>
          <w:color w:val="auto"/>
          <w:highlight w:val="none"/>
        </w:rPr>
        <w:t xml:space="preserve">-1 </w:t>
      </w:r>
      <w:r>
        <w:rPr>
          <w:rFonts w:hint="eastAsia"/>
          <w:b/>
          <w:bCs/>
          <w:color w:val="auto"/>
          <w:highlight w:val="none"/>
          <w:lang w:val="en-US" w:eastAsia="zh-CN"/>
        </w:rPr>
        <w:t xml:space="preserve">     </w:t>
      </w:r>
      <w:r>
        <w:rPr>
          <w:rFonts w:hint="eastAsia"/>
          <w:b/>
          <w:bCs/>
          <w:color w:val="auto"/>
          <w:highlight w:val="none"/>
        </w:rPr>
        <w:t>多伦县近20年逐月平均气温（2004-2023年）</w:t>
      </w:r>
    </w:p>
    <w:p w14:paraId="589CE288">
      <w:pPr>
        <w:pStyle w:val="181"/>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）温度年际变化趋势与周期分析</w:t>
      </w:r>
    </w:p>
    <w:p w14:paraId="7E6B84CA">
      <w:pPr>
        <w:pStyle w:val="181"/>
        <w:ind w:firstLine="480"/>
        <w:rPr>
          <w:rFonts w:hint="eastAsia"/>
          <w:color w:val="auto"/>
          <w:highlight w:val="none"/>
          <w:lang w:eastAsia="zh-CN"/>
        </w:rPr>
      </w:pPr>
      <w:r>
        <w:rPr>
          <w:rFonts w:hint="eastAsia"/>
          <w:color w:val="auto"/>
          <w:highlight w:val="none"/>
          <w:lang w:eastAsia="zh-CN"/>
        </w:rPr>
        <w:t>多伦县气象站近20年气温呈现上升趋势，2016年年平均气温最高（5.5℃),2012年年平均气温最低（1.9℃),无明显周期。</w:t>
      </w:r>
    </w:p>
    <w:p w14:paraId="6EF6247E">
      <w:pPr>
        <w:keepNext w:val="0"/>
        <w:keepLines w:val="0"/>
        <w:pageBreakBefore w:val="0"/>
        <w:widowControl w:val="0"/>
        <w:kinsoku/>
        <w:wordWrap/>
        <w:overflowPunct/>
        <w:topLinePunct w:val="0"/>
        <w:autoSpaceDE/>
        <w:autoSpaceDN/>
        <w:bidi w:val="0"/>
        <w:adjustRightInd/>
        <w:snapToGrid/>
        <w:spacing w:before="5" w:line="360" w:lineRule="auto"/>
        <w:ind w:firstLine="0" w:firstLineChars="0"/>
        <w:jc w:val="center"/>
        <w:textAlignment w:val="auto"/>
        <w:rPr>
          <w:color w:val="auto"/>
          <w:highlight w:val="none"/>
        </w:rPr>
      </w:pPr>
      <w:r>
        <w:rPr>
          <w:color w:val="auto"/>
          <w:position w:val="-79"/>
          <w:highlight w:val="none"/>
        </w:rPr>
        <w:drawing>
          <wp:inline distT="0" distB="0" distL="114300" distR="114300">
            <wp:extent cx="4319905" cy="2879725"/>
            <wp:effectExtent l="0" t="0" r="4445" b="15875"/>
            <wp:docPr id="20" name="IM 280"/>
            <wp:cNvGraphicFramePr/>
            <a:graphic xmlns:a="http://schemas.openxmlformats.org/drawingml/2006/main">
              <a:graphicData uri="http://schemas.openxmlformats.org/drawingml/2006/picture">
                <pic:pic xmlns:pic="http://schemas.openxmlformats.org/drawingml/2006/picture">
                  <pic:nvPicPr>
                    <pic:cNvPr id="20" name="IM 280"/>
                    <pic:cNvPicPr/>
                  </pic:nvPicPr>
                  <pic:blipFill>
                    <a:blip r:embed="rId66"/>
                    <a:stretch>
                      <a:fillRect/>
                    </a:stretch>
                  </pic:blipFill>
                  <pic:spPr>
                    <a:xfrm>
                      <a:off x="0" y="0"/>
                      <a:ext cx="4319905" cy="2879725"/>
                    </a:xfrm>
                    <a:prstGeom prst="rect">
                      <a:avLst/>
                    </a:prstGeom>
                    <a:noFill/>
                    <a:ln>
                      <a:noFill/>
                    </a:ln>
                  </pic:spPr>
                </pic:pic>
              </a:graphicData>
            </a:graphic>
          </wp:inline>
        </w:drawing>
      </w:r>
    </w:p>
    <w:p w14:paraId="68F5C53D">
      <w:pPr>
        <w:ind w:left="480" w:firstLine="0" w:firstLineChars="0"/>
        <w:jc w:val="center"/>
        <w:rPr>
          <w:rFonts w:hint="eastAsia"/>
          <w:b/>
          <w:bCs/>
          <w:color w:val="auto"/>
          <w:highlight w:val="none"/>
        </w:rPr>
      </w:pPr>
      <w:r>
        <w:rPr>
          <w:rFonts w:hint="eastAsia"/>
          <w:b/>
          <w:bCs/>
          <w:color w:val="auto"/>
          <w:highlight w:val="none"/>
        </w:rPr>
        <w:t>图5.</w:t>
      </w:r>
      <w:r>
        <w:rPr>
          <w:rFonts w:hint="eastAsia"/>
          <w:b/>
          <w:bCs/>
          <w:color w:val="auto"/>
          <w:highlight w:val="none"/>
          <w:lang w:val="en-US" w:eastAsia="zh-CN"/>
        </w:rPr>
        <w:t>2</w:t>
      </w:r>
      <w:r>
        <w:rPr>
          <w:rFonts w:hint="eastAsia"/>
          <w:b/>
          <w:bCs/>
          <w:color w:val="auto"/>
          <w:highlight w:val="none"/>
        </w:rPr>
        <w:t>-2</w:t>
      </w:r>
      <w:r>
        <w:rPr>
          <w:rFonts w:hint="eastAsia"/>
          <w:b/>
          <w:bCs/>
          <w:color w:val="auto"/>
          <w:highlight w:val="none"/>
          <w:lang w:val="en-US" w:eastAsia="zh-CN"/>
        </w:rPr>
        <w:t xml:space="preserve">     </w:t>
      </w:r>
      <w:r>
        <w:rPr>
          <w:rFonts w:hint="eastAsia"/>
          <w:b/>
          <w:bCs/>
          <w:color w:val="auto"/>
          <w:highlight w:val="none"/>
        </w:rPr>
        <w:t xml:space="preserve"> 多伦县（2004-2023）年平均气温（虚线为趋势线）</w:t>
      </w:r>
    </w:p>
    <w:p w14:paraId="7EB53E51">
      <w:pPr>
        <w:pStyle w:val="6"/>
        <w:rPr>
          <w:color w:val="auto"/>
          <w:highlight w:val="none"/>
        </w:rPr>
      </w:pPr>
      <w:r>
        <w:rPr>
          <w:rFonts w:hint="eastAsia"/>
          <w:color w:val="auto"/>
          <w:highlight w:val="none"/>
          <w:lang w:val="en-US" w:eastAsia="zh-CN"/>
        </w:rPr>
        <w:t xml:space="preserve"> </w:t>
      </w:r>
      <w:r>
        <w:rPr>
          <w:rFonts w:hint="eastAsia"/>
          <w:color w:val="auto"/>
          <w:highlight w:val="none"/>
        </w:rPr>
        <w:t>风向、风速的统计特征</w:t>
      </w:r>
    </w:p>
    <w:p w14:paraId="191FFDCB">
      <w:pPr>
        <w:pStyle w:val="181"/>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）月平均风速</w:t>
      </w:r>
    </w:p>
    <w:p w14:paraId="7EBC39B8">
      <w:pPr>
        <w:pStyle w:val="181"/>
        <w:ind w:firstLine="480"/>
        <w:rPr>
          <w:rFonts w:hint="eastAsia"/>
          <w:color w:val="auto"/>
          <w:highlight w:val="none"/>
          <w:lang w:eastAsia="zh-CN"/>
        </w:rPr>
      </w:pPr>
      <w:r>
        <w:rPr>
          <w:rFonts w:hint="eastAsia"/>
          <w:color w:val="auto"/>
          <w:highlight w:val="none"/>
          <w:lang w:eastAsia="zh-CN"/>
        </w:rPr>
        <w:t>多伦县气象站月平均风速如下表，04和05月平均风速最大（3.4m/s），8月风最小（1.9m/s）。</w:t>
      </w:r>
    </w:p>
    <w:p w14:paraId="35FC93F2">
      <w:pPr>
        <w:pStyle w:val="199"/>
        <w:spacing w:before="120"/>
        <w:rPr>
          <w:rFonts w:hint="eastAsia"/>
          <w:color w:val="auto"/>
          <w:sz w:val="24"/>
          <w:highlight w:val="none"/>
        </w:rPr>
      </w:pPr>
      <w:r>
        <w:rPr>
          <w:rFonts w:hint="eastAsia"/>
          <w:color w:val="auto"/>
          <w:sz w:val="24"/>
          <w:highlight w:val="none"/>
        </w:rPr>
        <w:t>表5.</w:t>
      </w:r>
      <w:r>
        <w:rPr>
          <w:rFonts w:hint="eastAsia"/>
          <w:color w:val="auto"/>
          <w:sz w:val="24"/>
          <w:highlight w:val="none"/>
          <w:lang w:val="en-US" w:eastAsia="zh-CN"/>
        </w:rPr>
        <w:t>2</w:t>
      </w:r>
      <w:r>
        <w:rPr>
          <w:rFonts w:hint="eastAsia"/>
          <w:color w:val="auto"/>
          <w:sz w:val="24"/>
          <w:highlight w:val="none"/>
        </w:rPr>
        <w:t xml:space="preserve">-2 </w:t>
      </w:r>
      <w:r>
        <w:rPr>
          <w:rFonts w:hint="eastAsia"/>
          <w:color w:val="auto"/>
          <w:sz w:val="24"/>
          <w:highlight w:val="none"/>
          <w:lang w:val="en-US" w:eastAsia="zh-CN"/>
        </w:rPr>
        <w:t xml:space="preserve">   </w:t>
      </w:r>
      <w:r>
        <w:rPr>
          <w:rFonts w:hint="eastAsia"/>
          <w:color w:val="auto"/>
          <w:sz w:val="24"/>
          <w:highlight w:val="none"/>
        </w:rPr>
        <w:t>多伦县气象站月平均风速统计（单位m/s）</w:t>
      </w:r>
    </w:p>
    <w:tbl>
      <w:tblPr>
        <w:tblStyle w:val="29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09"/>
        <w:gridCol w:w="564"/>
        <w:gridCol w:w="606"/>
        <w:gridCol w:w="603"/>
        <w:gridCol w:w="603"/>
        <w:gridCol w:w="604"/>
        <w:gridCol w:w="603"/>
        <w:gridCol w:w="603"/>
        <w:gridCol w:w="604"/>
        <w:gridCol w:w="603"/>
        <w:gridCol w:w="603"/>
        <w:gridCol w:w="600"/>
        <w:gridCol w:w="607"/>
      </w:tblGrid>
      <w:tr w14:paraId="3049B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21" w:type="dxa"/>
            <w:tcBorders>
              <w:tl2br w:val="nil"/>
              <w:tr2bl w:val="nil"/>
            </w:tcBorders>
            <w:noWrap w:val="0"/>
            <w:vAlign w:val="top"/>
          </w:tcPr>
          <w:p w14:paraId="7986647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月份</w:t>
            </w:r>
          </w:p>
        </w:tc>
        <w:tc>
          <w:tcPr>
            <w:tcW w:w="620" w:type="dxa"/>
            <w:tcBorders>
              <w:tl2br w:val="nil"/>
              <w:tr2bl w:val="nil"/>
            </w:tcBorders>
            <w:noWrap w:val="0"/>
            <w:vAlign w:val="top"/>
          </w:tcPr>
          <w:p w14:paraId="6D595EA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1</w:t>
            </w:r>
          </w:p>
        </w:tc>
        <w:tc>
          <w:tcPr>
            <w:tcW w:w="666" w:type="dxa"/>
            <w:tcBorders>
              <w:tl2br w:val="nil"/>
              <w:tr2bl w:val="nil"/>
            </w:tcBorders>
            <w:noWrap w:val="0"/>
            <w:vAlign w:val="top"/>
          </w:tcPr>
          <w:p w14:paraId="167DA7B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2</w:t>
            </w:r>
          </w:p>
        </w:tc>
        <w:tc>
          <w:tcPr>
            <w:tcW w:w="663" w:type="dxa"/>
            <w:tcBorders>
              <w:tl2br w:val="nil"/>
              <w:tr2bl w:val="nil"/>
            </w:tcBorders>
            <w:noWrap w:val="0"/>
            <w:vAlign w:val="top"/>
          </w:tcPr>
          <w:p w14:paraId="6F0957A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3</w:t>
            </w:r>
          </w:p>
        </w:tc>
        <w:tc>
          <w:tcPr>
            <w:tcW w:w="663" w:type="dxa"/>
            <w:tcBorders>
              <w:tl2br w:val="nil"/>
              <w:tr2bl w:val="nil"/>
            </w:tcBorders>
            <w:noWrap w:val="0"/>
            <w:vAlign w:val="top"/>
          </w:tcPr>
          <w:p w14:paraId="2BB9CFB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4</w:t>
            </w:r>
          </w:p>
        </w:tc>
        <w:tc>
          <w:tcPr>
            <w:tcW w:w="664" w:type="dxa"/>
            <w:tcBorders>
              <w:tl2br w:val="nil"/>
              <w:tr2bl w:val="nil"/>
            </w:tcBorders>
            <w:noWrap w:val="0"/>
            <w:vAlign w:val="top"/>
          </w:tcPr>
          <w:p w14:paraId="29C81AA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5</w:t>
            </w:r>
          </w:p>
        </w:tc>
        <w:tc>
          <w:tcPr>
            <w:tcW w:w="663" w:type="dxa"/>
            <w:tcBorders>
              <w:tl2br w:val="nil"/>
              <w:tr2bl w:val="nil"/>
            </w:tcBorders>
            <w:noWrap w:val="0"/>
            <w:vAlign w:val="top"/>
          </w:tcPr>
          <w:p w14:paraId="386003B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6</w:t>
            </w:r>
          </w:p>
        </w:tc>
        <w:tc>
          <w:tcPr>
            <w:tcW w:w="663" w:type="dxa"/>
            <w:tcBorders>
              <w:tl2br w:val="nil"/>
              <w:tr2bl w:val="nil"/>
            </w:tcBorders>
            <w:noWrap w:val="0"/>
            <w:vAlign w:val="top"/>
          </w:tcPr>
          <w:p w14:paraId="46E1E87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7</w:t>
            </w:r>
          </w:p>
        </w:tc>
        <w:tc>
          <w:tcPr>
            <w:tcW w:w="664" w:type="dxa"/>
            <w:tcBorders>
              <w:tl2br w:val="nil"/>
              <w:tr2bl w:val="nil"/>
            </w:tcBorders>
            <w:noWrap w:val="0"/>
            <w:vAlign w:val="top"/>
          </w:tcPr>
          <w:p w14:paraId="07B25AB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8</w:t>
            </w:r>
          </w:p>
        </w:tc>
        <w:tc>
          <w:tcPr>
            <w:tcW w:w="663" w:type="dxa"/>
            <w:tcBorders>
              <w:tl2br w:val="nil"/>
              <w:tr2bl w:val="nil"/>
            </w:tcBorders>
            <w:noWrap w:val="0"/>
            <w:vAlign w:val="top"/>
          </w:tcPr>
          <w:p w14:paraId="2922F39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9</w:t>
            </w:r>
          </w:p>
        </w:tc>
        <w:tc>
          <w:tcPr>
            <w:tcW w:w="663" w:type="dxa"/>
            <w:tcBorders>
              <w:tl2br w:val="nil"/>
              <w:tr2bl w:val="nil"/>
            </w:tcBorders>
            <w:noWrap w:val="0"/>
            <w:vAlign w:val="top"/>
          </w:tcPr>
          <w:p w14:paraId="5829ED6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10</w:t>
            </w:r>
          </w:p>
        </w:tc>
        <w:tc>
          <w:tcPr>
            <w:tcW w:w="660" w:type="dxa"/>
            <w:tcBorders>
              <w:tl2br w:val="nil"/>
              <w:tr2bl w:val="nil"/>
            </w:tcBorders>
            <w:noWrap w:val="0"/>
            <w:vAlign w:val="top"/>
          </w:tcPr>
          <w:p w14:paraId="301A8D6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11</w:t>
            </w:r>
          </w:p>
        </w:tc>
        <w:tc>
          <w:tcPr>
            <w:tcW w:w="668" w:type="dxa"/>
            <w:tcBorders>
              <w:tl2br w:val="nil"/>
              <w:tr2bl w:val="nil"/>
            </w:tcBorders>
            <w:noWrap w:val="0"/>
            <w:vAlign w:val="top"/>
          </w:tcPr>
          <w:p w14:paraId="46E4BA9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12</w:t>
            </w:r>
          </w:p>
        </w:tc>
      </w:tr>
      <w:tr w14:paraId="55018D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21" w:type="dxa"/>
            <w:tcBorders>
              <w:tl2br w:val="nil"/>
              <w:tr2bl w:val="nil"/>
            </w:tcBorders>
            <w:noWrap w:val="0"/>
            <w:vAlign w:val="top"/>
          </w:tcPr>
          <w:p w14:paraId="6BFE91D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平均风速</w:t>
            </w:r>
          </w:p>
        </w:tc>
        <w:tc>
          <w:tcPr>
            <w:tcW w:w="620" w:type="dxa"/>
            <w:tcBorders>
              <w:tl2br w:val="nil"/>
              <w:tr2bl w:val="nil"/>
            </w:tcBorders>
            <w:noWrap w:val="0"/>
            <w:vAlign w:val="top"/>
          </w:tcPr>
          <w:p w14:paraId="2B022D7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2.6</w:t>
            </w:r>
          </w:p>
        </w:tc>
        <w:tc>
          <w:tcPr>
            <w:tcW w:w="666" w:type="dxa"/>
            <w:tcBorders>
              <w:tl2br w:val="nil"/>
              <w:tr2bl w:val="nil"/>
            </w:tcBorders>
            <w:noWrap w:val="0"/>
            <w:vAlign w:val="top"/>
          </w:tcPr>
          <w:p w14:paraId="03ABA68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2.8</w:t>
            </w:r>
          </w:p>
        </w:tc>
        <w:tc>
          <w:tcPr>
            <w:tcW w:w="663" w:type="dxa"/>
            <w:tcBorders>
              <w:tl2br w:val="nil"/>
              <w:tr2bl w:val="nil"/>
            </w:tcBorders>
            <w:noWrap w:val="0"/>
            <w:vAlign w:val="top"/>
          </w:tcPr>
          <w:p w14:paraId="19551E6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3.2</w:t>
            </w:r>
          </w:p>
        </w:tc>
        <w:tc>
          <w:tcPr>
            <w:tcW w:w="663" w:type="dxa"/>
            <w:tcBorders>
              <w:tl2br w:val="nil"/>
              <w:tr2bl w:val="nil"/>
            </w:tcBorders>
            <w:noWrap w:val="0"/>
            <w:vAlign w:val="top"/>
          </w:tcPr>
          <w:p w14:paraId="5C84524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3.4</w:t>
            </w:r>
          </w:p>
        </w:tc>
        <w:tc>
          <w:tcPr>
            <w:tcW w:w="664" w:type="dxa"/>
            <w:tcBorders>
              <w:tl2br w:val="nil"/>
              <w:tr2bl w:val="nil"/>
            </w:tcBorders>
            <w:noWrap w:val="0"/>
            <w:vAlign w:val="top"/>
          </w:tcPr>
          <w:p w14:paraId="2F32532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3.4</w:t>
            </w:r>
          </w:p>
        </w:tc>
        <w:tc>
          <w:tcPr>
            <w:tcW w:w="663" w:type="dxa"/>
            <w:tcBorders>
              <w:tl2br w:val="nil"/>
              <w:tr2bl w:val="nil"/>
            </w:tcBorders>
            <w:noWrap w:val="0"/>
            <w:vAlign w:val="top"/>
          </w:tcPr>
          <w:p w14:paraId="30EDCD6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2.4</w:t>
            </w:r>
          </w:p>
        </w:tc>
        <w:tc>
          <w:tcPr>
            <w:tcW w:w="663" w:type="dxa"/>
            <w:tcBorders>
              <w:tl2br w:val="nil"/>
              <w:tr2bl w:val="nil"/>
            </w:tcBorders>
            <w:noWrap w:val="0"/>
            <w:vAlign w:val="top"/>
          </w:tcPr>
          <w:p w14:paraId="3752F1F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2</w:t>
            </w:r>
          </w:p>
        </w:tc>
        <w:tc>
          <w:tcPr>
            <w:tcW w:w="664" w:type="dxa"/>
            <w:tcBorders>
              <w:tl2br w:val="nil"/>
              <w:tr2bl w:val="nil"/>
            </w:tcBorders>
            <w:noWrap w:val="0"/>
            <w:vAlign w:val="top"/>
          </w:tcPr>
          <w:p w14:paraId="379C14F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1.9</w:t>
            </w:r>
          </w:p>
        </w:tc>
        <w:tc>
          <w:tcPr>
            <w:tcW w:w="663" w:type="dxa"/>
            <w:tcBorders>
              <w:tl2br w:val="nil"/>
              <w:tr2bl w:val="nil"/>
            </w:tcBorders>
            <w:noWrap w:val="0"/>
            <w:vAlign w:val="top"/>
          </w:tcPr>
          <w:p w14:paraId="0B708E4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2.1</w:t>
            </w:r>
          </w:p>
        </w:tc>
        <w:tc>
          <w:tcPr>
            <w:tcW w:w="663" w:type="dxa"/>
            <w:tcBorders>
              <w:tl2br w:val="nil"/>
              <w:tr2bl w:val="nil"/>
            </w:tcBorders>
            <w:noWrap w:val="0"/>
            <w:vAlign w:val="top"/>
          </w:tcPr>
          <w:p w14:paraId="3C13015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2.7</w:t>
            </w:r>
          </w:p>
        </w:tc>
        <w:tc>
          <w:tcPr>
            <w:tcW w:w="660" w:type="dxa"/>
            <w:tcBorders>
              <w:tl2br w:val="nil"/>
              <w:tr2bl w:val="nil"/>
            </w:tcBorders>
            <w:noWrap w:val="0"/>
            <w:vAlign w:val="top"/>
          </w:tcPr>
          <w:p w14:paraId="0632A25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2.8</w:t>
            </w:r>
          </w:p>
        </w:tc>
        <w:tc>
          <w:tcPr>
            <w:tcW w:w="668" w:type="dxa"/>
            <w:tcBorders>
              <w:tl2br w:val="nil"/>
              <w:tr2bl w:val="nil"/>
            </w:tcBorders>
            <w:noWrap w:val="0"/>
            <w:vAlign w:val="top"/>
          </w:tcPr>
          <w:p w14:paraId="4D004FA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Cs w:val="21"/>
                <w:highlight w:val="none"/>
              </w:rPr>
            </w:pPr>
            <w:r>
              <w:rPr>
                <w:rFonts w:hint="eastAsia"/>
                <w:color w:val="auto"/>
                <w:szCs w:val="21"/>
                <w:highlight w:val="none"/>
              </w:rPr>
              <w:t>3.1</w:t>
            </w:r>
          </w:p>
        </w:tc>
      </w:tr>
    </w:tbl>
    <w:p w14:paraId="47B456AB">
      <w:pPr>
        <w:pStyle w:val="181"/>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）风向特征</w:t>
      </w:r>
    </w:p>
    <w:p w14:paraId="304168F1">
      <w:pPr>
        <w:pStyle w:val="181"/>
        <w:ind w:firstLine="480"/>
        <w:rPr>
          <w:rFonts w:hint="eastAsia"/>
          <w:color w:val="auto"/>
          <w:highlight w:val="none"/>
          <w:lang w:eastAsia="zh-CN"/>
        </w:rPr>
      </w:pPr>
      <w:r>
        <w:rPr>
          <w:rFonts w:hint="eastAsia"/>
          <w:color w:val="auto"/>
          <w:highlight w:val="none"/>
          <w:lang w:eastAsia="zh-CN"/>
        </w:rPr>
        <w:t>近20年资料分析的风向玫瑰图如下图所示，多伦县气象站主要风向为SW、WSW、W和WNW，占44.6％，其中以WNW为主风向，占到全年13.65％左右。</w:t>
      </w:r>
    </w:p>
    <w:p w14:paraId="3F2A490B">
      <w:pPr>
        <w:pStyle w:val="199"/>
        <w:spacing w:before="120"/>
        <w:rPr>
          <w:rFonts w:hint="eastAsia"/>
          <w:color w:val="auto"/>
          <w:sz w:val="24"/>
          <w:highlight w:val="none"/>
        </w:rPr>
      </w:pPr>
      <w:r>
        <w:rPr>
          <w:rFonts w:hint="eastAsia"/>
          <w:color w:val="auto"/>
          <w:sz w:val="24"/>
          <w:highlight w:val="none"/>
        </w:rPr>
        <w:t>表5.</w:t>
      </w:r>
      <w:r>
        <w:rPr>
          <w:rFonts w:hint="eastAsia"/>
          <w:color w:val="auto"/>
          <w:sz w:val="24"/>
          <w:highlight w:val="none"/>
          <w:lang w:val="en-US" w:eastAsia="zh-CN"/>
        </w:rPr>
        <w:t>2</w:t>
      </w:r>
      <w:r>
        <w:rPr>
          <w:rFonts w:hint="eastAsia"/>
          <w:color w:val="auto"/>
          <w:sz w:val="24"/>
          <w:highlight w:val="none"/>
        </w:rPr>
        <w:t>-3</w:t>
      </w:r>
      <w:r>
        <w:rPr>
          <w:rFonts w:hint="eastAsia"/>
          <w:color w:val="auto"/>
          <w:sz w:val="24"/>
          <w:highlight w:val="none"/>
          <w:lang w:val="en-US" w:eastAsia="zh-CN"/>
        </w:rPr>
        <w:t xml:space="preserve">   </w:t>
      </w:r>
      <w:r>
        <w:rPr>
          <w:rFonts w:hint="eastAsia"/>
          <w:color w:val="auto"/>
          <w:sz w:val="24"/>
          <w:highlight w:val="none"/>
        </w:rPr>
        <w:t xml:space="preserve"> 多伦县气象站年风向频率统计（单位%）</w:t>
      </w:r>
    </w:p>
    <w:tbl>
      <w:tblPr>
        <w:tblStyle w:val="29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5"/>
        <w:gridCol w:w="397"/>
        <w:gridCol w:w="526"/>
        <w:gridCol w:w="396"/>
        <w:gridCol w:w="395"/>
        <w:gridCol w:w="397"/>
        <w:gridCol w:w="396"/>
        <w:gridCol w:w="526"/>
        <w:gridCol w:w="526"/>
        <w:gridCol w:w="513"/>
        <w:gridCol w:w="431"/>
        <w:gridCol w:w="428"/>
        <w:gridCol w:w="473"/>
        <w:gridCol w:w="526"/>
        <w:gridCol w:w="528"/>
        <w:gridCol w:w="396"/>
        <w:gridCol w:w="527"/>
        <w:gridCol w:w="396"/>
      </w:tblGrid>
      <w:tr w14:paraId="143E1E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6" w:type="dxa"/>
            <w:tcBorders>
              <w:tl2br w:val="nil"/>
              <w:tr2bl w:val="nil"/>
            </w:tcBorders>
            <w:noWrap w:val="0"/>
            <w:vAlign w:val="center"/>
          </w:tcPr>
          <w:p w14:paraId="67E28FC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风向</w:t>
            </w:r>
          </w:p>
        </w:tc>
        <w:tc>
          <w:tcPr>
            <w:tcW w:w="427" w:type="dxa"/>
            <w:tcBorders>
              <w:tl2br w:val="nil"/>
              <w:tr2bl w:val="nil"/>
            </w:tcBorders>
            <w:noWrap w:val="0"/>
            <w:vAlign w:val="center"/>
          </w:tcPr>
          <w:p w14:paraId="2C0F4B3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w:t>
            </w:r>
          </w:p>
        </w:tc>
        <w:tc>
          <w:tcPr>
            <w:tcW w:w="566" w:type="dxa"/>
            <w:tcBorders>
              <w:tl2br w:val="nil"/>
              <w:tr2bl w:val="nil"/>
            </w:tcBorders>
            <w:noWrap w:val="0"/>
            <w:vAlign w:val="center"/>
          </w:tcPr>
          <w:p w14:paraId="1D5E0D0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NNE</w:t>
            </w:r>
          </w:p>
        </w:tc>
        <w:tc>
          <w:tcPr>
            <w:tcW w:w="425" w:type="dxa"/>
            <w:tcBorders>
              <w:tl2br w:val="nil"/>
              <w:tr2bl w:val="nil"/>
            </w:tcBorders>
            <w:noWrap w:val="0"/>
            <w:vAlign w:val="center"/>
          </w:tcPr>
          <w:p w14:paraId="15292EE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NE</w:t>
            </w:r>
          </w:p>
        </w:tc>
        <w:tc>
          <w:tcPr>
            <w:tcW w:w="424" w:type="dxa"/>
            <w:tcBorders>
              <w:tl2br w:val="nil"/>
              <w:tr2bl w:val="nil"/>
            </w:tcBorders>
            <w:noWrap w:val="0"/>
            <w:vAlign w:val="center"/>
          </w:tcPr>
          <w:p w14:paraId="523BBD5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ENE</w:t>
            </w:r>
          </w:p>
        </w:tc>
        <w:tc>
          <w:tcPr>
            <w:tcW w:w="427" w:type="dxa"/>
            <w:tcBorders>
              <w:tl2br w:val="nil"/>
              <w:tr2bl w:val="nil"/>
            </w:tcBorders>
            <w:noWrap w:val="0"/>
            <w:vAlign w:val="center"/>
          </w:tcPr>
          <w:p w14:paraId="204C9EB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E</w:t>
            </w:r>
          </w:p>
        </w:tc>
        <w:tc>
          <w:tcPr>
            <w:tcW w:w="425" w:type="dxa"/>
            <w:tcBorders>
              <w:tl2br w:val="nil"/>
              <w:tr2bl w:val="nil"/>
            </w:tcBorders>
            <w:noWrap w:val="0"/>
            <w:vAlign w:val="center"/>
          </w:tcPr>
          <w:p w14:paraId="63412C1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ESE</w:t>
            </w:r>
          </w:p>
        </w:tc>
        <w:tc>
          <w:tcPr>
            <w:tcW w:w="566" w:type="dxa"/>
            <w:tcBorders>
              <w:tl2br w:val="nil"/>
              <w:tr2bl w:val="nil"/>
            </w:tcBorders>
            <w:noWrap w:val="0"/>
            <w:vAlign w:val="center"/>
          </w:tcPr>
          <w:p w14:paraId="7FAE385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SE</w:t>
            </w:r>
          </w:p>
        </w:tc>
        <w:tc>
          <w:tcPr>
            <w:tcW w:w="566" w:type="dxa"/>
            <w:tcBorders>
              <w:tl2br w:val="nil"/>
              <w:tr2bl w:val="nil"/>
            </w:tcBorders>
            <w:noWrap w:val="0"/>
            <w:vAlign w:val="center"/>
          </w:tcPr>
          <w:p w14:paraId="4FED3C3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SSE</w:t>
            </w:r>
          </w:p>
        </w:tc>
        <w:tc>
          <w:tcPr>
            <w:tcW w:w="552" w:type="dxa"/>
            <w:tcBorders>
              <w:tl2br w:val="nil"/>
              <w:tr2bl w:val="nil"/>
            </w:tcBorders>
            <w:noWrap w:val="0"/>
            <w:vAlign w:val="center"/>
          </w:tcPr>
          <w:p w14:paraId="727862E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w:t>
            </w:r>
          </w:p>
        </w:tc>
        <w:tc>
          <w:tcPr>
            <w:tcW w:w="463" w:type="dxa"/>
            <w:tcBorders>
              <w:tl2br w:val="nil"/>
              <w:tr2bl w:val="nil"/>
            </w:tcBorders>
            <w:noWrap w:val="0"/>
            <w:vAlign w:val="center"/>
          </w:tcPr>
          <w:p w14:paraId="032E6E0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SSW</w:t>
            </w:r>
          </w:p>
        </w:tc>
        <w:tc>
          <w:tcPr>
            <w:tcW w:w="460" w:type="dxa"/>
            <w:tcBorders>
              <w:tl2br w:val="nil"/>
              <w:tr2bl w:val="nil"/>
            </w:tcBorders>
            <w:noWrap w:val="0"/>
            <w:vAlign w:val="center"/>
          </w:tcPr>
          <w:p w14:paraId="58AB4F9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SW</w:t>
            </w:r>
          </w:p>
        </w:tc>
        <w:tc>
          <w:tcPr>
            <w:tcW w:w="509" w:type="dxa"/>
            <w:tcBorders>
              <w:tl2br w:val="nil"/>
              <w:tr2bl w:val="nil"/>
            </w:tcBorders>
            <w:noWrap w:val="0"/>
            <w:vAlign w:val="center"/>
          </w:tcPr>
          <w:p w14:paraId="115C6FB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WSW</w:t>
            </w:r>
          </w:p>
        </w:tc>
        <w:tc>
          <w:tcPr>
            <w:tcW w:w="566" w:type="dxa"/>
            <w:tcBorders>
              <w:tl2br w:val="nil"/>
              <w:tr2bl w:val="nil"/>
            </w:tcBorders>
            <w:noWrap w:val="0"/>
            <w:vAlign w:val="center"/>
          </w:tcPr>
          <w:p w14:paraId="068BD03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W</w:t>
            </w:r>
          </w:p>
        </w:tc>
        <w:tc>
          <w:tcPr>
            <w:tcW w:w="568" w:type="dxa"/>
            <w:tcBorders>
              <w:tl2br w:val="nil"/>
              <w:tr2bl w:val="nil"/>
            </w:tcBorders>
            <w:noWrap w:val="0"/>
            <w:vAlign w:val="center"/>
          </w:tcPr>
          <w:p w14:paraId="384D0F4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WNW</w:t>
            </w:r>
          </w:p>
        </w:tc>
        <w:tc>
          <w:tcPr>
            <w:tcW w:w="425" w:type="dxa"/>
            <w:tcBorders>
              <w:tl2br w:val="nil"/>
              <w:tr2bl w:val="nil"/>
            </w:tcBorders>
            <w:noWrap w:val="0"/>
            <w:vAlign w:val="center"/>
          </w:tcPr>
          <w:p w14:paraId="4343E3A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NW</w:t>
            </w:r>
          </w:p>
        </w:tc>
        <w:tc>
          <w:tcPr>
            <w:tcW w:w="566" w:type="dxa"/>
            <w:tcBorders>
              <w:tl2br w:val="nil"/>
              <w:tr2bl w:val="nil"/>
            </w:tcBorders>
            <w:noWrap w:val="0"/>
            <w:vAlign w:val="center"/>
          </w:tcPr>
          <w:p w14:paraId="5F49016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NNW</w:t>
            </w:r>
          </w:p>
        </w:tc>
        <w:tc>
          <w:tcPr>
            <w:tcW w:w="425" w:type="dxa"/>
            <w:tcBorders>
              <w:tl2br w:val="nil"/>
              <w:tr2bl w:val="nil"/>
            </w:tcBorders>
            <w:noWrap w:val="0"/>
            <w:vAlign w:val="center"/>
          </w:tcPr>
          <w:p w14:paraId="54BBE03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C</w:t>
            </w:r>
          </w:p>
        </w:tc>
      </w:tr>
      <w:tr w14:paraId="0BB423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6" w:type="dxa"/>
            <w:tcBorders>
              <w:tl2br w:val="nil"/>
              <w:tr2bl w:val="nil"/>
            </w:tcBorders>
            <w:noWrap w:val="0"/>
            <w:vAlign w:val="center"/>
          </w:tcPr>
          <w:p w14:paraId="72949B3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频率</w:t>
            </w:r>
          </w:p>
        </w:tc>
        <w:tc>
          <w:tcPr>
            <w:tcW w:w="427" w:type="dxa"/>
            <w:tcBorders>
              <w:tl2br w:val="nil"/>
              <w:tr2bl w:val="nil"/>
            </w:tcBorders>
            <w:noWrap w:val="0"/>
            <w:vAlign w:val="center"/>
          </w:tcPr>
          <w:p w14:paraId="7F405C7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3.75</w:t>
            </w:r>
          </w:p>
        </w:tc>
        <w:tc>
          <w:tcPr>
            <w:tcW w:w="566" w:type="dxa"/>
            <w:tcBorders>
              <w:tl2br w:val="nil"/>
              <w:tr2bl w:val="nil"/>
            </w:tcBorders>
            <w:noWrap w:val="0"/>
            <w:vAlign w:val="center"/>
          </w:tcPr>
          <w:p w14:paraId="661A802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2.4</w:t>
            </w:r>
          </w:p>
        </w:tc>
        <w:tc>
          <w:tcPr>
            <w:tcW w:w="425" w:type="dxa"/>
            <w:tcBorders>
              <w:tl2br w:val="nil"/>
              <w:tr2bl w:val="nil"/>
            </w:tcBorders>
            <w:noWrap w:val="0"/>
            <w:vAlign w:val="center"/>
          </w:tcPr>
          <w:p w14:paraId="34A17A6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2.2</w:t>
            </w:r>
          </w:p>
        </w:tc>
        <w:tc>
          <w:tcPr>
            <w:tcW w:w="424" w:type="dxa"/>
            <w:tcBorders>
              <w:tl2br w:val="nil"/>
              <w:tr2bl w:val="nil"/>
            </w:tcBorders>
            <w:noWrap w:val="0"/>
            <w:vAlign w:val="center"/>
          </w:tcPr>
          <w:p w14:paraId="13E82B0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2.45</w:t>
            </w:r>
          </w:p>
        </w:tc>
        <w:tc>
          <w:tcPr>
            <w:tcW w:w="427" w:type="dxa"/>
            <w:tcBorders>
              <w:tl2br w:val="nil"/>
              <w:tr2bl w:val="nil"/>
            </w:tcBorders>
            <w:noWrap w:val="0"/>
            <w:vAlign w:val="center"/>
          </w:tcPr>
          <w:p w14:paraId="21153C2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2.4</w:t>
            </w:r>
          </w:p>
        </w:tc>
        <w:tc>
          <w:tcPr>
            <w:tcW w:w="425" w:type="dxa"/>
            <w:tcBorders>
              <w:tl2br w:val="nil"/>
              <w:tr2bl w:val="nil"/>
            </w:tcBorders>
            <w:noWrap w:val="0"/>
            <w:vAlign w:val="center"/>
          </w:tcPr>
          <w:p w14:paraId="1945DF9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2.25</w:t>
            </w:r>
          </w:p>
        </w:tc>
        <w:tc>
          <w:tcPr>
            <w:tcW w:w="566" w:type="dxa"/>
            <w:tcBorders>
              <w:tl2br w:val="nil"/>
              <w:tr2bl w:val="nil"/>
            </w:tcBorders>
            <w:noWrap w:val="0"/>
            <w:vAlign w:val="center"/>
          </w:tcPr>
          <w:p w14:paraId="1AA1F0D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2.8</w:t>
            </w:r>
          </w:p>
        </w:tc>
        <w:tc>
          <w:tcPr>
            <w:tcW w:w="566" w:type="dxa"/>
            <w:tcBorders>
              <w:tl2br w:val="nil"/>
              <w:tr2bl w:val="nil"/>
            </w:tcBorders>
            <w:noWrap w:val="0"/>
            <w:vAlign w:val="center"/>
          </w:tcPr>
          <w:p w14:paraId="0E550DF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4.4</w:t>
            </w:r>
          </w:p>
        </w:tc>
        <w:tc>
          <w:tcPr>
            <w:tcW w:w="552" w:type="dxa"/>
            <w:tcBorders>
              <w:tl2br w:val="nil"/>
              <w:tr2bl w:val="nil"/>
            </w:tcBorders>
            <w:noWrap w:val="0"/>
            <w:vAlign w:val="center"/>
          </w:tcPr>
          <w:p w14:paraId="00F3C5E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6.2</w:t>
            </w:r>
          </w:p>
        </w:tc>
        <w:tc>
          <w:tcPr>
            <w:tcW w:w="463" w:type="dxa"/>
            <w:tcBorders>
              <w:tl2br w:val="nil"/>
              <w:tr2bl w:val="nil"/>
            </w:tcBorders>
            <w:noWrap w:val="0"/>
            <w:vAlign w:val="center"/>
          </w:tcPr>
          <w:p w14:paraId="35A4434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7.45</w:t>
            </w:r>
          </w:p>
        </w:tc>
        <w:tc>
          <w:tcPr>
            <w:tcW w:w="460" w:type="dxa"/>
            <w:tcBorders>
              <w:tl2br w:val="nil"/>
              <w:tr2bl w:val="nil"/>
            </w:tcBorders>
            <w:noWrap w:val="0"/>
            <w:vAlign w:val="center"/>
          </w:tcPr>
          <w:p w14:paraId="4DF410C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9.55</w:t>
            </w:r>
          </w:p>
        </w:tc>
        <w:tc>
          <w:tcPr>
            <w:tcW w:w="509" w:type="dxa"/>
            <w:tcBorders>
              <w:tl2br w:val="nil"/>
              <w:tr2bl w:val="nil"/>
            </w:tcBorders>
            <w:noWrap w:val="0"/>
            <w:vAlign w:val="center"/>
          </w:tcPr>
          <w:p w14:paraId="292C60F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8.85</w:t>
            </w:r>
          </w:p>
        </w:tc>
        <w:tc>
          <w:tcPr>
            <w:tcW w:w="566" w:type="dxa"/>
            <w:tcBorders>
              <w:tl2br w:val="nil"/>
              <w:tr2bl w:val="nil"/>
            </w:tcBorders>
            <w:noWrap w:val="0"/>
            <w:vAlign w:val="center"/>
          </w:tcPr>
          <w:p w14:paraId="52341E8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12.55</w:t>
            </w:r>
          </w:p>
        </w:tc>
        <w:tc>
          <w:tcPr>
            <w:tcW w:w="568" w:type="dxa"/>
            <w:tcBorders>
              <w:tl2br w:val="nil"/>
              <w:tr2bl w:val="nil"/>
            </w:tcBorders>
            <w:noWrap w:val="0"/>
            <w:vAlign w:val="center"/>
          </w:tcPr>
          <w:p w14:paraId="37B0839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13.65</w:t>
            </w:r>
          </w:p>
        </w:tc>
        <w:tc>
          <w:tcPr>
            <w:tcW w:w="425" w:type="dxa"/>
            <w:tcBorders>
              <w:tl2br w:val="nil"/>
              <w:tr2bl w:val="nil"/>
            </w:tcBorders>
            <w:noWrap w:val="0"/>
            <w:vAlign w:val="center"/>
          </w:tcPr>
          <w:p w14:paraId="062CA8B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7.2</w:t>
            </w:r>
          </w:p>
        </w:tc>
        <w:tc>
          <w:tcPr>
            <w:tcW w:w="566" w:type="dxa"/>
            <w:tcBorders>
              <w:tl2br w:val="nil"/>
              <w:tr2bl w:val="nil"/>
            </w:tcBorders>
            <w:noWrap w:val="0"/>
            <w:vAlign w:val="center"/>
          </w:tcPr>
          <w:p w14:paraId="728A748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4.55</w:t>
            </w:r>
          </w:p>
        </w:tc>
        <w:tc>
          <w:tcPr>
            <w:tcW w:w="425" w:type="dxa"/>
            <w:tcBorders>
              <w:tl2br w:val="nil"/>
              <w:tr2bl w:val="nil"/>
            </w:tcBorders>
            <w:noWrap w:val="0"/>
            <w:vAlign w:val="center"/>
          </w:tcPr>
          <w:p w14:paraId="3C20798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7.95</w:t>
            </w:r>
          </w:p>
        </w:tc>
      </w:tr>
    </w:tbl>
    <w:p w14:paraId="145BD94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auto"/>
          <w:position w:val="-90"/>
          <w:highlight w:val="none"/>
        </w:rPr>
      </w:pPr>
    </w:p>
    <w:p w14:paraId="479964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color w:val="auto"/>
          <w:position w:val="-90"/>
          <w:highlight w:val="none"/>
        </w:rPr>
        <w:drawing>
          <wp:inline distT="0" distB="0" distL="114300" distR="114300">
            <wp:extent cx="3196590" cy="2879725"/>
            <wp:effectExtent l="0" t="0" r="3810" b="15875"/>
            <wp:docPr id="21" name="IM 282"/>
            <wp:cNvGraphicFramePr/>
            <a:graphic xmlns:a="http://schemas.openxmlformats.org/drawingml/2006/main">
              <a:graphicData uri="http://schemas.openxmlformats.org/drawingml/2006/picture">
                <pic:pic xmlns:pic="http://schemas.openxmlformats.org/drawingml/2006/picture">
                  <pic:nvPicPr>
                    <pic:cNvPr id="21" name="IM 282"/>
                    <pic:cNvPicPr/>
                  </pic:nvPicPr>
                  <pic:blipFill>
                    <a:blip r:embed="rId67"/>
                    <a:stretch>
                      <a:fillRect/>
                    </a:stretch>
                  </pic:blipFill>
                  <pic:spPr>
                    <a:xfrm>
                      <a:off x="0" y="0"/>
                      <a:ext cx="3196590" cy="2879725"/>
                    </a:xfrm>
                    <a:prstGeom prst="rect">
                      <a:avLst/>
                    </a:prstGeom>
                    <a:noFill/>
                    <a:ln>
                      <a:noFill/>
                    </a:ln>
                  </pic:spPr>
                </pic:pic>
              </a:graphicData>
            </a:graphic>
          </wp:inline>
        </w:drawing>
      </w:r>
    </w:p>
    <w:p w14:paraId="72F0D796">
      <w:pPr>
        <w:ind w:left="480" w:firstLine="0" w:firstLineChars="0"/>
        <w:jc w:val="center"/>
        <w:rPr>
          <w:rFonts w:hint="eastAsia"/>
          <w:b/>
          <w:bCs/>
          <w:color w:val="auto"/>
          <w:highlight w:val="none"/>
        </w:rPr>
      </w:pPr>
      <w:r>
        <w:rPr>
          <w:rFonts w:hint="eastAsia"/>
          <w:b/>
          <w:bCs/>
          <w:color w:val="auto"/>
          <w:highlight w:val="none"/>
        </w:rPr>
        <w:t>图5.</w:t>
      </w:r>
      <w:r>
        <w:rPr>
          <w:rFonts w:hint="eastAsia"/>
          <w:b/>
          <w:bCs/>
          <w:color w:val="auto"/>
          <w:highlight w:val="none"/>
          <w:lang w:val="en-US" w:eastAsia="zh-CN"/>
        </w:rPr>
        <w:t>2</w:t>
      </w:r>
      <w:r>
        <w:rPr>
          <w:rFonts w:hint="eastAsia"/>
          <w:b/>
          <w:bCs/>
          <w:color w:val="auto"/>
          <w:highlight w:val="none"/>
        </w:rPr>
        <w:t>-3</w:t>
      </w:r>
      <w:r>
        <w:rPr>
          <w:rFonts w:hint="eastAsia"/>
          <w:b/>
          <w:bCs/>
          <w:color w:val="auto"/>
          <w:highlight w:val="none"/>
          <w:lang w:val="en-US" w:eastAsia="zh-CN"/>
        </w:rPr>
        <w:t xml:space="preserve">   </w:t>
      </w:r>
      <w:r>
        <w:rPr>
          <w:rFonts w:hint="eastAsia"/>
          <w:b/>
          <w:bCs/>
          <w:color w:val="auto"/>
          <w:highlight w:val="none"/>
        </w:rPr>
        <w:t xml:space="preserve"> 多伦县风向玫瑰图（静风频率7.95%）</w:t>
      </w:r>
    </w:p>
    <w:p w14:paraId="7D795EC2">
      <w:pPr>
        <w:pStyle w:val="181"/>
        <w:ind w:firstLine="480"/>
        <w:rPr>
          <w:rFonts w:hint="eastAsia"/>
          <w:color w:val="auto"/>
          <w:highlight w:val="none"/>
          <w:lang w:eastAsia="zh-CN"/>
        </w:rPr>
      </w:pPr>
      <w:r>
        <w:rPr>
          <w:rFonts w:hint="eastAsia"/>
          <w:color w:val="auto"/>
          <w:highlight w:val="none"/>
          <w:lang w:eastAsia="zh-CN"/>
        </w:rPr>
        <w:t>各月风向频率</w:t>
      </w:r>
      <w:r>
        <w:rPr>
          <w:rFonts w:hint="eastAsia"/>
          <w:color w:val="auto"/>
          <w:highlight w:val="none"/>
          <w:lang w:val="en-US" w:eastAsia="zh-CN"/>
        </w:rPr>
        <w:t>统计</w:t>
      </w:r>
      <w:r>
        <w:rPr>
          <w:rFonts w:hint="eastAsia"/>
          <w:color w:val="auto"/>
          <w:highlight w:val="none"/>
          <w:lang w:eastAsia="zh-CN"/>
        </w:rPr>
        <w:t>如下</w:t>
      </w:r>
      <w:r>
        <w:rPr>
          <w:rFonts w:hint="eastAsia"/>
          <w:color w:val="auto"/>
          <w:highlight w:val="none"/>
          <w:lang w:val="en-US" w:eastAsia="zh-CN"/>
        </w:rPr>
        <w:t>表5.2-4</w:t>
      </w:r>
      <w:r>
        <w:rPr>
          <w:rFonts w:hint="eastAsia"/>
          <w:color w:val="auto"/>
          <w:highlight w:val="none"/>
          <w:lang w:eastAsia="zh-CN"/>
        </w:rPr>
        <w:t>：</w:t>
      </w:r>
    </w:p>
    <w:p w14:paraId="294D48CC">
      <w:pPr>
        <w:pStyle w:val="199"/>
        <w:spacing w:before="120"/>
        <w:rPr>
          <w:rFonts w:hint="eastAsia"/>
          <w:color w:val="auto"/>
          <w:sz w:val="24"/>
          <w:highlight w:val="none"/>
        </w:rPr>
      </w:pPr>
      <w:r>
        <w:rPr>
          <w:rFonts w:hint="eastAsia"/>
          <w:color w:val="auto"/>
          <w:sz w:val="24"/>
          <w:highlight w:val="none"/>
        </w:rPr>
        <w:t>表5.</w:t>
      </w:r>
      <w:r>
        <w:rPr>
          <w:rFonts w:hint="eastAsia"/>
          <w:color w:val="auto"/>
          <w:sz w:val="24"/>
          <w:highlight w:val="none"/>
          <w:lang w:val="en-US" w:eastAsia="zh-CN"/>
        </w:rPr>
        <w:t>2</w:t>
      </w:r>
      <w:r>
        <w:rPr>
          <w:rFonts w:hint="eastAsia"/>
          <w:color w:val="auto"/>
          <w:sz w:val="24"/>
          <w:highlight w:val="none"/>
        </w:rPr>
        <w:t>-4</w:t>
      </w:r>
      <w:r>
        <w:rPr>
          <w:rFonts w:hint="eastAsia"/>
          <w:color w:val="auto"/>
          <w:sz w:val="24"/>
          <w:highlight w:val="none"/>
          <w:lang w:val="en-US" w:eastAsia="zh-CN"/>
        </w:rPr>
        <w:t xml:space="preserve">   </w:t>
      </w:r>
      <w:r>
        <w:rPr>
          <w:rFonts w:hint="eastAsia"/>
          <w:color w:val="auto"/>
          <w:sz w:val="24"/>
          <w:highlight w:val="none"/>
        </w:rPr>
        <w:t xml:space="preserve"> 多伦县近20年各季风向频率统计表（单位%）</w:t>
      </w:r>
    </w:p>
    <w:tbl>
      <w:tblPr>
        <w:tblStyle w:val="29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53"/>
        <w:gridCol w:w="396"/>
        <w:gridCol w:w="540"/>
        <w:gridCol w:w="375"/>
        <w:gridCol w:w="485"/>
        <w:gridCol w:w="372"/>
        <w:gridCol w:w="379"/>
        <w:gridCol w:w="375"/>
        <w:gridCol w:w="375"/>
        <w:gridCol w:w="372"/>
        <w:gridCol w:w="435"/>
        <w:gridCol w:w="375"/>
        <w:gridCol w:w="517"/>
        <w:gridCol w:w="477"/>
        <w:gridCol w:w="551"/>
        <w:gridCol w:w="477"/>
        <w:gridCol w:w="504"/>
        <w:gridCol w:w="454"/>
      </w:tblGrid>
      <w:tr w14:paraId="3A2413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64153CE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风向</w:t>
            </w:r>
          </w:p>
          <w:p w14:paraId="55263DF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频率月份</w:t>
            </w:r>
          </w:p>
        </w:tc>
        <w:tc>
          <w:tcPr>
            <w:tcW w:w="420" w:type="dxa"/>
            <w:tcBorders>
              <w:tl2br w:val="nil"/>
              <w:tr2bl w:val="nil"/>
            </w:tcBorders>
            <w:noWrap w:val="0"/>
            <w:vAlign w:val="center"/>
          </w:tcPr>
          <w:p w14:paraId="5EA962B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w:t>
            </w:r>
          </w:p>
        </w:tc>
        <w:tc>
          <w:tcPr>
            <w:tcW w:w="571" w:type="dxa"/>
            <w:tcBorders>
              <w:tl2br w:val="nil"/>
              <w:tr2bl w:val="nil"/>
            </w:tcBorders>
            <w:noWrap w:val="0"/>
            <w:vAlign w:val="center"/>
          </w:tcPr>
          <w:p w14:paraId="6F304EE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NNE</w:t>
            </w:r>
          </w:p>
        </w:tc>
        <w:tc>
          <w:tcPr>
            <w:tcW w:w="396" w:type="dxa"/>
            <w:tcBorders>
              <w:tl2br w:val="nil"/>
              <w:tr2bl w:val="nil"/>
            </w:tcBorders>
            <w:noWrap w:val="0"/>
            <w:vAlign w:val="center"/>
          </w:tcPr>
          <w:p w14:paraId="0EA0A12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NE</w:t>
            </w:r>
          </w:p>
        </w:tc>
        <w:tc>
          <w:tcPr>
            <w:tcW w:w="513" w:type="dxa"/>
            <w:tcBorders>
              <w:tl2br w:val="nil"/>
              <w:tr2bl w:val="nil"/>
            </w:tcBorders>
            <w:noWrap w:val="0"/>
            <w:vAlign w:val="center"/>
          </w:tcPr>
          <w:p w14:paraId="3ED5821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ENE</w:t>
            </w:r>
          </w:p>
        </w:tc>
        <w:tc>
          <w:tcPr>
            <w:tcW w:w="393" w:type="dxa"/>
            <w:tcBorders>
              <w:tl2br w:val="nil"/>
              <w:tr2bl w:val="nil"/>
            </w:tcBorders>
            <w:noWrap w:val="0"/>
            <w:vAlign w:val="center"/>
          </w:tcPr>
          <w:p w14:paraId="39ECF21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E</w:t>
            </w:r>
          </w:p>
        </w:tc>
        <w:tc>
          <w:tcPr>
            <w:tcW w:w="401" w:type="dxa"/>
            <w:tcBorders>
              <w:tl2br w:val="nil"/>
              <w:tr2bl w:val="nil"/>
            </w:tcBorders>
            <w:noWrap w:val="0"/>
            <w:vAlign w:val="center"/>
          </w:tcPr>
          <w:p w14:paraId="4F3C9E5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ESE</w:t>
            </w:r>
          </w:p>
        </w:tc>
        <w:tc>
          <w:tcPr>
            <w:tcW w:w="396" w:type="dxa"/>
            <w:tcBorders>
              <w:tl2br w:val="nil"/>
              <w:tr2bl w:val="nil"/>
            </w:tcBorders>
            <w:noWrap w:val="0"/>
            <w:vAlign w:val="center"/>
          </w:tcPr>
          <w:p w14:paraId="6D1EA2E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SE</w:t>
            </w:r>
          </w:p>
        </w:tc>
        <w:tc>
          <w:tcPr>
            <w:tcW w:w="396" w:type="dxa"/>
            <w:tcBorders>
              <w:tl2br w:val="nil"/>
              <w:tr2bl w:val="nil"/>
            </w:tcBorders>
            <w:noWrap w:val="0"/>
            <w:vAlign w:val="center"/>
          </w:tcPr>
          <w:p w14:paraId="3EE0B58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SSE</w:t>
            </w:r>
          </w:p>
        </w:tc>
        <w:tc>
          <w:tcPr>
            <w:tcW w:w="393" w:type="dxa"/>
            <w:tcBorders>
              <w:tl2br w:val="nil"/>
              <w:tr2bl w:val="nil"/>
            </w:tcBorders>
            <w:noWrap w:val="0"/>
            <w:vAlign w:val="center"/>
          </w:tcPr>
          <w:p w14:paraId="0EB9F34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w:t>
            </w:r>
          </w:p>
        </w:tc>
        <w:tc>
          <w:tcPr>
            <w:tcW w:w="460" w:type="dxa"/>
            <w:tcBorders>
              <w:tl2br w:val="nil"/>
              <w:tr2bl w:val="nil"/>
            </w:tcBorders>
            <w:noWrap w:val="0"/>
            <w:vAlign w:val="center"/>
          </w:tcPr>
          <w:p w14:paraId="0CA5338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SSW</w:t>
            </w:r>
          </w:p>
        </w:tc>
        <w:tc>
          <w:tcPr>
            <w:tcW w:w="396" w:type="dxa"/>
            <w:tcBorders>
              <w:tl2br w:val="nil"/>
              <w:tr2bl w:val="nil"/>
            </w:tcBorders>
            <w:noWrap w:val="0"/>
            <w:vAlign w:val="center"/>
          </w:tcPr>
          <w:p w14:paraId="34ABB9F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SW</w:t>
            </w:r>
          </w:p>
        </w:tc>
        <w:tc>
          <w:tcPr>
            <w:tcW w:w="547" w:type="dxa"/>
            <w:tcBorders>
              <w:tl2br w:val="nil"/>
              <w:tr2bl w:val="nil"/>
            </w:tcBorders>
            <w:noWrap w:val="0"/>
            <w:vAlign w:val="center"/>
          </w:tcPr>
          <w:p w14:paraId="0319472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WSW</w:t>
            </w:r>
          </w:p>
        </w:tc>
        <w:tc>
          <w:tcPr>
            <w:tcW w:w="504" w:type="dxa"/>
            <w:tcBorders>
              <w:tl2br w:val="nil"/>
              <w:tr2bl w:val="nil"/>
            </w:tcBorders>
            <w:noWrap w:val="0"/>
            <w:vAlign w:val="center"/>
          </w:tcPr>
          <w:p w14:paraId="50AFD7B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W</w:t>
            </w:r>
          </w:p>
        </w:tc>
        <w:tc>
          <w:tcPr>
            <w:tcW w:w="583" w:type="dxa"/>
            <w:tcBorders>
              <w:tl2br w:val="nil"/>
              <w:tr2bl w:val="nil"/>
            </w:tcBorders>
            <w:noWrap w:val="0"/>
            <w:vAlign w:val="center"/>
          </w:tcPr>
          <w:p w14:paraId="581E9A5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WNW</w:t>
            </w:r>
          </w:p>
        </w:tc>
        <w:tc>
          <w:tcPr>
            <w:tcW w:w="504" w:type="dxa"/>
            <w:tcBorders>
              <w:tl2br w:val="nil"/>
              <w:tr2bl w:val="nil"/>
            </w:tcBorders>
            <w:noWrap w:val="0"/>
            <w:vAlign w:val="center"/>
          </w:tcPr>
          <w:p w14:paraId="0E96A86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NW</w:t>
            </w:r>
          </w:p>
        </w:tc>
        <w:tc>
          <w:tcPr>
            <w:tcW w:w="533" w:type="dxa"/>
            <w:tcBorders>
              <w:tl2br w:val="nil"/>
              <w:tr2bl w:val="nil"/>
            </w:tcBorders>
            <w:noWrap w:val="0"/>
            <w:vAlign w:val="center"/>
          </w:tcPr>
          <w:p w14:paraId="21598E3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NNW</w:t>
            </w:r>
          </w:p>
        </w:tc>
        <w:tc>
          <w:tcPr>
            <w:tcW w:w="480" w:type="dxa"/>
            <w:tcBorders>
              <w:tl2br w:val="nil"/>
              <w:tr2bl w:val="nil"/>
            </w:tcBorders>
            <w:noWrap w:val="0"/>
            <w:vAlign w:val="center"/>
          </w:tcPr>
          <w:p w14:paraId="330A652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C</w:t>
            </w:r>
          </w:p>
        </w:tc>
      </w:tr>
      <w:tr w14:paraId="72199A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0679724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1月</w:t>
            </w:r>
          </w:p>
        </w:tc>
        <w:tc>
          <w:tcPr>
            <w:tcW w:w="420" w:type="dxa"/>
            <w:tcBorders>
              <w:tl2br w:val="nil"/>
              <w:tr2bl w:val="nil"/>
            </w:tcBorders>
            <w:noWrap w:val="0"/>
            <w:vAlign w:val="center"/>
          </w:tcPr>
          <w:p w14:paraId="1245ED8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1.4</w:t>
            </w:r>
          </w:p>
        </w:tc>
        <w:tc>
          <w:tcPr>
            <w:tcW w:w="571" w:type="dxa"/>
            <w:tcBorders>
              <w:tl2br w:val="nil"/>
              <w:tr2bl w:val="nil"/>
            </w:tcBorders>
            <w:noWrap w:val="0"/>
            <w:vAlign w:val="center"/>
          </w:tcPr>
          <w:p w14:paraId="4888A5F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1.7</w:t>
            </w:r>
          </w:p>
        </w:tc>
        <w:tc>
          <w:tcPr>
            <w:tcW w:w="396" w:type="dxa"/>
            <w:tcBorders>
              <w:tl2br w:val="nil"/>
              <w:tr2bl w:val="nil"/>
            </w:tcBorders>
            <w:noWrap w:val="0"/>
            <w:vAlign w:val="center"/>
          </w:tcPr>
          <w:p w14:paraId="58160C2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2.2</w:t>
            </w:r>
          </w:p>
        </w:tc>
        <w:tc>
          <w:tcPr>
            <w:tcW w:w="513" w:type="dxa"/>
            <w:tcBorders>
              <w:tl2br w:val="nil"/>
              <w:tr2bl w:val="nil"/>
            </w:tcBorders>
            <w:noWrap w:val="0"/>
            <w:vAlign w:val="center"/>
          </w:tcPr>
          <w:p w14:paraId="6A573F1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2.9</w:t>
            </w:r>
          </w:p>
        </w:tc>
        <w:tc>
          <w:tcPr>
            <w:tcW w:w="393" w:type="dxa"/>
            <w:tcBorders>
              <w:tl2br w:val="nil"/>
              <w:tr2bl w:val="nil"/>
            </w:tcBorders>
            <w:noWrap w:val="0"/>
            <w:vAlign w:val="center"/>
          </w:tcPr>
          <w:p w14:paraId="37CF85B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2.5</w:t>
            </w:r>
          </w:p>
        </w:tc>
        <w:tc>
          <w:tcPr>
            <w:tcW w:w="401" w:type="dxa"/>
            <w:tcBorders>
              <w:tl2br w:val="nil"/>
              <w:tr2bl w:val="nil"/>
            </w:tcBorders>
            <w:noWrap w:val="0"/>
            <w:vAlign w:val="center"/>
          </w:tcPr>
          <w:p w14:paraId="2128E15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w:t>
            </w:r>
          </w:p>
        </w:tc>
        <w:tc>
          <w:tcPr>
            <w:tcW w:w="396" w:type="dxa"/>
            <w:tcBorders>
              <w:tl2br w:val="nil"/>
              <w:tr2bl w:val="nil"/>
            </w:tcBorders>
            <w:noWrap w:val="0"/>
            <w:vAlign w:val="center"/>
          </w:tcPr>
          <w:p w14:paraId="188810B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1.5</w:t>
            </w:r>
          </w:p>
        </w:tc>
        <w:tc>
          <w:tcPr>
            <w:tcW w:w="396" w:type="dxa"/>
            <w:tcBorders>
              <w:tl2br w:val="nil"/>
              <w:tr2bl w:val="nil"/>
            </w:tcBorders>
            <w:noWrap w:val="0"/>
            <w:vAlign w:val="center"/>
          </w:tcPr>
          <w:p w14:paraId="3635764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2.4</w:t>
            </w:r>
          </w:p>
        </w:tc>
        <w:tc>
          <w:tcPr>
            <w:tcW w:w="393" w:type="dxa"/>
            <w:tcBorders>
              <w:tl2br w:val="nil"/>
              <w:tr2bl w:val="nil"/>
            </w:tcBorders>
            <w:noWrap w:val="0"/>
            <w:vAlign w:val="center"/>
          </w:tcPr>
          <w:p w14:paraId="70DAE20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3.7</w:t>
            </w:r>
          </w:p>
        </w:tc>
        <w:tc>
          <w:tcPr>
            <w:tcW w:w="460" w:type="dxa"/>
            <w:tcBorders>
              <w:tl2br w:val="nil"/>
              <w:tr2bl w:val="nil"/>
            </w:tcBorders>
            <w:noWrap w:val="0"/>
            <w:vAlign w:val="center"/>
          </w:tcPr>
          <w:p w14:paraId="1E24884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w:t>
            </w:r>
          </w:p>
        </w:tc>
        <w:tc>
          <w:tcPr>
            <w:tcW w:w="396" w:type="dxa"/>
            <w:tcBorders>
              <w:tl2br w:val="nil"/>
              <w:tr2bl w:val="nil"/>
            </w:tcBorders>
            <w:noWrap w:val="0"/>
            <w:vAlign w:val="center"/>
          </w:tcPr>
          <w:p w14:paraId="55CF0DC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8.1</w:t>
            </w:r>
          </w:p>
        </w:tc>
        <w:tc>
          <w:tcPr>
            <w:tcW w:w="547" w:type="dxa"/>
            <w:tcBorders>
              <w:tl2br w:val="nil"/>
              <w:tr2bl w:val="nil"/>
            </w:tcBorders>
            <w:noWrap w:val="0"/>
            <w:vAlign w:val="center"/>
          </w:tcPr>
          <w:p w14:paraId="5A2FD85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w:t>
            </w:r>
          </w:p>
        </w:tc>
        <w:tc>
          <w:tcPr>
            <w:tcW w:w="504" w:type="dxa"/>
            <w:tcBorders>
              <w:tl2br w:val="nil"/>
              <w:tr2bl w:val="nil"/>
            </w:tcBorders>
            <w:noWrap w:val="0"/>
            <w:vAlign w:val="center"/>
          </w:tcPr>
          <w:p w14:paraId="4AE3A92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18.4</w:t>
            </w:r>
          </w:p>
        </w:tc>
        <w:tc>
          <w:tcPr>
            <w:tcW w:w="583" w:type="dxa"/>
            <w:tcBorders>
              <w:tl2br w:val="nil"/>
              <w:tr2bl w:val="nil"/>
            </w:tcBorders>
            <w:noWrap w:val="0"/>
            <w:vAlign w:val="center"/>
          </w:tcPr>
          <w:p w14:paraId="18EF747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19.2</w:t>
            </w:r>
          </w:p>
        </w:tc>
        <w:tc>
          <w:tcPr>
            <w:tcW w:w="504" w:type="dxa"/>
            <w:tcBorders>
              <w:tl2br w:val="nil"/>
              <w:tr2bl w:val="nil"/>
            </w:tcBorders>
            <w:noWrap w:val="0"/>
            <w:vAlign w:val="center"/>
          </w:tcPr>
          <w:p w14:paraId="6C67DFE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6.1</w:t>
            </w:r>
          </w:p>
        </w:tc>
        <w:tc>
          <w:tcPr>
            <w:tcW w:w="533" w:type="dxa"/>
            <w:tcBorders>
              <w:tl2br w:val="nil"/>
              <w:tr2bl w:val="nil"/>
            </w:tcBorders>
            <w:noWrap w:val="0"/>
            <w:vAlign w:val="center"/>
          </w:tcPr>
          <w:p w14:paraId="63D943E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2.3</w:t>
            </w:r>
          </w:p>
        </w:tc>
        <w:tc>
          <w:tcPr>
            <w:tcW w:w="480" w:type="dxa"/>
            <w:tcBorders>
              <w:tl2br w:val="nil"/>
              <w:tr2bl w:val="nil"/>
            </w:tcBorders>
            <w:noWrap w:val="0"/>
            <w:vAlign w:val="center"/>
          </w:tcPr>
          <w:p w14:paraId="6616FB2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11.3</w:t>
            </w:r>
          </w:p>
        </w:tc>
      </w:tr>
      <w:tr w14:paraId="38FA97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02B0155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2月</w:t>
            </w:r>
          </w:p>
        </w:tc>
        <w:tc>
          <w:tcPr>
            <w:tcW w:w="420" w:type="dxa"/>
            <w:tcBorders>
              <w:tl2br w:val="nil"/>
              <w:tr2bl w:val="nil"/>
            </w:tcBorders>
            <w:noWrap w:val="0"/>
            <w:vAlign w:val="center"/>
          </w:tcPr>
          <w:p w14:paraId="1EB36AA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2.4</w:t>
            </w:r>
          </w:p>
        </w:tc>
        <w:tc>
          <w:tcPr>
            <w:tcW w:w="571" w:type="dxa"/>
            <w:tcBorders>
              <w:tl2br w:val="nil"/>
              <w:tr2bl w:val="nil"/>
            </w:tcBorders>
            <w:noWrap w:val="0"/>
            <w:vAlign w:val="center"/>
          </w:tcPr>
          <w:p w14:paraId="45B77DB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1.6</w:t>
            </w:r>
          </w:p>
        </w:tc>
        <w:tc>
          <w:tcPr>
            <w:tcW w:w="396" w:type="dxa"/>
            <w:tcBorders>
              <w:tl2br w:val="nil"/>
              <w:tr2bl w:val="nil"/>
            </w:tcBorders>
            <w:noWrap w:val="0"/>
            <w:vAlign w:val="center"/>
          </w:tcPr>
          <w:p w14:paraId="44A43D2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2.4</w:t>
            </w:r>
          </w:p>
        </w:tc>
        <w:tc>
          <w:tcPr>
            <w:tcW w:w="513" w:type="dxa"/>
            <w:tcBorders>
              <w:tl2br w:val="nil"/>
              <w:tr2bl w:val="nil"/>
            </w:tcBorders>
            <w:noWrap w:val="0"/>
            <w:vAlign w:val="center"/>
          </w:tcPr>
          <w:p w14:paraId="38DFAC5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2.7</w:t>
            </w:r>
          </w:p>
        </w:tc>
        <w:tc>
          <w:tcPr>
            <w:tcW w:w="393" w:type="dxa"/>
            <w:tcBorders>
              <w:tl2br w:val="nil"/>
              <w:tr2bl w:val="nil"/>
            </w:tcBorders>
            <w:noWrap w:val="0"/>
            <w:vAlign w:val="center"/>
          </w:tcPr>
          <w:p w14:paraId="16EC692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1.8</w:t>
            </w:r>
          </w:p>
        </w:tc>
        <w:tc>
          <w:tcPr>
            <w:tcW w:w="401" w:type="dxa"/>
            <w:tcBorders>
              <w:tl2br w:val="nil"/>
              <w:tr2bl w:val="nil"/>
            </w:tcBorders>
            <w:noWrap w:val="0"/>
            <w:vAlign w:val="center"/>
          </w:tcPr>
          <w:p w14:paraId="4333728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1.7</w:t>
            </w:r>
          </w:p>
        </w:tc>
        <w:tc>
          <w:tcPr>
            <w:tcW w:w="396" w:type="dxa"/>
            <w:tcBorders>
              <w:tl2br w:val="nil"/>
              <w:tr2bl w:val="nil"/>
            </w:tcBorders>
            <w:noWrap w:val="0"/>
            <w:vAlign w:val="center"/>
          </w:tcPr>
          <w:p w14:paraId="6E24BEC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2.1</w:t>
            </w:r>
          </w:p>
        </w:tc>
        <w:tc>
          <w:tcPr>
            <w:tcW w:w="396" w:type="dxa"/>
            <w:tcBorders>
              <w:tl2br w:val="nil"/>
              <w:tr2bl w:val="nil"/>
            </w:tcBorders>
            <w:noWrap w:val="0"/>
            <w:vAlign w:val="center"/>
          </w:tcPr>
          <w:p w14:paraId="567BDDC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2.1</w:t>
            </w:r>
          </w:p>
        </w:tc>
        <w:tc>
          <w:tcPr>
            <w:tcW w:w="393" w:type="dxa"/>
            <w:tcBorders>
              <w:tl2br w:val="nil"/>
              <w:tr2bl w:val="nil"/>
            </w:tcBorders>
            <w:noWrap w:val="0"/>
            <w:vAlign w:val="center"/>
          </w:tcPr>
          <w:p w14:paraId="7F3AFCC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4.4</w:t>
            </w:r>
          </w:p>
        </w:tc>
        <w:tc>
          <w:tcPr>
            <w:tcW w:w="460" w:type="dxa"/>
            <w:tcBorders>
              <w:tl2br w:val="nil"/>
              <w:tr2bl w:val="nil"/>
            </w:tcBorders>
            <w:noWrap w:val="0"/>
            <w:vAlign w:val="center"/>
          </w:tcPr>
          <w:p w14:paraId="5D619A0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6.1</w:t>
            </w:r>
          </w:p>
        </w:tc>
        <w:tc>
          <w:tcPr>
            <w:tcW w:w="396" w:type="dxa"/>
            <w:tcBorders>
              <w:tl2br w:val="nil"/>
              <w:tr2bl w:val="nil"/>
            </w:tcBorders>
            <w:noWrap w:val="0"/>
            <w:vAlign w:val="center"/>
          </w:tcPr>
          <w:p w14:paraId="46B4DBC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8.8</w:t>
            </w:r>
          </w:p>
        </w:tc>
        <w:tc>
          <w:tcPr>
            <w:tcW w:w="547" w:type="dxa"/>
            <w:tcBorders>
              <w:tl2br w:val="nil"/>
              <w:tr2bl w:val="nil"/>
            </w:tcBorders>
            <w:noWrap w:val="0"/>
            <w:vAlign w:val="center"/>
          </w:tcPr>
          <w:p w14:paraId="3C69E8F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10.1</w:t>
            </w:r>
          </w:p>
        </w:tc>
        <w:tc>
          <w:tcPr>
            <w:tcW w:w="504" w:type="dxa"/>
            <w:tcBorders>
              <w:tl2br w:val="nil"/>
              <w:tr2bl w:val="nil"/>
            </w:tcBorders>
            <w:noWrap w:val="0"/>
            <w:vAlign w:val="center"/>
          </w:tcPr>
          <w:p w14:paraId="2D34BF0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15.9</w:t>
            </w:r>
          </w:p>
        </w:tc>
        <w:tc>
          <w:tcPr>
            <w:tcW w:w="583" w:type="dxa"/>
            <w:tcBorders>
              <w:tl2br w:val="nil"/>
              <w:tr2bl w:val="nil"/>
            </w:tcBorders>
            <w:noWrap w:val="0"/>
            <w:vAlign w:val="center"/>
          </w:tcPr>
          <w:p w14:paraId="728F651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19.3</w:t>
            </w:r>
          </w:p>
        </w:tc>
        <w:tc>
          <w:tcPr>
            <w:tcW w:w="504" w:type="dxa"/>
            <w:tcBorders>
              <w:tl2br w:val="nil"/>
              <w:tr2bl w:val="nil"/>
            </w:tcBorders>
            <w:noWrap w:val="0"/>
            <w:vAlign w:val="center"/>
          </w:tcPr>
          <w:p w14:paraId="2690785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7.7</w:t>
            </w:r>
          </w:p>
        </w:tc>
        <w:tc>
          <w:tcPr>
            <w:tcW w:w="533" w:type="dxa"/>
            <w:tcBorders>
              <w:tl2br w:val="nil"/>
              <w:tr2bl w:val="nil"/>
            </w:tcBorders>
            <w:noWrap w:val="0"/>
            <w:vAlign w:val="center"/>
          </w:tcPr>
          <w:p w14:paraId="308248C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3.3</w:t>
            </w:r>
          </w:p>
        </w:tc>
        <w:tc>
          <w:tcPr>
            <w:tcW w:w="480" w:type="dxa"/>
            <w:tcBorders>
              <w:tl2br w:val="nil"/>
              <w:tr2bl w:val="nil"/>
            </w:tcBorders>
            <w:noWrap w:val="0"/>
            <w:vAlign w:val="center"/>
          </w:tcPr>
          <w:p w14:paraId="7EEA969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8.1</w:t>
            </w:r>
          </w:p>
        </w:tc>
      </w:tr>
      <w:tr w14:paraId="277992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3A30536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3月</w:t>
            </w:r>
          </w:p>
        </w:tc>
        <w:tc>
          <w:tcPr>
            <w:tcW w:w="420" w:type="dxa"/>
            <w:tcBorders>
              <w:tl2br w:val="nil"/>
              <w:tr2bl w:val="nil"/>
            </w:tcBorders>
            <w:noWrap w:val="0"/>
            <w:vAlign w:val="center"/>
          </w:tcPr>
          <w:p w14:paraId="31BDC14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4.8</w:t>
            </w:r>
          </w:p>
        </w:tc>
        <w:tc>
          <w:tcPr>
            <w:tcW w:w="571" w:type="dxa"/>
            <w:tcBorders>
              <w:tl2br w:val="nil"/>
              <w:tr2bl w:val="nil"/>
            </w:tcBorders>
            <w:noWrap w:val="0"/>
            <w:vAlign w:val="center"/>
          </w:tcPr>
          <w:p w14:paraId="6E61A49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2.5</w:t>
            </w:r>
          </w:p>
        </w:tc>
        <w:tc>
          <w:tcPr>
            <w:tcW w:w="396" w:type="dxa"/>
            <w:tcBorders>
              <w:tl2br w:val="nil"/>
              <w:tr2bl w:val="nil"/>
            </w:tcBorders>
            <w:noWrap w:val="0"/>
            <w:vAlign w:val="center"/>
          </w:tcPr>
          <w:p w14:paraId="396E1FD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1.9</w:t>
            </w:r>
          </w:p>
        </w:tc>
        <w:tc>
          <w:tcPr>
            <w:tcW w:w="513" w:type="dxa"/>
            <w:tcBorders>
              <w:tl2br w:val="nil"/>
              <w:tr2bl w:val="nil"/>
            </w:tcBorders>
            <w:noWrap w:val="0"/>
            <w:vAlign w:val="center"/>
          </w:tcPr>
          <w:p w14:paraId="745AC55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1.6</w:t>
            </w:r>
          </w:p>
        </w:tc>
        <w:tc>
          <w:tcPr>
            <w:tcW w:w="393" w:type="dxa"/>
            <w:tcBorders>
              <w:tl2br w:val="nil"/>
              <w:tr2bl w:val="nil"/>
            </w:tcBorders>
            <w:noWrap w:val="0"/>
            <w:vAlign w:val="center"/>
          </w:tcPr>
          <w:p w14:paraId="20F5B6A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1.5</w:t>
            </w:r>
          </w:p>
        </w:tc>
        <w:tc>
          <w:tcPr>
            <w:tcW w:w="401" w:type="dxa"/>
            <w:tcBorders>
              <w:tl2br w:val="nil"/>
              <w:tr2bl w:val="nil"/>
            </w:tcBorders>
            <w:noWrap w:val="0"/>
            <w:vAlign w:val="center"/>
          </w:tcPr>
          <w:p w14:paraId="504431C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0.9</w:t>
            </w:r>
          </w:p>
        </w:tc>
        <w:tc>
          <w:tcPr>
            <w:tcW w:w="396" w:type="dxa"/>
            <w:tcBorders>
              <w:tl2br w:val="nil"/>
              <w:tr2bl w:val="nil"/>
            </w:tcBorders>
            <w:noWrap w:val="0"/>
            <w:vAlign w:val="center"/>
          </w:tcPr>
          <w:p w14:paraId="62F801F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2.1</w:t>
            </w:r>
          </w:p>
        </w:tc>
        <w:tc>
          <w:tcPr>
            <w:tcW w:w="396" w:type="dxa"/>
            <w:tcBorders>
              <w:tl2br w:val="nil"/>
              <w:tr2bl w:val="nil"/>
            </w:tcBorders>
            <w:noWrap w:val="0"/>
            <w:vAlign w:val="center"/>
          </w:tcPr>
          <w:p w14:paraId="4B0CE0E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2.3</w:t>
            </w:r>
          </w:p>
        </w:tc>
        <w:tc>
          <w:tcPr>
            <w:tcW w:w="393" w:type="dxa"/>
            <w:tcBorders>
              <w:tl2br w:val="nil"/>
              <w:tr2bl w:val="nil"/>
            </w:tcBorders>
            <w:noWrap w:val="0"/>
            <w:vAlign w:val="center"/>
          </w:tcPr>
          <w:p w14:paraId="3E579D8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4.7</w:t>
            </w:r>
          </w:p>
        </w:tc>
        <w:tc>
          <w:tcPr>
            <w:tcW w:w="460" w:type="dxa"/>
            <w:tcBorders>
              <w:tl2br w:val="nil"/>
              <w:tr2bl w:val="nil"/>
            </w:tcBorders>
            <w:noWrap w:val="0"/>
            <w:vAlign w:val="center"/>
          </w:tcPr>
          <w:p w14:paraId="22B0D3D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5.5</w:t>
            </w:r>
          </w:p>
        </w:tc>
        <w:tc>
          <w:tcPr>
            <w:tcW w:w="396" w:type="dxa"/>
            <w:tcBorders>
              <w:tl2br w:val="nil"/>
              <w:tr2bl w:val="nil"/>
            </w:tcBorders>
            <w:noWrap w:val="0"/>
            <w:vAlign w:val="center"/>
          </w:tcPr>
          <w:p w14:paraId="2DA729D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9.6</w:t>
            </w:r>
          </w:p>
        </w:tc>
        <w:tc>
          <w:tcPr>
            <w:tcW w:w="547" w:type="dxa"/>
            <w:tcBorders>
              <w:tl2br w:val="nil"/>
              <w:tr2bl w:val="nil"/>
            </w:tcBorders>
            <w:noWrap w:val="0"/>
            <w:vAlign w:val="center"/>
          </w:tcPr>
          <w:p w14:paraId="544AD5D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9.9</w:t>
            </w:r>
          </w:p>
        </w:tc>
        <w:tc>
          <w:tcPr>
            <w:tcW w:w="504" w:type="dxa"/>
            <w:tcBorders>
              <w:tl2br w:val="nil"/>
              <w:tr2bl w:val="nil"/>
            </w:tcBorders>
            <w:noWrap w:val="0"/>
            <w:vAlign w:val="center"/>
          </w:tcPr>
          <w:p w14:paraId="6C9AB98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13.6</w:t>
            </w:r>
          </w:p>
        </w:tc>
        <w:tc>
          <w:tcPr>
            <w:tcW w:w="583" w:type="dxa"/>
            <w:tcBorders>
              <w:tl2br w:val="nil"/>
              <w:tr2bl w:val="nil"/>
            </w:tcBorders>
            <w:noWrap w:val="0"/>
            <w:vAlign w:val="center"/>
          </w:tcPr>
          <w:p w14:paraId="0C2E61E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16.1</w:t>
            </w:r>
          </w:p>
        </w:tc>
        <w:tc>
          <w:tcPr>
            <w:tcW w:w="504" w:type="dxa"/>
            <w:tcBorders>
              <w:tl2br w:val="nil"/>
              <w:tr2bl w:val="nil"/>
            </w:tcBorders>
            <w:noWrap w:val="0"/>
            <w:vAlign w:val="center"/>
          </w:tcPr>
          <w:p w14:paraId="7E4E4E5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10.5</w:t>
            </w:r>
          </w:p>
        </w:tc>
        <w:tc>
          <w:tcPr>
            <w:tcW w:w="533" w:type="dxa"/>
            <w:tcBorders>
              <w:tl2br w:val="nil"/>
              <w:tr2bl w:val="nil"/>
            </w:tcBorders>
            <w:noWrap w:val="0"/>
            <w:vAlign w:val="center"/>
          </w:tcPr>
          <w:p w14:paraId="04C094D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6.3</w:t>
            </w:r>
          </w:p>
        </w:tc>
        <w:tc>
          <w:tcPr>
            <w:tcW w:w="480" w:type="dxa"/>
            <w:tcBorders>
              <w:tl2br w:val="nil"/>
              <w:tr2bl w:val="nil"/>
            </w:tcBorders>
            <w:noWrap w:val="0"/>
            <w:vAlign w:val="center"/>
          </w:tcPr>
          <w:p w14:paraId="479D0D5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6.3</w:t>
            </w:r>
          </w:p>
        </w:tc>
      </w:tr>
      <w:tr w14:paraId="3C9F5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09DCD55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4月</w:t>
            </w:r>
          </w:p>
        </w:tc>
        <w:tc>
          <w:tcPr>
            <w:tcW w:w="420" w:type="dxa"/>
            <w:tcBorders>
              <w:tl2br w:val="nil"/>
              <w:tr2bl w:val="nil"/>
            </w:tcBorders>
            <w:noWrap w:val="0"/>
            <w:vAlign w:val="center"/>
          </w:tcPr>
          <w:p w14:paraId="54202F7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5.9</w:t>
            </w:r>
          </w:p>
        </w:tc>
        <w:tc>
          <w:tcPr>
            <w:tcW w:w="571" w:type="dxa"/>
            <w:tcBorders>
              <w:tl2br w:val="nil"/>
              <w:tr2bl w:val="nil"/>
            </w:tcBorders>
            <w:noWrap w:val="0"/>
            <w:vAlign w:val="center"/>
          </w:tcPr>
          <w:p w14:paraId="409288D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3.6</w:t>
            </w:r>
          </w:p>
        </w:tc>
        <w:tc>
          <w:tcPr>
            <w:tcW w:w="396" w:type="dxa"/>
            <w:tcBorders>
              <w:tl2br w:val="nil"/>
              <w:tr2bl w:val="nil"/>
            </w:tcBorders>
            <w:noWrap w:val="0"/>
            <w:vAlign w:val="center"/>
          </w:tcPr>
          <w:p w14:paraId="7E08FDE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1.7</w:t>
            </w:r>
          </w:p>
        </w:tc>
        <w:tc>
          <w:tcPr>
            <w:tcW w:w="513" w:type="dxa"/>
            <w:tcBorders>
              <w:tl2br w:val="nil"/>
              <w:tr2bl w:val="nil"/>
            </w:tcBorders>
            <w:noWrap w:val="0"/>
            <w:vAlign w:val="center"/>
          </w:tcPr>
          <w:p w14:paraId="1F2AFFF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w:t>
            </w:r>
          </w:p>
        </w:tc>
        <w:tc>
          <w:tcPr>
            <w:tcW w:w="393" w:type="dxa"/>
            <w:tcBorders>
              <w:tl2br w:val="nil"/>
              <w:tr2bl w:val="nil"/>
            </w:tcBorders>
            <w:noWrap w:val="0"/>
            <w:vAlign w:val="center"/>
          </w:tcPr>
          <w:p w14:paraId="63842E3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2.2</w:t>
            </w:r>
          </w:p>
        </w:tc>
        <w:tc>
          <w:tcPr>
            <w:tcW w:w="401" w:type="dxa"/>
            <w:tcBorders>
              <w:tl2br w:val="nil"/>
              <w:tr2bl w:val="nil"/>
            </w:tcBorders>
            <w:noWrap w:val="0"/>
            <w:vAlign w:val="center"/>
          </w:tcPr>
          <w:p w14:paraId="397AE46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1.9</w:t>
            </w:r>
          </w:p>
        </w:tc>
        <w:tc>
          <w:tcPr>
            <w:tcW w:w="396" w:type="dxa"/>
            <w:tcBorders>
              <w:tl2br w:val="nil"/>
              <w:tr2bl w:val="nil"/>
            </w:tcBorders>
            <w:noWrap w:val="0"/>
            <w:vAlign w:val="center"/>
          </w:tcPr>
          <w:p w14:paraId="7B093F4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2.5</w:t>
            </w:r>
          </w:p>
        </w:tc>
        <w:tc>
          <w:tcPr>
            <w:tcW w:w="396" w:type="dxa"/>
            <w:tcBorders>
              <w:tl2br w:val="nil"/>
              <w:tr2bl w:val="nil"/>
            </w:tcBorders>
            <w:noWrap w:val="0"/>
            <w:vAlign w:val="center"/>
          </w:tcPr>
          <w:p w14:paraId="515745B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4.2</w:t>
            </w:r>
          </w:p>
        </w:tc>
        <w:tc>
          <w:tcPr>
            <w:tcW w:w="393" w:type="dxa"/>
            <w:tcBorders>
              <w:tl2br w:val="nil"/>
              <w:tr2bl w:val="nil"/>
            </w:tcBorders>
            <w:noWrap w:val="0"/>
            <w:vAlign w:val="center"/>
          </w:tcPr>
          <w:p w14:paraId="12F7C52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5.7</w:t>
            </w:r>
          </w:p>
        </w:tc>
        <w:tc>
          <w:tcPr>
            <w:tcW w:w="460" w:type="dxa"/>
            <w:tcBorders>
              <w:tl2br w:val="nil"/>
              <w:tr2bl w:val="nil"/>
            </w:tcBorders>
            <w:noWrap w:val="0"/>
            <w:vAlign w:val="center"/>
          </w:tcPr>
          <w:p w14:paraId="3F64312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7.1</w:t>
            </w:r>
          </w:p>
        </w:tc>
        <w:tc>
          <w:tcPr>
            <w:tcW w:w="396" w:type="dxa"/>
            <w:tcBorders>
              <w:tl2br w:val="nil"/>
              <w:tr2bl w:val="nil"/>
            </w:tcBorders>
            <w:noWrap w:val="0"/>
            <w:vAlign w:val="center"/>
          </w:tcPr>
          <w:p w14:paraId="1279081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8.9</w:t>
            </w:r>
          </w:p>
        </w:tc>
        <w:tc>
          <w:tcPr>
            <w:tcW w:w="547" w:type="dxa"/>
            <w:tcBorders>
              <w:tl2br w:val="nil"/>
              <w:tr2bl w:val="nil"/>
            </w:tcBorders>
            <w:noWrap w:val="0"/>
            <w:vAlign w:val="center"/>
          </w:tcPr>
          <w:p w14:paraId="2FA6DB4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7.9</w:t>
            </w:r>
          </w:p>
        </w:tc>
        <w:tc>
          <w:tcPr>
            <w:tcW w:w="504" w:type="dxa"/>
            <w:tcBorders>
              <w:tl2br w:val="nil"/>
              <w:tr2bl w:val="nil"/>
            </w:tcBorders>
            <w:noWrap w:val="0"/>
            <w:vAlign w:val="center"/>
          </w:tcPr>
          <w:p w14:paraId="454882A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10.2</w:t>
            </w:r>
          </w:p>
        </w:tc>
        <w:tc>
          <w:tcPr>
            <w:tcW w:w="583" w:type="dxa"/>
            <w:tcBorders>
              <w:tl2br w:val="nil"/>
              <w:tr2bl w:val="nil"/>
            </w:tcBorders>
            <w:noWrap w:val="0"/>
            <w:vAlign w:val="center"/>
          </w:tcPr>
          <w:p w14:paraId="4595CF5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13.5</w:t>
            </w:r>
          </w:p>
        </w:tc>
        <w:tc>
          <w:tcPr>
            <w:tcW w:w="504" w:type="dxa"/>
            <w:tcBorders>
              <w:tl2br w:val="nil"/>
              <w:tr2bl w:val="nil"/>
            </w:tcBorders>
            <w:noWrap w:val="0"/>
            <w:vAlign w:val="center"/>
          </w:tcPr>
          <w:p w14:paraId="68F4760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11</w:t>
            </w:r>
          </w:p>
        </w:tc>
        <w:tc>
          <w:tcPr>
            <w:tcW w:w="533" w:type="dxa"/>
            <w:tcBorders>
              <w:tl2br w:val="nil"/>
              <w:tr2bl w:val="nil"/>
            </w:tcBorders>
            <w:noWrap w:val="0"/>
            <w:vAlign w:val="center"/>
          </w:tcPr>
          <w:p w14:paraId="49C97F3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7.6</w:t>
            </w:r>
          </w:p>
        </w:tc>
        <w:tc>
          <w:tcPr>
            <w:tcW w:w="480" w:type="dxa"/>
            <w:tcBorders>
              <w:tl2br w:val="nil"/>
              <w:tr2bl w:val="nil"/>
            </w:tcBorders>
            <w:noWrap w:val="0"/>
            <w:vAlign w:val="center"/>
          </w:tcPr>
          <w:p w14:paraId="6AF7E59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4.9</w:t>
            </w:r>
          </w:p>
        </w:tc>
      </w:tr>
      <w:tr w14:paraId="3D49CA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319A974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5月</w:t>
            </w:r>
          </w:p>
        </w:tc>
        <w:tc>
          <w:tcPr>
            <w:tcW w:w="420" w:type="dxa"/>
            <w:tcBorders>
              <w:tl2br w:val="nil"/>
              <w:tr2bl w:val="nil"/>
            </w:tcBorders>
            <w:noWrap w:val="0"/>
            <w:vAlign w:val="center"/>
          </w:tcPr>
          <w:p w14:paraId="1929FC1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3.9</w:t>
            </w:r>
          </w:p>
        </w:tc>
        <w:tc>
          <w:tcPr>
            <w:tcW w:w="571" w:type="dxa"/>
            <w:tcBorders>
              <w:tl2br w:val="nil"/>
              <w:tr2bl w:val="nil"/>
            </w:tcBorders>
            <w:noWrap w:val="0"/>
            <w:vAlign w:val="center"/>
          </w:tcPr>
          <w:p w14:paraId="15D808E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2.7</w:t>
            </w:r>
          </w:p>
        </w:tc>
        <w:tc>
          <w:tcPr>
            <w:tcW w:w="396" w:type="dxa"/>
            <w:tcBorders>
              <w:tl2br w:val="nil"/>
              <w:tr2bl w:val="nil"/>
            </w:tcBorders>
            <w:noWrap w:val="0"/>
            <w:vAlign w:val="center"/>
          </w:tcPr>
          <w:p w14:paraId="689C558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1.9</w:t>
            </w:r>
          </w:p>
        </w:tc>
        <w:tc>
          <w:tcPr>
            <w:tcW w:w="513" w:type="dxa"/>
            <w:tcBorders>
              <w:tl2br w:val="nil"/>
              <w:tr2bl w:val="nil"/>
            </w:tcBorders>
            <w:noWrap w:val="0"/>
            <w:vAlign w:val="center"/>
          </w:tcPr>
          <w:p w14:paraId="0566B26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1.6</w:t>
            </w:r>
          </w:p>
        </w:tc>
        <w:tc>
          <w:tcPr>
            <w:tcW w:w="393" w:type="dxa"/>
            <w:tcBorders>
              <w:tl2br w:val="nil"/>
              <w:tr2bl w:val="nil"/>
            </w:tcBorders>
            <w:noWrap w:val="0"/>
            <w:vAlign w:val="center"/>
          </w:tcPr>
          <w:p w14:paraId="444A103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1.9</w:t>
            </w:r>
          </w:p>
        </w:tc>
        <w:tc>
          <w:tcPr>
            <w:tcW w:w="401" w:type="dxa"/>
            <w:tcBorders>
              <w:tl2br w:val="nil"/>
              <w:tr2bl w:val="nil"/>
            </w:tcBorders>
            <w:noWrap w:val="0"/>
            <w:vAlign w:val="center"/>
          </w:tcPr>
          <w:p w14:paraId="27296DB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w:t>
            </w:r>
          </w:p>
        </w:tc>
        <w:tc>
          <w:tcPr>
            <w:tcW w:w="396" w:type="dxa"/>
            <w:tcBorders>
              <w:tl2br w:val="nil"/>
              <w:tr2bl w:val="nil"/>
            </w:tcBorders>
            <w:noWrap w:val="0"/>
            <w:vAlign w:val="center"/>
          </w:tcPr>
          <w:p w14:paraId="3CCB8B1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2.7</w:t>
            </w:r>
          </w:p>
        </w:tc>
        <w:tc>
          <w:tcPr>
            <w:tcW w:w="396" w:type="dxa"/>
            <w:tcBorders>
              <w:tl2br w:val="nil"/>
              <w:tr2bl w:val="nil"/>
            </w:tcBorders>
            <w:noWrap w:val="0"/>
            <w:vAlign w:val="center"/>
          </w:tcPr>
          <w:p w14:paraId="04005F8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w:t>
            </w:r>
          </w:p>
        </w:tc>
        <w:tc>
          <w:tcPr>
            <w:tcW w:w="393" w:type="dxa"/>
            <w:tcBorders>
              <w:tl2br w:val="nil"/>
              <w:tr2bl w:val="nil"/>
            </w:tcBorders>
            <w:noWrap w:val="0"/>
            <w:vAlign w:val="center"/>
          </w:tcPr>
          <w:p w14:paraId="673D00D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7.6</w:t>
            </w:r>
          </w:p>
        </w:tc>
        <w:tc>
          <w:tcPr>
            <w:tcW w:w="460" w:type="dxa"/>
            <w:tcBorders>
              <w:tl2br w:val="nil"/>
              <w:tr2bl w:val="nil"/>
            </w:tcBorders>
            <w:noWrap w:val="0"/>
            <w:vAlign w:val="center"/>
          </w:tcPr>
          <w:p w14:paraId="20E5C8A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7.2</w:t>
            </w:r>
          </w:p>
        </w:tc>
        <w:tc>
          <w:tcPr>
            <w:tcW w:w="396" w:type="dxa"/>
            <w:tcBorders>
              <w:tl2br w:val="nil"/>
              <w:tr2bl w:val="nil"/>
            </w:tcBorders>
            <w:noWrap w:val="0"/>
            <w:vAlign w:val="center"/>
          </w:tcPr>
          <w:p w14:paraId="02D505A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8.8</w:t>
            </w:r>
          </w:p>
        </w:tc>
        <w:tc>
          <w:tcPr>
            <w:tcW w:w="547" w:type="dxa"/>
            <w:tcBorders>
              <w:tl2br w:val="nil"/>
              <w:tr2bl w:val="nil"/>
            </w:tcBorders>
            <w:noWrap w:val="0"/>
            <w:vAlign w:val="center"/>
          </w:tcPr>
          <w:p w14:paraId="7297A04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6.9</w:t>
            </w:r>
          </w:p>
        </w:tc>
        <w:tc>
          <w:tcPr>
            <w:tcW w:w="504" w:type="dxa"/>
            <w:tcBorders>
              <w:tl2br w:val="nil"/>
              <w:tr2bl w:val="nil"/>
            </w:tcBorders>
            <w:noWrap w:val="0"/>
            <w:vAlign w:val="center"/>
          </w:tcPr>
          <w:p w14:paraId="1702F7C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10.7</w:t>
            </w:r>
          </w:p>
        </w:tc>
        <w:tc>
          <w:tcPr>
            <w:tcW w:w="583" w:type="dxa"/>
            <w:tcBorders>
              <w:tl2br w:val="nil"/>
              <w:tr2bl w:val="nil"/>
            </w:tcBorders>
            <w:noWrap w:val="0"/>
            <w:vAlign w:val="center"/>
          </w:tcPr>
          <w:p w14:paraId="4F9A9F7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w:t>
            </w:r>
          </w:p>
        </w:tc>
        <w:tc>
          <w:tcPr>
            <w:tcW w:w="504" w:type="dxa"/>
            <w:tcBorders>
              <w:tl2br w:val="nil"/>
              <w:tr2bl w:val="nil"/>
            </w:tcBorders>
            <w:noWrap w:val="0"/>
            <w:vAlign w:val="center"/>
          </w:tcPr>
          <w:p w14:paraId="5D4CF9D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8.8</w:t>
            </w:r>
          </w:p>
        </w:tc>
        <w:tc>
          <w:tcPr>
            <w:tcW w:w="533" w:type="dxa"/>
            <w:tcBorders>
              <w:tl2br w:val="nil"/>
              <w:tr2bl w:val="nil"/>
            </w:tcBorders>
            <w:noWrap w:val="0"/>
            <w:vAlign w:val="center"/>
          </w:tcPr>
          <w:p w14:paraId="4A15112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5.6</w:t>
            </w:r>
          </w:p>
        </w:tc>
        <w:tc>
          <w:tcPr>
            <w:tcW w:w="480" w:type="dxa"/>
            <w:tcBorders>
              <w:tl2br w:val="nil"/>
              <w:tr2bl w:val="nil"/>
            </w:tcBorders>
            <w:noWrap w:val="0"/>
            <w:vAlign w:val="center"/>
          </w:tcPr>
          <w:p w14:paraId="0D77955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4.2</w:t>
            </w:r>
          </w:p>
        </w:tc>
      </w:tr>
      <w:tr w14:paraId="2D99E4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1D8EE5D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6月</w:t>
            </w:r>
          </w:p>
        </w:tc>
        <w:tc>
          <w:tcPr>
            <w:tcW w:w="420" w:type="dxa"/>
            <w:tcBorders>
              <w:tl2br w:val="nil"/>
              <w:tr2bl w:val="nil"/>
            </w:tcBorders>
            <w:noWrap w:val="0"/>
            <w:vAlign w:val="center"/>
          </w:tcPr>
          <w:p w14:paraId="0D3608C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4.8</w:t>
            </w:r>
          </w:p>
        </w:tc>
        <w:tc>
          <w:tcPr>
            <w:tcW w:w="571" w:type="dxa"/>
            <w:tcBorders>
              <w:tl2br w:val="nil"/>
              <w:tr2bl w:val="nil"/>
            </w:tcBorders>
            <w:noWrap w:val="0"/>
            <w:vAlign w:val="center"/>
          </w:tcPr>
          <w:p w14:paraId="442D076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3.2</w:t>
            </w:r>
          </w:p>
        </w:tc>
        <w:tc>
          <w:tcPr>
            <w:tcW w:w="396" w:type="dxa"/>
            <w:tcBorders>
              <w:tl2br w:val="nil"/>
              <w:tr2bl w:val="nil"/>
            </w:tcBorders>
            <w:noWrap w:val="0"/>
            <w:vAlign w:val="center"/>
          </w:tcPr>
          <w:p w14:paraId="1F1C4F7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3.1</w:t>
            </w:r>
          </w:p>
        </w:tc>
        <w:tc>
          <w:tcPr>
            <w:tcW w:w="513" w:type="dxa"/>
            <w:tcBorders>
              <w:tl2br w:val="nil"/>
              <w:tr2bl w:val="nil"/>
            </w:tcBorders>
            <w:noWrap w:val="0"/>
            <w:vAlign w:val="center"/>
          </w:tcPr>
          <w:p w14:paraId="201FD18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3.5</w:t>
            </w:r>
          </w:p>
        </w:tc>
        <w:tc>
          <w:tcPr>
            <w:tcW w:w="393" w:type="dxa"/>
            <w:tcBorders>
              <w:tl2br w:val="nil"/>
              <w:tr2bl w:val="nil"/>
            </w:tcBorders>
            <w:noWrap w:val="0"/>
            <w:vAlign w:val="center"/>
          </w:tcPr>
          <w:p w14:paraId="5C9C9A6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3.8</w:t>
            </w:r>
          </w:p>
        </w:tc>
        <w:tc>
          <w:tcPr>
            <w:tcW w:w="401" w:type="dxa"/>
            <w:tcBorders>
              <w:tl2br w:val="nil"/>
              <w:tr2bl w:val="nil"/>
            </w:tcBorders>
            <w:noWrap w:val="0"/>
            <w:vAlign w:val="center"/>
          </w:tcPr>
          <w:p w14:paraId="48DB591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w:t>
            </w:r>
          </w:p>
        </w:tc>
        <w:tc>
          <w:tcPr>
            <w:tcW w:w="396" w:type="dxa"/>
            <w:tcBorders>
              <w:tl2br w:val="nil"/>
              <w:tr2bl w:val="nil"/>
            </w:tcBorders>
            <w:noWrap w:val="0"/>
            <w:vAlign w:val="center"/>
          </w:tcPr>
          <w:p w14:paraId="56AEA72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4.6</w:t>
            </w:r>
          </w:p>
        </w:tc>
        <w:tc>
          <w:tcPr>
            <w:tcW w:w="396" w:type="dxa"/>
            <w:tcBorders>
              <w:tl2br w:val="nil"/>
              <w:tr2bl w:val="nil"/>
            </w:tcBorders>
            <w:noWrap w:val="0"/>
            <w:vAlign w:val="center"/>
          </w:tcPr>
          <w:p w14:paraId="54C9B17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6.4</w:t>
            </w:r>
          </w:p>
        </w:tc>
        <w:tc>
          <w:tcPr>
            <w:tcW w:w="393" w:type="dxa"/>
            <w:tcBorders>
              <w:tl2br w:val="nil"/>
              <w:tr2bl w:val="nil"/>
            </w:tcBorders>
            <w:noWrap w:val="0"/>
            <w:vAlign w:val="center"/>
          </w:tcPr>
          <w:p w14:paraId="54B2C3D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9.5</w:t>
            </w:r>
          </w:p>
        </w:tc>
        <w:tc>
          <w:tcPr>
            <w:tcW w:w="460" w:type="dxa"/>
            <w:tcBorders>
              <w:tl2br w:val="nil"/>
              <w:tr2bl w:val="nil"/>
            </w:tcBorders>
            <w:noWrap w:val="0"/>
            <w:vAlign w:val="center"/>
          </w:tcPr>
          <w:p w14:paraId="1D3D36D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7.6</w:t>
            </w:r>
          </w:p>
        </w:tc>
        <w:tc>
          <w:tcPr>
            <w:tcW w:w="396" w:type="dxa"/>
            <w:tcBorders>
              <w:tl2br w:val="nil"/>
              <w:tr2bl w:val="nil"/>
            </w:tcBorders>
            <w:noWrap w:val="0"/>
            <w:vAlign w:val="center"/>
          </w:tcPr>
          <w:p w14:paraId="33E9154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8.8</w:t>
            </w:r>
          </w:p>
        </w:tc>
        <w:tc>
          <w:tcPr>
            <w:tcW w:w="547" w:type="dxa"/>
            <w:tcBorders>
              <w:tl2br w:val="nil"/>
              <w:tr2bl w:val="nil"/>
            </w:tcBorders>
            <w:noWrap w:val="0"/>
            <w:vAlign w:val="center"/>
          </w:tcPr>
          <w:p w14:paraId="4BC16E9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6.4</w:t>
            </w:r>
          </w:p>
        </w:tc>
        <w:tc>
          <w:tcPr>
            <w:tcW w:w="504" w:type="dxa"/>
            <w:tcBorders>
              <w:tl2br w:val="nil"/>
              <w:tr2bl w:val="nil"/>
            </w:tcBorders>
            <w:noWrap w:val="0"/>
            <w:vAlign w:val="center"/>
          </w:tcPr>
          <w:p w14:paraId="552D45C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6.2</w:t>
            </w:r>
          </w:p>
        </w:tc>
        <w:tc>
          <w:tcPr>
            <w:tcW w:w="583" w:type="dxa"/>
            <w:tcBorders>
              <w:tl2br w:val="nil"/>
              <w:tr2bl w:val="nil"/>
            </w:tcBorders>
            <w:noWrap w:val="0"/>
            <w:vAlign w:val="center"/>
          </w:tcPr>
          <w:p w14:paraId="3340E65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6.4</w:t>
            </w:r>
          </w:p>
        </w:tc>
        <w:tc>
          <w:tcPr>
            <w:tcW w:w="504" w:type="dxa"/>
            <w:tcBorders>
              <w:tl2br w:val="nil"/>
              <w:tr2bl w:val="nil"/>
            </w:tcBorders>
            <w:noWrap w:val="0"/>
            <w:vAlign w:val="center"/>
          </w:tcPr>
          <w:p w14:paraId="33F07DB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5.7</w:t>
            </w:r>
          </w:p>
        </w:tc>
        <w:tc>
          <w:tcPr>
            <w:tcW w:w="533" w:type="dxa"/>
            <w:tcBorders>
              <w:tl2br w:val="nil"/>
              <w:tr2bl w:val="nil"/>
            </w:tcBorders>
            <w:noWrap w:val="0"/>
            <w:vAlign w:val="center"/>
          </w:tcPr>
          <w:p w14:paraId="0BC535A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4.5</w:t>
            </w:r>
          </w:p>
        </w:tc>
        <w:tc>
          <w:tcPr>
            <w:tcW w:w="480" w:type="dxa"/>
            <w:tcBorders>
              <w:tl2br w:val="nil"/>
              <w:tr2bl w:val="nil"/>
            </w:tcBorders>
            <w:noWrap w:val="0"/>
            <w:vAlign w:val="center"/>
          </w:tcPr>
          <w:p w14:paraId="665D804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6.9</w:t>
            </w:r>
          </w:p>
        </w:tc>
      </w:tr>
      <w:tr w14:paraId="54E653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1A258BC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7月</w:t>
            </w:r>
          </w:p>
        </w:tc>
        <w:tc>
          <w:tcPr>
            <w:tcW w:w="420" w:type="dxa"/>
            <w:tcBorders>
              <w:tl2br w:val="nil"/>
              <w:tr2bl w:val="nil"/>
            </w:tcBorders>
            <w:noWrap w:val="0"/>
            <w:vAlign w:val="center"/>
          </w:tcPr>
          <w:p w14:paraId="15E54E3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3.4</w:t>
            </w:r>
          </w:p>
        </w:tc>
        <w:tc>
          <w:tcPr>
            <w:tcW w:w="571" w:type="dxa"/>
            <w:tcBorders>
              <w:tl2br w:val="nil"/>
              <w:tr2bl w:val="nil"/>
            </w:tcBorders>
            <w:noWrap w:val="0"/>
            <w:vAlign w:val="center"/>
          </w:tcPr>
          <w:p w14:paraId="0CC3C2D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2.7</w:t>
            </w:r>
          </w:p>
        </w:tc>
        <w:tc>
          <w:tcPr>
            <w:tcW w:w="396" w:type="dxa"/>
            <w:tcBorders>
              <w:tl2br w:val="nil"/>
              <w:tr2bl w:val="nil"/>
            </w:tcBorders>
            <w:noWrap w:val="0"/>
            <w:vAlign w:val="center"/>
          </w:tcPr>
          <w:p w14:paraId="75D97E7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2.3</w:t>
            </w:r>
          </w:p>
        </w:tc>
        <w:tc>
          <w:tcPr>
            <w:tcW w:w="513" w:type="dxa"/>
            <w:tcBorders>
              <w:tl2br w:val="nil"/>
              <w:tr2bl w:val="nil"/>
            </w:tcBorders>
            <w:noWrap w:val="0"/>
            <w:vAlign w:val="center"/>
          </w:tcPr>
          <w:p w14:paraId="739435B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3.3</w:t>
            </w:r>
          </w:p>
        </w:tc>
        <w:tc>
          <w:tcPr>
            <w:tcW w:w="393" w:type="dxa"/>
            <w:tcBorders>
              <w:tl2br w:val="nil"/>
              <w:tr2bl w:val="nil"/>
            </w:tcBorders>
            <w:noWrap w:val="0"/>
            <w:vAlign w:val="center"/>
          </w:tcPr>
          <w:p w14:paraId="71DBBE8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3.6</w:t>
            </w:r>
          </w:p>
        </w:tc>
        <w:tc>
          <w:tcPr>
            <w:tcW w:w="401" w:type="dxa"/>
            <w:tcBorders>
              <w:tl2br w:val="nil"/>
              <w:tr2bl w:val="nil"/>
            </w:tcBorders>
            <w:noWrap w:val="0"/>
            <w:vAlign w:val="center"/>
          </w:tcPr>
          <w:p w14:paraId="7AE3D30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4.6</w:t>
            </w:r>
          </w:p>
        </w:tc>
        <w:tc>
          <w:tcPr>
            <w:tcW w:w="396" w:type="dxa"/>
            <w:tcBorders>
              <w:tl2br w:val="nil"/>
              <w:tr2bl w:val="nil"/>
            </w:tcBorders>
            <w:noWrap w:val="0"/>
            <w:vAlign w:val="center"/>
          </w:tcPr>
          <w:p w14:paraId="5CE25DE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6.5</w:t>
            </w:r>
          </w:p>
        </w:tc>
        <w:tc>
          <w:tcPr>
            <w:tcW w:w="396" w:type="dxa"/>
            <w:tcBorders>
              <w:tl2br w:val="nil"/>
              <w:tr2bl w:val="nil"/>
            </w:tcBorders>
            <w:noWrap w:val="0"/>
            <w:vAlign w:val="center"/>
          </w:tcPr>
          <w:p w14:paraId="6FA6597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8.7</w:t>
            </w:r>
          </w:p>
        </w:tc>
        <w:tc>
          <w:tcPr>
            <w:tcW w:w="393" w:type="dxa"/>
            <w:tcBorders>
              <w:tl2br w:val="nil"/>
              <w:tr2bl w:val="nil"/>
            </w:tcBorders>
            <w:noWrap w:val="0"/>
            <w:vAlign w:val="center"/>
          </w:tcPr>
          <w:p w14:paraId="7D5CFBF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11</w:t>
            </w:r>
          </w:p>
        </w:tc>
        <w:tc>
          <w:tcPr>
            <w:tcW w:w="460" w:type="dxa"/>
            <w:tcBorders>
              <w:tl2br w:val="nil"/>
              <w:tr2bl w:val="nil"/>
            </w:tcBorders>
            <w:noWrap w:val="0"/>
            <w:vAlign w:val="center"/>
          </w:tcPr>
          <w:p w14:paraId="1C0779C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10.5</w:t>
            </w:r>
          </w:p>
        </w:tc>
        <w:tc>
          <w:tcPr>
            <w:tcW w:w="396" w:type="dxa"/>
            <w:tcBorders>
              <w:tl2br w:val="nil"/>
              <w:tr2bl w:val="nil"/>
            </w:tcBorders>
            <w:noWrap w:val="0"/>
            <w:vAlign w:val="center"/>
          </w:tcPr>
          <w:p w14:paraId="1B50DC1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9.5</w:t>
            </w:r>
          </w:p>
        </w:tc>
        <w:tc>
          <w:tcPr>
            <w:tcW w:w="547" w:type="dxa"/>
            <w:tcBorders>
              <w:tl2br w:val="nil"/>
              <w:tr2bl w:val="nil"/>
            </w:tcBorders>
            <w:noWrap w:val="0"/>
            <w:vAlign w:val="center"/>
          </w:tcPr>
          <w:p w14:paraId="06B1FD4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6.8</w:t>
            </w:r>
          </w:p>
        </w:tc>
        <w:tc>
          <w:tcPr>
            <w:tcW w:w="504" w:type="dxa"/>
            <w:tcBorders>
              <w:tl2br w:val="nil"/>
              <w:tr2bl w:val="nil"/>
            </w:tcBorders>
            <w:noWrap w:val="0"/>
            <w:vAlign w:val="center"/>
          </w:tcPr>
          <w:p w14:paraId="5D3739D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4.8</w:t>
            </w:r>
          </w:p>
        </w:tc>
        <w:tc>
          <w:tcPr>
            <w:tcW w:w="583" w:type="dxa"/>
            <w:tcBorders>
              <w:tl2br w:val="nil"/>
              <w:tr2bl w:val="nil"/>
            </w:tcBorders>
            <w:noWrap w:val="0"/>
            <w:vAlign w:val="center"/>
          </w:tcPr>
          <w:p w14:paraId="0C5E86F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4.6</w:t>
            </w:r>
          </w:p>
        </w:tc>
        <w:tc>
          <w:tcPr>
            <w:tcW w:w="504" w:type="dxa"/>
            <w:tcBorders>
              <w:tl2br w:val="nil"/>
              <w:tr2bl w:val="nil"/>
            </w:tcBorders>
            <w:noWrap w:val="0"/>
            <w:vAlign w:val="center"/>
          </w:tcPr>
          <w:p w14:paraId="279C7B9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4.9</w:t>
            </w:r>
          </w:p>
        </w:tc>
        <w:tc>
          <w:tcPr>
            <w:tcW w:w="533" w:type="dxa"/>
            <w:tcBorders>
              <w:tl2br w:val="nil"/>
              <w:tr2bl w:val="nil"/>
            </w:tcBorders>
            <w:noWrap w:val="0"/>
            <w:vAlign w:val="center"/>
          </w:tcPr>
          <w:p w14:paraId="63752AE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w:t>
            </w:r>
          </w:p>
        </w:tc>
        <w:tc>
          <w:tcPr>
            <w:tcW w:w="480" w:type="dxa"/>
            <w:tcBorders>
              <w:tl2br w:val="nil"/>
              <w:tr2bl w:val="nil"/>
            </w:tcBorders>
            <w:noWrap w:val="0"/>
            <w:vAlign w:val="center"/>
          </w:tcPr>
          <w:p w14:paraId="168B48F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w:t>
            </w:r>
          </w:p>
        </w:tc>
      </w:tr>
      <w:tr w14:paraId="161D4B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4B582B4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8月</w:t>
            </w:r>
          </w:p>
        </w:tc>
        <w:tc>
          <w:tcPr>
            <w:tcW w:w="420" w:type="dxa"/>
            <w:tcBorders>
              <w:tl2br w:val="nil"/>
              <w:tr2bl w:val="nil"/>
            </w:tcBorders>
            <w:noWrap w:val="0"/>
            <w:vAlign w:val="center"/>
          </w:tcPr>
          <w:p w14:paraId="0F7FF35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4.2</w:t>
            </w:r>
          </w:p>
        </w:tc>
        <w:tc>
          <w:tcPr>
            <w:tcW w:w="571" w:type="dxa"/>
            <w:tcBorders>
              <w:tl2br w:val="nil"/>
              <w:tr2bl w:val="nil"/>
            </w:tcBorders>
            <w:noWrap w:val="0"/>
            <w:vAlign w:val="center"/>
          </w:tcPr>
          <w:p w14:paraId="740AC37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2.8</w:t>
            </w:r>
          </w:p>
        </w:tc>
        <w:tc>
          <w:tcPr>
            <w:tcW w:w="396" w:type="dxa"/>
            <w:tcBorders>
              <w:tl2br w:val="nil"/>
              <w:tr2bl w:val="nil"/>
            </w:tcBorders>
            <w:noWrap w:val="0"/>
            <w:vAlign w:val="center"/>
          </w:tcPr>
          <w:p w14:paraId="44BB16B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2.8</w:t>
            </w:r>
          </w:p>
        </w:tc>
        <w:tc>
          <w:tcPr>
            <w:tcW w:w="513" w:type="dxa"/>
            <w:tcBorders>
              <w:tl2br w:val="nil"/>
              <w:tr2bl w:val="nil"/>
            </w:tcBorders>
            <w:noWrap w:val="0"/>
            <w:vAlign w:val="center"/>
          </w:tcPr>
          <w:p w14:paraId="6E4E15E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3.4</w:t>
            </w:r>
          </w:p>
        </w:tc>
        <w:tc>
          <w:tcPr>
            <w:tcW w:w="393" w:type="dxa"/>
            <w:tcBorders>
              <w:tl2br w:val="nil"/>
              <w:tr2bl w:val="nil"/>
            </w:tcBorders>
            <w:noWrap w:val="0"/>
            <w:vAlign w:val="center"/>
          </w:tcPr>
          <w:p w14:paraId="741A3FB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3.1</w:t>
            </w:r>
          </w:p>
        </w:tc>
        <w:tc>
          <w:tcPr>
            <w:tcW w:w="401" w:type="dxa"/>
            <w:tcBorders>
              <w:tl2br w:val="nil"/>
              <w:tr2bl w:val="nil"/>
            </w:tcBorders>
            <w:noWrap w:val="0"/>
            <w:vAlign w:val="center"/>
          </w:tcPr>
          <w:p w14:paraId="551172B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3.8</w:t>
            </w:r>
          </w:p>
        </w:tc>
        <w:tc>
          <w:tcPr>
            <w:tcW w:w="396" w:type="dxa"/>
            <w:tcBorders>
              <w:tl2br w:val="nil"/>
              <w:tr2bl w:val="nil"/>
            </w:tcBorders>
            <w:noWrap w:val="0"/>
            <w:vAlign w:val="center"/>
          </w:tcPr>
          <w:p w14:paraId="1970345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w:t>
            </w:r>
          </w:p>
        </w:tc>
        <w:tc>
          <w:tcPr>
            <w:tcW w:w="396" w:type="dxa"/>
            <w:tcBorders>
              <w:tl2br w:val="nil"/>
              <w:tr2bl w:val="nil"/>
            </w:tcBorders>
            <w:noWrap w:val="0"/>
            <w:vAlign w:val="center"/>
          </w:tcPr>
          <w:p w14:paraId="3E07C1D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6.1</w:t>
            </w:r>
          </w:p>
        </w:tc>
        <w:tc>
          <w:tcPr>
            <w:tcW w:w="393" w:type="dxa"/>
            <w:tcBorders>
              <w:tl2br w:val="nil"/>
              <w:tr2bl w:val="nil"/>
            </w:tcBorders>
            <w:noWrap w:val="0"/>
            <w:vAlign w:val="center"/>
          </w:tcPr>
          <w:p w14:paraId="429F59D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9.1</w:t>
            </w:r>
          </w:p>
        </w:tc>
        <w:tc>
          <w:tcPr>
            <w:tcW w:w="460" w:type="dxa"/>
            <w:tcBorders>
              <w:tl2br w:val="nil"/>
              <w:tr2bl w:val="nil"/>
            </w:tcBorders>
            <w:noWrap w:val="0"/>
            <w:vAlign w:val="center"/>
          </w:tcPr>
          <w:p w14:paraId="307A655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9.7</w:t>
            </w:r>
          </w:p>
        </w:tc>
        <w:tc>
          <w:tcPr>
            <w:tcW w:w="396" w:type="dxa"/>
            <w:tcBorders>
              <w:tl2br w:val="nil"/>
              <w:tr2bl w:val="nil"/>
            </w:tcBorders>
            <w:noWrap w:val="0"/>
            <w:vAlign w:val="center"/>
          </w:tcPr>
          <w:p w14:paraId="2699BDC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9.2</w:t>
            </w:r>
          </w:p>
        </w:tc>
        <w:tc>
          <w:tcPr>
            <w:tcW w:w="547" w:type="dxa"/>
            <w:tcBorders>
              <w:tl2br w:val="nil"/>
              <w:tr2bl w:val="nil"/>
            </w:tcBorders>
            <w:noWrap w:val="0"/>
            <w:vAlign w:val="center"/>
          </w:tcPr>
          <w:p w14:paraId="77FA0D9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6.5</w:t>
            </w:r>
          </w:p>
        </w:tc>
        <w:tc>
          <w:tcPr>
            <w:tcW w:w="504" w:type="dxa"/>
            <w:tcBorders>
              <w:tl2br w:val="nil"/>
              <w:tr2bl w:val="nil"/>
            </w:tcBorders>
            <w:noWrap w:val="0"/>
            <w:vAlign w:val="center"/>
          </w:tcPr>
          <w:p w14:paraId="4833618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5.4</w:t>
            </w:r>
          </w:p>
        </w:tc>
        <w:tc>
          <w:tcPr>
            <w:tcW w:w="583" w:type="dxa"/>
            <w:tcBorders>
              <w:tl2br w:val="nil"/>
              <w:tr2bl w:val="nil"/>
            </w:tcBorders>
            <w:noWrap w:val="0"/>
            <w:vAlign w:val="center"/>
          </w:tcPr>
          <w:p w14:paraId="3E7548F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5.6</w:t>
            </w:r>
          </w:p>
        </w:tc>
        <w:tc>
          <w:tcPr>
            <w:tcW w:w="504" w:type="dxa"/>
            <w:tcBorders>
              <w:tl2br w:val="nil"/>
              <w:tr2bl w:val="nil"/>
            </w:tcBorders>
            <w:noWrap w:val="0"/>
            <w:vAlign w:val="center"/>
          </w:tcPr>
          <w:p w14:paraId="2E03073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4.4</w:t>
            </w:r>
          </w:p>
        </w:tc>
        <w:tc>
          <w:tcPr>
            <w:tcW w:w="533" w:type="dxa"/>
            <w:tcBorders>
              <w:tl2br w:val="nil"/>
              <w:tr2bl w:val="nil"/>
            </w:tcBorders>
            <w:noWrap w:val="0"/>
            <w:vAlign w:val="center"/>
          </w:tcPr>
          <w:p w14:paraId="23DA296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4.6</w:t>
            </w:r>
          </w:p>
        </w:tc>
        <w:tc>
          <w:tcPr>
            <w:tcW w:w="480" w:type="dxa"/>
            <w:tcBorders>
              <w:tl2br w:val="nil"/>
              <w:tr2bl w:val="nil"/>
            </w:tcBorders>
            <w:noWrap w:val="0"/>
            <w:vAlign w:val="center"/>
          </w:tcPr>
          <w:p w14:paraId="274E3D3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8.8</w:t>
            </w:r>
          </w:p>
        </w:tc>
      </w:tr>
      <w:tr w14:paraId="618320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06BEBBB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9月</w:t>
            </w:r>
          </w:p>
        </w:tc>
        <w:tc>
          <w:tcPr>
            <w:tcW w:w="420" w:type="dxa"/>
            <w:tcBorders>
              <w:tl2br w:val="nil"/>
              <w:tr2bl w:val="nil"/>
            </w:tcBorders>
            <w:noWrap w:val="0"/>
            <w:vAlign w:val="center"/>
          </w:tcPr>
          <w:p w14:paraId="00BB65C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4.5</w:t>
            </w:r>
          </w:p>
        </w:tc>
        <w:tc>
          <w:tcPr>
            <w:tcW w:w="571" w:type="dxa"/>
            <w:tcBorders>
              <w:tl2br w:val="nil"/>
              <w:tr2bl w:val="nil"/>
            </w:tcBorders>
            <w:noWrap w:val="0"/>
            <w:vAlign w:val="center"/>
          </w:tcPr>
          <w:p w14:paraId="2B66BC3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2.6</w:t>
            </w:r>
          </w:p>
        </w:tc>
        <w:tc>
          <w:tcPr>
            <w:tcW w:w="396" w:type="dxa"/>
            <w:tcBorders>
              <w:tl2br w:val="nil"/>
              <w:tr2bl w:val="nil"/>
            </w:tcBorders>
            <w:noWrap w:val="0"/>
            <w:vAlign w:val="center"/>
          </w:tcPr>
          <w:p w14:paraId="1AE5DE1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2.3</w:t>
            </w:r>
          </w:p>
        </w:tc>
        <w:tc>
          <w:tcPr>
            <w:tcW w:w="513" w:type="dxa"/>
            <w:tcBorders>
              <w:tl2br w:val="nil"/>
              <w:tr2bl w:val="nil"/>
            </w:tcBorders>
            <w:noWrap w:val="0"/>
            <w:vAlign w:val="center"/>
          </w:tcPr>
          <w:p w14:paraId="4F51391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2.3</w:t>
            </w:r>
          </w:p>
        </w:tc>
        <w:tc>
          <w:tcPr>
            <w:tcW w:w="393" w:type="dxa"/>
            <w:tcBorders>
              <w:tl2br w:val="nil"/>
              <w:tr2bl w:val="nil"/>
            </w:tcBorders>
            <w:noWrap w:val="0"/>
            <w:vAlign w:val="center"/>
          </w:tcPr>
          <w:p w14:paraId="1D45396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2.5</w:t>
            </w:r>
          </w:p>
        </w:tc>
        <w:tc>
          <w:tcPr>
            <w:tcW w:w="401" w:type="dxa"/>
            <w:tcBorders>
              <w:tl2br w:val="nil"/>
              <w:tr2bl w:val="nil"/>
            </w:tcBorders>
            <w:noWrap w:val="0"/>
            <w:vAlign w:val="center"/>
          </w:tcPr>
          <w:p w14:paraId="3A9FE8C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2.6</w:t>
            </w:r>
          </w:p>
        </w:tc>
        <w:tc>
          <w:tcPr>
            <w:tcW w:w="396" w:type="dxa"/>
            <w:tcBorders>
              <w:tl2br w:val="nil"/>
              <w:tr2bl w:val="nil"/>
            </w:tcBorders>
            <w:noWrap w:val="0"/>
            <w:vAlign w:val="center"/>
          </w:tcPr>
          <w:p w14:paraId="2DE6F03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3.4</w:t>
            </w:r>
          </w:p>
        </w:tc>
        <w:tc>
          <w:tcPr>
            <w:tcW w:w="396" w:type="dxa"/>
            <w:tcBorders>
              <w:tl2br w:val="nil"/>
              <w:tr2bl w:val="nil"/>
            </w:tcBorders>
            <w:noWrap w:val="0"/>
            <w:vAlign w:val="center"/>
          </w:tcPr>
          <w:p w14:paraId="4A8F077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4.9</w:t>
            </w:r>
          </w:p>
        </w:tc>
        <w:tc>
          <w:tcPr>
            <w:tcW w:w="393" w:type="dxa"/>
            <w:tcBorders>
              <w:tl2br w:val="nil"/>
              <w:tr2bl w:val="nil"/>
            </w:tcBorders>
            <w:noWrap w:val="0"/>
            <w:vAlign w:val="center"/>
          </w:tcPr>
          <w:p w14:paraId="42E9B81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w:t>
            </w:r>
          </w:p>
        </w:tc>
        <w:tc>
          <w:tcPr>
            <w:tcW w:w="460" w:type="dxa"/>
            <w:tcBorders>
              <w:tl2br w:val="nil"/>
              <w:tr2bl w:val="nil"/>
            </w:tcBorders>
            <w:noWrap w:val="0"/>
            <w:vAlign w:val="center"/>
          </w:tcPr>
          <w:p w14:paraId="383EF5F6">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9.2</w:t>
            </w:r>
          </w:p>
        </w:tc>
        <w:tc>
          <w:tcPr>
            <w:tcW w:w="396" w:type="dxa"/>
            <w:tcBorders>
              <w:tl2br w:val="nil"/>
              <w:tr2bl w:val="nil"/>
            </w:tcBorders>
            <w:noWrap w:val="0"/>
            <w:vAlign w:val="center"/>
          </w:tcPr>
          <w:p w14:paraId="50811A6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10.6</w:t>
            </w:r>
          </w:p>
        </w:tc>
        <w:tc>
          <w:tcPr>
            <w:tcW w:w="547" w:type="dxa"/>
            <w:tcBorders>
              <w:tl2br w:val="nil"/>
              <w:tr2bl w:val="nil"/>
            </w:tcBorders>
            <w:noWrap w:val="0"/>
            <w:vAlign w:val="center"/>
          </w:tcPr>
          <w:p w14:paraId="3E064B4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9.1</w:t>
            </w:r>
          </w:p>
        </w:tc>
        <w:tc>
          <w:tcPr>
            <w:tcW w:w="504" w:type="dxa"/>
            <w:tcBorders>
              <w:tl2br w:val="nil"/>
              <w:tr2bl w:val="nil"/>
            </w:tcBorders>
            <w:noWrap w:val="0"/>
            <w:vAlign w:val="center"/>
          </w:tcPr>
          <w:p w14:paraId="229EBB4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w:t>
            </w:r>
          </w:p>
        </w:tc>
        <w:tc>
          <w:tcPr>
            <w:tcW w:w="583" w:type="dxa"/>
            <w:tcBorders>
              <w:tl2br w:val="nil"/>
              <w:tr2bl w:val="nil"/>
            </w:tcBorders>
            <w:noWrap w:val="0"/>
            <w:vAlign w:val="center"/>
          </w:tcPr>
          <w:p w14:paraId="0484913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w:t>
            </w:r>
          </w:p>
        </w:tc>
        <w:tc>
          <w:tcPr>
            <w:tcW w:w="504" w:type="dxa"/>
            <w:tcBorders>
              <w:tl2br w:val="nil"/>
              <w:tr2bl w:val="nil"/>
            </w:tcBorders>
            <w:noWrap w:val="0"/>
            <w:vAlign w:val="center"/>
          </w:tcPr>
          <w:p w14:paraId="5A95205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5.1</w:t>
            </w:r>
          </w:p>
        </w:tc>
        <w:tc>
          <w:tcPr>
            <w:tcW w:w="533" w:type="dxa"/>
            <w:tcBorders>
              <w:tl2br w:val="nil"/>
              <w:tr2bl w:val="nil"/>
            </w:tcBorders>
            <w:noWrap w:val="0"/>
            <w:vAlign w:val="center"/>
          </w:tcPr>
          <w:p w14:paraId="29838B30">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5.1</w:t>
            </w:r>
          </w:p>
        </w:tc>
        <w:tc>
          <w:tcPr>
            <w:tcW w:w="480" w:type="dxa"/>
            <w:tcBorders>
              <w:tl2br w:val="nil"/>
              <w:tr2bl w:val="nil"/>
            </w:tcBorders>
            <w:noWrap w:val="0"/>
            <w:vAlign w:val="center"/>
          </w:tcPr>
          <w:p w14:paraId="7500D7C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10.2</w:t>
            </w:r>
          </w:p>
        </w:tc>
      </w:tr>
      <w:tr w14:paraId="38925C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47C8CE8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10月</w:t>
            </w:r>
          </w:p>
        </w:tc>
        <w:tc>
          <w:tcPr>
            <w:tcW w:w="420" w:type="dxa"/>
            <w:tcBorders>
              <w:tl2br w:val="nil"/>
              <w:tr2bl w:val="nil"/>
            </w:tcBorders>
            <w:noWrap w:val="0"/>
            <w:vAlign w:val="center"/>
          </w:tcPr>
          <w:p w14:paraId="7F97B99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3.5</w:t>
            </w:r>
          </w:p>
        </w:tc>
        <w:tc>
          <w:tcPr>
            <w:tcW w:w="571" w:type="dxa"/>
            <w:tcBorders>
              <w:tl2br w:val="nil"/>
              <w:tr2bl w:val="nil"/>
            </w:tcBorders>
            <w:noWrap w:val="0"/>
            <w:vAlign w:val="center"/>
          </w:tcPr>
          <w:p w14:paraId="3318B6B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2.2</w:t>
            </w:r>
          </w:p>
        </w:tc>
        <w:tc>
          <w:tcPr>
            <w:tcW w:w="396" w:type="dxa"/>
            <w:tcBorders>
              <w:tl2br w:val="nil"/>
              <w:tr2bl w:val="nil"/>
            </w:tcBorders>
            <w:noWrap w:val="0"/>
            <w:vAlign w:val="center"/>
          </w:tcPr>
          <w:p w14:paraId="2874EEB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w:t>
            </w:r>
          </w:p>
        </w:tc>
        <w:tc>
          <w:tcPr>
            <w:tcW w:w="513" w:type="dxa"/>
            <w:tcBorders>
              <w:tl2br w:val="nil"/>
              <w:tr2bl w:val="nil"/>
            </w:tcBorders>
            <w:noWrap w:val="0"/>
            <w:vAlign w:val="center"/>
          </w:tcPr>
          <w:p w14:paraId="53CE39E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1.7</w:t>
            </w:r>
          </w:p>
        </w:tc>
        <w:tc>
          <w:tcPr>
            <w:tcW w:w="393" w:type="dxa"/>
            <w:tcBorders>
              <w:tl2br w:val="nil"/>
              <w:tr2bl w:val="nil"/>
            </w:tcBorders>
            <w:noWrap w:val="0"/>
            <w:vAlign w:val="center"/>
          </w:tcPr>
          <w:p w14:paraId="2FA80D4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w:t>
            </w:r>
          </w:p>
        </w:tc>
        <w:tc>
          <w:tcPr>
            <w:tcW w:w="401" w:type="dxa"/>
            <w:tcBorders>
              <w:tl2br w:val="nil"/>
              <w:tr2bl w:val="nil"/>
            </w:tcBorders>
            <w:noWrap w:val="0"/>
            <w:vAlign w:val="center"/>
          </w:tcPr>
          <w:p w14:paraId="78FF328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1.4</w:t>
            </w:r>
          </w:p>
        </w:tc>
        <w:tc>
          <w:tcPr>
            <w:tcW w:w="396" w:type="dxa"/>
            <w:tcBorders>
              <w:tl2br w:val="nil"/>
              <w:tr2bl w:val="nil"/>
            </w:tcBorders>
            <w:noWrap w:val="0"/>
            <w:vAlign w:val="center"/>
          </w:tcPr>
          <w:p w14:paraId="1032C47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w:t>
            </w:r>
          </w:p>
        </w:tc>
        <w:tc>
          <w:tcPr>
            <w:tcW w:w="396" w:type="dxa"/>
            <w:tcBorders>
              <w:tl2br w:val="nil"/>
              <w:tr2bl w:val="nil"/>
            </w:tcBorders>
            <w:noWrap w:val="0"/>
            <w:vAlign w:val="center"/>
          </w:tcPr>
          <w:p w14:paraId="0009A6D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2.9</w:t>
            </w:r>
          </w:p>
        </w:tc>
        <w:tc>
          <w:tcPr>
            <w:tcW w:w="393" w:type="dxa"/>
            <w:tcBorders>
              <w:tl2br w:val="nil"/>
              <w:tr2bl w:val="nil"/>
            </w:tcBorders>
            <w:noWrap w:val="0"/>
            <w:vAlign w:val="center"/>
          </w:tcPr>
          <w:p w14:paraId="240E344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5.2</w:t>
            </w:r>
          </w:p>
        </w:tc>
        <w:tc>
          <w:tcPr>
            <w:tcW w:w="460" w:type="dxa"/>
            <w:tcBorders>
              <w:tl2br w:val="nil"/>
              <w:tr2bl w:val="nil"/>
            </w:tcBorders>
            <w:noWrap w:val="0"/>
            <w:vAlign w:val="center"/>
          </w:tcPr>
          <w:p w14:paraId="715BAE2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7.6</w:t>
            </w:r>
          </w:p>
        </w:tc>
        <w:tc>
          <w:tcPr>
            <w:tcW w:w="396" w:type="dxa"/>
            <w:tcBorders>
              <w:tl2br w:val="nil"/>
              <w:tr2bl w:val="nil"/>
            </w:tcBorders>
            <w:noWrap w:val="0"/>
            <w:vAlign w:val="center"/>
          </w:tcPr>
          <w:p w14:paraId="7E3CF5A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11.3</w:t>
            </w:r>
          </w:p>
        </w:tc>
        <w:tc>
          <w:tcPr>
            <w:tcW w:w="547" w:type="dxa"/>
            <w:tcBorders>
              <w:tl2br w:val="nil"/>
              <w:tr2bl w:val="nil"/>
            </w:tcBorders>
            <w:noWrap w:val="0"/>
            <w:vAlign w:val="center"/>
          </w:tcPr>
          <w:p w14:paraId="29F9567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9.9</w:t>
            </w:r>
          </w:p>
        </w:tc>
        <w:tc>
          <w:tcPr>
            <w:tcW w:w="504" w:type="dxa"/>
            <w:tcBorders>
              <w:tl2br w:val="nil"/>
              <w:tr2bl w:val="nil"/>
            </w:tcBorders>
            <w:noWrap w:val="0"/>
            <w:vAlign w:val="center"/>
          </w:tcPr>
          <w:p w14:paraId="49FB4C9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14.1</w:t>
            </w:r>
          </w:p>
        </w:tc>
        <w:tc>
          <w:tcPr>
            <w:tcW w:w="583" w:type="dxa"/>
            <w:tcBorders>
              <w:tl2br w:val="nil"/>
              <w:tr2bl w:val="nil"/>
            </w:tcBorders>
            <w:noWrap w:val="0"/>
            <w:vAlign w:val="center"/>
          </w:tcPr>
          <w:p w14:paraId="1375674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13.5</w:t>
            </w:r>
          </w:p>
        </w:tc>
        <w:tc>
          <w:tcPr>
            <w:tcW w:w="504" w:type="dxa"/>
            <w:tcBorders>
              <w:tl2br w:val="nil"/>
              <w:tr2bl w:val="nil"/>
            </w:tcBorders>
            <w:noWrap w:val="0"/>
            <w:vAlign w:val="center"/>
          </w:tcPr>
          <w:p w14:paraId="746DEC3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7.7</w:t>
            </w:r>
          </w:p>
        </w:tc>
        <w:tc>
          <w:tcPr>
            <w:tcW w:w="533" w:type="dxa"/>
            <w:tcBorders>
              <w:tl2br w:val="nil"/>
              <w:tr2bl w:val="nil"/>
            </w:tcBorders>
            <w:noWrap w:val="0"/>
            <w:vAlign w:val="center"/>
          </w:tcPr>
          <w:p w14:paraId="288D4A0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5.2</w:t>
            </w:r>
          </w:p>
        </w:tc>
        <w:tc>
          <w:tcPr>
            <w:tcW w:w="480" w:type="dxa"/>
            <w:tcBorders>
              <w:tl2br w:val="nil"/>
              <w:tr2bl w:val="nil"/>
            </w:tcBorders>
            <w:noWrap w:val="0"/>
            <w:vAlign w:val="center"/>
          </w:tcPr>
          <w:p w14:paraId="38A67D9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w:t>
            </w:r>
          </w:p>
        </w:tc>
      </w:tr>
      <w:tr w14:paraId="03BEA9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7BC60AA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11月</w:t>
            </w:r>
          </w:p>
        </w:tc>
        <w:tc>
          <w:tcPr>
            <w:tcW w:w="420" w:type="dxa"/>
            <w:tcBorders>
              <w:tl2br w:val="nil"/>
              <w:tr2bl w:val="nil"/>
            </w:tcBorders>
            <w:noWrap w:val="0"/>
            <w:vAlign w:val="center"/>
          </w:tcPr>
          <w:p w14:paraId="1014790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2.1</w:t>
            </w:r>
          </w:p>
        </w:tc>
        <w:tc>
          <w:tcPr>
            <w:tcW w:w="571" w:type="dxa"/>
            <w:tcBorders>
              <w:tl2br w:val="nil"/>
              <w:tr2bl w:val="nil"/>
            </w:tcBorders>
            <w:noWrap w:val="0"/>
            <w:vAlign w:val="center"/>
          </w:tcPr>
          <w:p w14:paraId="6FACE71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1.3</w:t>
            </w:r>
          </w:p>
        </w:tc>
        <w:tc>
          <w:tcPr>
            <w:tcW w:w="396" w:type="dxa"/>
            <w:tcBorders>
              <w:tl2br w:val="nil"/>
              <w:tr2bl w:val="nil"/>
            </w:tcBorders>
            <w:noWrap w:val="0"/>
            <w:vAlign w:val="center"/>
          </w:tcPr>
          <w:p w14:paraId="21E16E8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1.5</w:t>
            </w:r>
          </w:p>
        </w:tc>
        <w:tc>
          <w:tcPr>
            <w:tcW w:w="513" w:type="dxa"/>
            <w:tcBorders>
              <w:tl2br w:val="nil"/>
              <w:tr2bl w:val="nil"/>
            </w:tcBorders>
            <w:noWrap w:val="0"/>
            <w:vAlign w:val="center"/>
          </w:tcPr>
          <w:p w14:paraId="4C3E2A2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1.6</w:t>
            </w:r>
          </w:p>
        </w:tc>
        <w:tc>
          <w:tcPr>
            <w:tcW w:w="393" w:type="dxa"/>
            <w:tcBorders>
              <w:tl2br w:val="nil"/>
              <w:tr2bl w:val="nil"/>
            </w:tcBorders>
            <w:noWrap w:val="0"/>
            <w:vAlign w:val="center"/>
          </w:tcPr>
          <w:p w14:paraId="0C63462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1.6</w:t>
            </w:r>
          </w:p>
        </w:tc>
        <w:tc>
          <w:tcPr>
            <w:tcW w:w="401" w:type="dxa"/>
            <w:tcBorders>
              <w:tl2br w:val="nil"/>
              <w:tr2bl w:val="nil"/>
            </w:tcBorders>
            <w:noWrap w:val="0"/>
            <w:vAlign w:val="center"/>
          </w:tcPr>
          <w:p w14:paraId="5968A97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1.1</w:t>
            </w:r>
          </w:p>
        </w:tc>
        <w:tc>
          <w:tcPr>
            <w:tcW w:w="396" w:type="dxa"/>
            <w:tcBorders>
              <w:tl2br w:val="nil"/>
              <w:tr2bl w:val="nil"/>
            </w:tcBorders>
            <w:noWrap w:val="0"/>
            <w:vAlign w:val="center"/>
          </w:tcPr>
          <w:p w14:paraId="5C55EE5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1.9</w:t>
            </w:r>
          </w:p>
        </w:tc>
        <w:tc>
          <w:tcPr>
            <w:tcW w:w="396" w:type="dxa"/>
            <w:tcBorders>
              <w:tl2br w:val="nil"/>
              <w:tr2bl w:val="nil"/>
            </w:tcBorders>
            <w:noWrap w:val="0"/>
            <w:vAlign w:val="center"/>
          </w:tcPr>
          <w:p w14:paraId="4F4D84D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3.2</w:t>
            </w:r>
          </w:p>
        </w:tc>
        <w:tc>
          <w:tcPr>
            <w:tcW w:w="393" w:type="dxa"/>
            <w:tcBorders>
              <w:tl2br w:val="nil"/>
              <w:tr2bl w:val="nil"/>
            </w:tcBorders>
            <w:noWrap w:val="0"/>
            <w:vAlign w:val="center"/>
          </w:tcPr>
          <w:p w14:paraId="7BD6DFA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4.5</w:t>
            </w:r>
          </w:p>
        </w:tc>
        <w:tc>
          <w:tcPr>
            <w:tcW w:w="460" w:type="dxa"/>
            <w:tcBorders>
              <w:tl2br w:val="nil"/>
              <w:tr2bl w:val="nil"/>
            </w:tcBorders>
            <w:noWrap w:val="0"/>
            <w:vAlign w:val="center"/>
          </w:tcPr>
          <w:p w14:paraId="707F93A8">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7.1</w:t>
            </w:r>
          </w:p>
        </w:tc>
        <w:tc>
          <w:tcPr>
            <w:tcW w:w="396" w:type="dxa"/>
            <w:tcBorders>
              <w:tl2br w:val="nil"/>
              <w:tr2bl w:val="nil"/>
            </w:tcBorders>
            <w:noWrap w:val="0"/>
            <w:vAlign w:val="center"/>
          </w:tcPr>
          <w:p w14:paraId="02ADDAA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10.5</w:t>
            </w:r>
          </w:p>
        </w:tc>
        <w:tc>
          <w:tcPr>
            <w:tcW w:w="547" w:type="dxa"/>
            <w:tcBorders>
              <w:tl2br w:val="nil"/>
              <w:tr2bl w:val="nil"/>
            </w:tcBorders>
            <w:noWrap w:val="0"/>
            <w:vAlign w:val="center"/>
          </w:tcPr>
          <w:p w14:paraId="6BC14E3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11.6</w:t>
            </w:r>
          </w:p>
        </w:tc>
        <w:tc>
          <w:tcPr>
            <w:tcW w:w="504" w:type="dxa"/>
            <w:tcBorders>
              <w:tl2br w:val="nil"/>
              <w:tr2bl w:val="nil"/>
            </w:tcBorders>
            <w:noWrap w:val="0"/>
            <w:vAlign w:val="center"/>
          </w:tcPr>
          <w:p w14:paraId="7DFD2DD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18.8</w:t>
            </w:r>
          </w:p>
        </w:tc>
        <w:tc>
          <w:tcPr>
            <w:tcW w:w="583" w:type="dxa"/>
            <w:tcBorders>
              <w:tl2br w:val="nil"/>
              <w:tr2bl w:val="nil"/>
            </w:tcBorders>
            <w:noWrap w:val="0"/>
            <w:vAlign w:val="center"/>
          </w:tcPr>
          <w:p w14:paraId="0C66D75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16.7</w:t>
            </w:r>
          </w:p>
        </w:tc>
        <w:tc>
          <w:tcPr>
            <w:tcW w:w="504" w:type="dxa"/>
            <w:tcBorders>
              <w:tl2br w:val="nil"/>
              <w:tr2bl w:val="nil"/>
            </w:tcBorders>
            <w:noWrap w:val="0"/>
            <w:vAlign w:val="center"/>
          </w:tcPr>
          <w:p w14:paraId="673E227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6</w:t>
            </w:r>
          </w:p>
        </w:tc>
        <w:tc>
          <w:tcPr>
            <w:tcW w:w="533" w:type="dxa"/>
            <w:tcBorders>
              <w:tl2br w:val="nil"/>
              <w:tr2bl w:val="nil"/>
            </w:tcBorders>
            <w:noWrap w:val="0"/>
            <w:vAlign w:val="center"/>
          </w:tcPr>
          <w:p w14:paraId="35CECD5C">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3.2</w:t>
            </w:r>
          </w:p>
        </w:tc>
        <w:tc>
          <w:tcPr>
            <w:tcW w:w="480" w:type="dxa"/>
            <w:tcBorders>
              <w:tl2br w:val="nil"/>
              <w:tr2bl w:val="nil"/>
            </w:tcBorders>
            <w:noWrap w:val="0"/>
            <w:vAlign w:val="center"/>
          </w:tcPr>
          <w:p w14:paraId="1E1BE0A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8.1</w:t>
            </w:r>
          </w:p>
        </w:tc>
      </w:tr>
      <w:tr w14:paraId="2E5F5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4" w:type="dxa"/>
            <w:tcBorders>
              <w:tl2br w:val="nil"/>
              <w:tr2bl w:val="nil"/>
            </w:tcBorders>
            <w:noWrap w:val="0"/>
            <w:vAlign w:val="center"/>
          </w:tcPr>
          <w:p w14:paraId="731AF19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12月</w:t>
            </w:r>
          </w:p>
        </w:tc>
        <w:tc>
          <w:tcPr>
            <w:tcW w:w="420" w:type="dxa"/>
            <w:tcBorders>
              <w:tl2br w:val="nil"/>
              <w:tr2bl w:val="nil"/>
            </w:tcBorders>
            <w:noWrap w:val="0"/>
            <w:vAlign w:val="center"/>
          </w:tcPr>
          <w:p w14:paraId="276371B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1.5</w:t>
            </w:r>
          </w:p>
        </w:tc>
        <w:tc>
          <w:tcPr>
            <w:tcW w:w="571" w:type="dxa"/>
            <w:tcBorders>
              <w:tl2br w:val="nil"/>
              <w:tr2bl w:val="nil"/>
            </w:tcBorders>
            <w:noWrap w:val="0"/>
            <w:vAlign w:val="center"/>
          </w:tcPr>
          <w:p w14:paraId="2615021F">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1.5</w:t>
            </w:r>
          </w:p>
        </w:tc>
        <w:tc>
          <w:tcPr>
            <w:tcW w:w="396" w:type="dxa"/>
            <w:tcBorders>
              <w:tl2br w:val="nil"/>
              <w:tr2bl w:val="nil"/>
            </w:tcBorders>
            <w:noWrap w:val="0"/>
            <w:vAlign w:val="center"/>
          </w:tcPr>
          <w:p w14:paraId="30A6FB3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2.2</w:t>
            </w:r>
          </w:p>
        </w:tc>
        <w:tc>
          <w:tcPr>
            <w:tcW w:w="513" w:type="dxa"/>
            <w:tcBorders>
              <w:tl2br w:val="nil"/>
              <w:tr2bl w:val="nil"/>
            </w:tcBorders>
            <w:noWrap w:val="0"/>
            <w:vAlign w:val="center"/>
          </w:tcPr>
          <w:p w14:paraId="6E71A33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2.5</w:t>
            </w:r>
          </w:p>
        </w:tc>
        <w:tc>
          <w:tcPr>
            <w:tcW w:w="393" w:type="dxa"/>
            <w:tcBorders>
              <w:tl2br w:val="nil"/>
              <w:tr2bl w:val="nil"/>
            </w:tcBorders>
            <w:noWrap w:val="0"/>
            <w:vAlign w:val="center"/>
          </w:tcPr>
          <w:p w14:paraId="5CE3680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w:t>
            </w:r>
          </w:p>
        </w:tc>
        <w:tc>
          <w:tcPr>
            <w:tcW w:w="401" w:type="dxa"/>
            <w:tcBorders>
              <w:tl2br w:val="nil"/>
              <w:tr2bl w:val="nil"/>
            </w:tcBorders>
            <w:noWrap w:val="0"/>
            <w:vAlign w:val="center"/>
          </w:tcPr>
          <w:p w14:paraId="5EB14DE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1.1</w:t>
            </w:r>
          </w:p>
        </w:tc>
        <w:tc>
          <w:tcPr>
            <w:tcW w:w="396" w:type="dxa"/>
            <w:tcBorders>
              <w:tl2br w:val="nil"/>
              <w:tr2bl w:val="nil"/>
            </w:tcBorders>
            <w:noWrap w:val="0"/>
            <w:vAlign w:val="center"/>
          </w:tcPr>
          <w:p w14:paraId="45754422">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0.9</w:t>
            </w:r>
          </w:p>
        </w:tc>
        <w:tc>
          <w:tcPr>
            <w:tcW w:w="396" w:type="dxa"/>
            <w:tcBorders>
              <w:tl2br w:val="nil"/>
              <w:tr2bl w:val="nil"/>
            </w:tcBorders>
            <w:noWrap w:val="0"/>
            <w:vAlign w:val="center"/>
          </w:tcPr>
          <w:p w14:paraId="4B1891E5">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1.7</w:t>
            </w:r>
          </w:p>
        </w:tc>
        <w:tc>
          <w:tcPr>
            <w:tcW w:w="393" w:type="dxa"/>
            <w:tcBorders>
              <w:tl2br w:val="nil"/>
              <w:tr2bl w:val="nil"/>
            </w:tcBorders>
            <w:noWrap w:val="0"/>
            <w:vAlign w:val="center"/>
          </w:tcPr>
          <w:p w14:paraId="38B08E54">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3.4</w:t>
            </w:r>
          </w:p>
        </w:tc>
        <w:tc>
          <w:tcPr>
            <w:tcW w:w="460" w:type="dxa"/>
            <w:tcBorders>
              <w:tl2br w:val="nil"/>
              <w:tr2bl w:val="nil"/>
            </w:tcBorders>
            <w:noWrap w:val="0"/>
            <w:vAlign w:val="center"/>
          </w:tcPr>
          <w:p w14:paraId="7B3111F9">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5.8</w:t>
            </w:r>
          </w:p>
        </w:tc>
        <w:tc>
          <w:tcPr>
            <w:tcW w:w="396" w:type="dxa"/>
            <w:tcBorders>
              <w:tl2br w:val="nil"/>
              <w:tr2bl w:val="nil"/>
            </w:tcBorders>
            <w:noWrap w:val="0"/>
            <w:vAlign w:val="center"/>
          </w:tcPr>
          <w:p w14:paraId="32A3A397">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7.5</w:t>
            </w:r>
          </w:p>
        </w:tc>
        <w:tc>
          <w:tcPr>
            <w:tcW w:w="547" w:type="dxa"/>
            <w:tcBorders>
              <w:tl2br w:val="nil"/>
              <w:tr2bl w:val="nil"/>
            </w:tcBorders>
            <w:noWrap w:val="0"/>
            <w:vAlign w:val="center"/>
          </w:tcPr>
          <w:p w14:paraId="49EE4E6E">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10.2</w:t>
            </w:r>
          </w:p>
        </w:tc>
        <w:tc>
          <w:tcPr>
            <w:tcW w:w="504" w:type="dxa"/>
            <w:tcBorders>
              <w:tl2br w:val="nil"/>
              <w:tr2bl w:val="nil"/>
            </w:tcBorders>
            <w:noWrap w:val="0"/>
            <w:vAlign w:val="center"/>
          </w:tcPr>
          <w:p w14:paraId="5719E6EA">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21.9</w:t>
            </w:r>
          </w:p>
        </w:tc>
        <w:tc>
          <w:tcPr>
            <w:tcW w:w="583" w:type="dxa"/>
            <w:tcBorders>
              <w:tl2br w:val="nil"/>
              <w:tr2bl w:val="nil"/>
            </w:tcBorders>
            <w:noWrap w:val="0"/>
            <w:vAlign w:val="center"/>
          </w:tcPr>
          <w:p w14:paraId="2EE8CA83">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21.5</w:t>
            </w:r>
          </w:p>
        </w:tc>
        <w:tc>
          <w:tcPr>
            <w:tcW w:w="504" w:type="dxa"/>
            <w:tcBorders>
              <w:tl2br w:val="nil"/>
              <w:tr2bl w:val="nil"/>
            </w:tcBorders>
            <w:noWrap w:val="0"/>
            <w:vAlign w:val="center"/>
          </w:tcPr>
          <w:p w14:paraId="6F28E51D">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5.2</w:t>
            </w:r>
          </w:p>
        </w:tc>
        <w:tc>
          <w:tcPr>
            <w:tcW w:w="533" w:type="dxa"/>
            <w:tcBorders>
              <w:tl2br w:val="nil"/>
              <w:tr2bl w:val="nil"/>
            </w:tcBorders>
            <w:noWrap w:val="0"/>
            <w:vAlign w:val="center"/>
          </w:tcPr>
          <w:p w14:paraId="3455EE31">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1.9</w:t>
            </w:r>
          </w:p>
        </w:tc>
        <w:tc>
          <w:tcPr>
            <w:tcW w:w="480" w:type="dxa"/>
            <w:tcBorders>
              <w:tl2br w:val="nil"/>
              <w:tr2bl w:val="nil"/>
            </w:tcBorders>
            <w:noWrap w:val="0"/>
            <w:vAlign w:val="center"/>
          </w:tcPr>
          <w:p w14:paraId="0112D96B">
            <w:pPr>
              <w:pStyle w:val="189"/>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18"/>
                <w:szCs w:val="18"/>
                <w:highlight w:val="none"/>
              </w:rPr>
            </w:pPr>
            <w:r>
              <w:rPr>
                <w:rFonts w:hint="eastAsia"/>
                <w:color w:val="auto"/>
                <w:sz w:val="18"/>
                <w:szCs w:val="18"/>
                <w:highlight w:val="none"/>
              </w:rPr>
              <w:t>9.3</w:t>
            </w:r>
          </w:p>
        </w:tc>
      </w:tr>
    </w:tbl>
    <w:p w14:paraId="16684050">
      <w:pPr>
        <w:pStyle w:val="2"/>
        <w:rPr>
          <w:color w:val="auto"/>
          <w:highlight w:val="none"/>
        </w:rPr>
      </w:pPr>
    </w:p>
    <w:p w14:paraId="366B54A3">
      <w:pPr>
        <w:rPr>
          <w:color w:val="auto"/>
          <w:highlight w:val="none"/>
        </w:rPr>
        <w:sectPr>
          <w:pgSz w:w="11912" w:h="16841"/>
          <w:pgMar w:top="1440" w:right="1800" w:bottom="1440" w:left="1800" w:header="863" w:footer="1009" w:gutter="0"/>
          <w:pgBorders>
            <w:top w:val="none" w:sz="0" w:space="0"/>
            <w:left w:val="none" w:sz="0" w:space="0"/>
            <w:bottom w:val="none" w:sz="0" w:space="0"/>
            <w:right w:val="none" w:sz="0" w:space="0"/>
          </w:pgBorders>
          <w:pgNumType w:fmt="decimal"/>
          <w:cols w:space="720" w:num="1"/>
        </w:sectPr>
      </w:pPr>
    </w:p>
    <w:p w14:paraId="6430459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p>
    <w:p w14:paraId="1E572D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sectPr>
          <w:pgSz w:w="11912" w:h="16841"/>
          <w:pgMar w:top="1195" w:right="1387" w:bottom="1170" w:left="1390" w:header="863" w:footer="1009" w:gutter="0"/>
          <w:pgBorders>
            <w:top w:val="none" w:sz="0" w:space="0"/>
            <w:left w:val="none" w:sz="0" w:space="0"/>
            <w:bottom w:val="none" w:sz="0" w:space="0"/>
            <w:right w:val="none" w:sz="0" w:space="0"/>
          </w:pgBorders>
          <w:pgNumType w:fmt="decimal"/>
          <w:cols w:space="720" w:num="1"/>
        </w:sectPr>
      </w:pPr>
    </w:p>
    <w:p w14:paraId="5A469D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69"/>
          <w:highlight w:val="none"/>
        </w:rPr>
        <w:drawing>
          <wp:inline distT="0" distB="0" distL="114300" distR="114300">
            <wp:extent cx="2520315" cy="2215515"/>
            <wp:effectExtent l="0" t="0" r="13335" b="13335"/>
            <wp:docPr id="22" name="IM 284"/>
            <wp:cNvGraphicFramePr/>
            <a:graphic xmlns:a="http://schemas.openxmlformats.org/drawingml/2006/main">
              <a:graphicData uri="http://schemas.openxmlformats.org/drawingml/2006/picture">
                <pic:pic xmlns:pic="http://schemas.openxmlformats.org/drawingml/2006/picture">
                  <pic:nvPicPr>
                    <pic:cNvPr id="22" name="IM 284"/>
                    <pic:cNvPicPr/>
                  </pic:nvPicPr>
                  <pic:blipFill>
                    <a:blip r:embed="rId68"/>
                    <a:stretch>
                      <a:fillRect/>
                    </a:stretch>
                  </pic:blipFill>
                  <pic:spPr>
                    <a:xfrm>
                      <a:off x="0" y="0"/>
                      <a:ext cx="2520315" cy="2215515"/>
                    </a:xfrm>
                    <a:prstGeom prst="rect">
                      <a:avLst/>
                    </a:prstGeom>
                    <a:noFill/>
                    <a:ln>
                      <a:noFill/>
                    </a:ln>
                  </pic:spPr>
                </pic:pic>
              </a:graphicData>
            </a:graphic>
          </wp:inline>
        </w:drawing>
      </w:r>
    </w:p>
    <w:p w14:paraId="3BEB1E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6"/>
          <w:sz w:val="22"/>
          <w:szCs w:val="22"/>
          <w:highlight w:val="none"/>
        </w:rPr>
        <w:t>1</w:t>
      </w:r>
      <w:r>
        <w:rPr>
          <w:rFonts w:ascii="宋体" w:hAnsi="宋体" w:eastAsia="宋体" w:cs="宋体"/>
          <w:color w:val="auto"/>
          <w:spacing w:val="-6"/>
          <w:sz w:val="22"/>
          <w:szCs w:val="22"/>
          <w:highlight w:val="none"/>
        </w:rPr>
        <w:t>月静风</w:t>
      </w:r>
      <w:r>
        <w:rPr>
          <w:rFonts w:ascii="Times New Roman" w:hAnsi="Times New Roman" w:eastAsia="Times New Roman" w:cs="Times New Roman"/>
          <w:color w:val="auto"/>
          <w:spacing w:val="-6"/>
          <w:sz w:val="22"/>
          <w:szCs w:val="22"/>
          <w:highlight w:val="none"/>
        </w:rPr>
        <w:t>11.3%</w:t>
      </w:r>
    </w:p>
    <w:p w14:paraId="2DB0FDF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69"/>
          <w:highlight w:val="none"/>
        </w:rPr>
        <w:drawing>
          <wp:inline distT="0" distB="0" distL="114300" distR="114300">
            <wp:extent cx="2520315" cy="2201545"/>
            <wp:effectExtent l="0" t="0" r="13335" b="8255"/>
            <wp:docPr id="23" name="IM 286"/>
            <wp:cNvGraphicFramePr/>
            <a:graphic xmlns:a="http://schemas.openxmlformats.org/drawingml/2006/main">
              <a:graphicData uri="http://schemas.openxmlformats.org/drawingml/2006/picture">
                <pic:pic xmlns:pic="http://schemas.openxmlformats.org/drawingml/2006/picture">
                  <pic:nvPicPr>
                    <pic:cNvPr id="23" name="IM 286"/>
                    <pic:cNvPicPr/>
                  </pic:nvPicPr>
                  <pic:blipFill>
                    <a:blip r:embed="rId69"/>
                    <a:stretch>
                      <a:fillRect/>
                    </a:stretch>
                  </pic:blipFill>
                  <pic:spPr>
                    <a:xfrm>
                      <a:off x="0" y="0"/>
                      <a:ext cx="2520315" cy="2201545"/>
                    </a:xfrm>
                    <a:prstGeom prst="rect">
                      <a:avLst/>
                    </a:prstGeom>
                    <a:noFill/>
                    <a:ln>
                      <a:noFill/>
                    </a:ln>
                  </pic:spPr>
                </pic:pic>
              </a:graphicData>
            </a:graphic>
          </wp:inline>
        </w:drawing>
      </w:r>
    </w:p>
    <w:p w14:paraId="5C3A3BD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3"/>
          <w:sz w:val="22"/>
          <w:szCs w:val="22"/>
          <w:highlight w:val="none"/>
        </w:rPr>
        <w:t>3</w:t>
      </w:r>
      <w:r>
        <w:rPr>
          <w:rFonts w:ascii="宋体" w:hAnsi="宋体" w:eastAsia="宋体" w:cs="宋体"/>
          <w:color w:val="auto"/>
          <w:spacing w:val="-3"/>
          <w:sz w:val="22"/>
          <w:szCs w:val="22"/>
          <w:highlight w:val="none"/>
        </w:rPr>
        <w:t>月静风</w:t>
      </w:r>
      <w:r>
        <w:rPr>
          <w:rFonts w:ascii="宋体" w:hAnsi="宋体" w:eastAsia="宋体" w:cs="宋体"/>
          <w:color w:val="auto"/>
          <w:spacing w:val="-46"/>
          <w:sz w:val="22"/>
          <w:szCs w:val="22"/>
          <w:highlight w:val="none"/>
        </w:rPr>
        <w:t xml:space="preserve"> </w:t>
      </w:r>
      <w:r>
        <w:rPr>
          <w:rFonts w:ascii="Times New Roman" w:hAnsi="Times New Roman" w:eastAsia="Times New Roman" w:cs="Times New Roman"/>
          <w:color w:val="auto"/>
          <w:spacing w:val="-3"/>
          <w:sz w:val="22"/>
          <w:szCs w:val="22"/>
          <w:highlight w:val="none"/>
        </w:rPr>
        <w:t>6.3%</w:t>
      </w:r>
    </w:p>
    <w:p w14:paraId="191FEBB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69"/>
          <w:highlight w:val="none"/>
        </w:rPr>
        <w:drawing>
          <wp:inline distT="0" distB="0" distL="114300" distR="114300">
            <wp:extent cx="2520315" cy="2199005"/>
            <wp:effectExtent l="0" t="0" r="13335" b="10795"/>
            <wp:docPr id="24" name="IM 288"/>
            <wp:cNvGraphicFramePr/>
            <a:graphic xmlns:a="http://schemas.openxmlformats.org/drawingml/2006/main">
              <a:graphicData uri="http://schemas.openxmlformats.org/drawingml/2006/picture">
                <pic:pic xmlns:pic="http://schemas.openxmlformats.org/drawingml/2006/picture">
                  <pic:nvPicPr>
                    <pic:cNvPr id="24" name="IM 288"/>
                    <pic:cNvPicPr/>
                  </pic:nvPicPr>
                  <pic:blipFill>
                    <a:blip r:embed="rId70"/>
                    <a:stretch>
                      <a:fillRect/>
                    </a:stretch>
                  </pic:blipFill>
                  <pic:spPr>
                    <a:xfrm>
                      <a:off x="0" y="0"/>
                      <a:ext cx="2520315" cy="2199005"/>
                    </a:xfrm>
                    <a:prstGeom prst="rect">
                      <a:avLst/>
                    </a:prstGeom>
                    <a:noFill/>
                    <a:ln>
                      <a:noFill/>
                    </a:ln>
                  </pic:spPr>
                </pic:pic>
              </a:graphicData>
            </a:graphic>
          </wp:inline>
        </w:drawing>
      </w:r>
    </w:p>
    <w:p w14:paraId="4EDD3B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3"/>
          <w:sz w:val="22"/>
          <w:szCs w:val="22"/>
          <w:highlight w:val="none"/>
        </w:rPr>
        <w:t>5</w:t>
      </w:r>
      <w:r>
        <w:rPr>
          <w:rFonts w:ascii="宋体" w:hAnsi="宋体" w:eastAsia="宋体" w:cs="宋体"/>
          <w:color w:val="auto"/>
          <w:spacing w:val="-3"/>
          <w:sz w:val="22"/>
          <w:szCs w:val="22"/>
          <w:highlight w:val="none"/>
        </w:rPr>
        <w:t>月静风</w:t>
      </w:r>
      <w:r>
        <w:rPr>
          <w:rFonts w:ascii="宋体" w:hAnsi="宋体" w:eastAsia="宋体" w:cs="宋体"/>
          <w:color w:val="auto"/>
          <w:spacing w:val="-47"/>
          <w:sz w:val="22"/>
          <w:szCs w:val="22"/>
          <w:highlight w:val="none"/>
        </w:rPr>
        <w:t xml:space="preserve"> </w:t>
      </w:r>
      <w:r>
        <w:rPr>
          <w:rFonts w:ascii="Times New Roman" w:hAnsi="Times New Roman" w:eastAsia="Times New Roman" w:cs="Times New Roman"/>
          <w:color w:val="auto"/>
          <w:spacing w:val="-3"/>
          <w:sz w:val="22"/>
          <w:szCs w:val="22"/>
          <w:highlight w:val="none"/>
        </w:rPr>
        <w:t>4.2%</w:t>
      </w:r>
    </w:p>
    <w:p w14:paraId="2E16D6E6">
      <w:pPr>
        <w:pStyle w:val="2"/>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color w:val="auto"/>
          <w:sz w:val="2"/>
          <w:highlight w:val="none"/>
        </w:rPr>
      </w:pPr>
      <w:r>
        <w:rPr>
          <w:color w:val="auto"/>
          <w:sz w:val="2"/>
          <w:szCs w:val="2"/>
          <w:highlight w:val="none"/>
        </w:rPr>
        <w:br w:type="column"/>
      </w:r>
    </w:p>
    <w:p w14:paraId="5F6324D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70"/>
          <w:highlight w:val="none"/>
        </w:rPr>
        <w:drawing>
          <wp:inline distT="0" distB="0" distL="114300" distR="114300">
            <wp:extent cx="2576830" cy="2242185"/>
            <wp:effectExtent l="0" t="0" r="13970" b="5715"/>
            <wp:docPr id="25" name="IM 290"/>
            <wp:cNvGraphicFramePr/>
            <a:graphic xmlns:a="http://schemas.openxmlformats.org/drawingml/2006/main">
              <a:graphicData uri="http://schemas.openxmlformats.org/drawingml/2006/picture">
                <pic:pic xmlns:pic="http://schemas.openxmlformats.org/drawingml/2006/picture">
                  <pic:nvPicPr>
                    <pic:cNvPr id="25" name="IM 290"/>
                    <pic:cNvPicPr/>
                  </pic:nvPicPr>
                  <pic:blipFill>
                    <a:blip r:embed="rId71"/>
                    <a:stretch>
                      <a:fillRect/>
                    </a:stretch>
                  </pic:blipFill>
                  <pic:spPr>
                    <a:xfrm>
                      <a:off x="0" y="0"/>
                      <a:ext cx="2576830" cy="2242185"/>
                    </a:xfrm>
                    <a:prstGeom prst="rect">
                      <a:avLst/>
                    </a:prstGeom>
                    <a:noFill/>
                    <a:ln>
                      <a:noFill/>
                    </a:ln>
                  </pic:spPr>
                </pic:pic>
              </a:graphicData>
            </a:graphic>
          </wp:inline>
        </w:drawing>
      </w:r>
    </w:p>
    <w:p w14:paraId="5470D1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3"/>
          <w:sz w:val="22"/>
          <w:szCs w:val="22"/>
          <w:highlight w:val="none"/>
        </w:rPr>
        <w:t>2</w:t>
      </w:r>
      <w:r>
        <w:rPr>
          <w:rFonts w:ascii="宋体" w:hAnsi="宋体" w:eastAsia="宋体" w:cs="宋体"/>
          <w:color w:val="auto"/>
          <w:spacing w:val="-3"/>
          <w:sz w:val="22"/>
          <w:szCs w:val="22"/>
          <w:highlight w:val="none"/>
        </w:rPr>
        <w:t>月静风</w:t>
      </w:r>
      <w:r>
        <w:rPr>
          <w:rFonts w:ascii="宋体" w:hAnsi="宋体" w:eastAsia="宋体" w:cs="宋体"/>
          <w:color w:val="auto"/>
          <w:spacing w:val="-41"/>
          <w:sz w:val="22"/>
          <w:szCs w:val="22"/>
          <w:highlight w:val="none"/>
        </w:rPr>
        <w:t xml:space="preserve"> </w:t>
      </w:r>
      <w:r>
        <w:rPr>
          <w:rFonts w:ascii="Times New Roman" w:hAnsi="Times New Roman" w:eastAsia="Times New Roman" w:cs="Times New Roman"/>
          <w:color w:val="auto"/>
          <w:spacing w:val="-3"/>
          <w:sz w:val="22"/>
          <w:szCs w:val="22"/>
          <w:highlight w:val="none"/>
        </w:rPr>
        <w:t>8.1%</w:t>
      </w:r>
    </w:p>
    <w:p w14:paraId="40C7E39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70"/>
          <w:highlight w:val="none"/>
        </w:rPr>
        <w:drawing>
          <wp:inline distT="0" distB="0" distL="114300" distR="114300">
            <wp:extent cx="2576830" cy="2250440"/>
            <wp:effectExtent l="0" t="0" r="13970" b="16510"/>
            <wp:docPr id="26" name="IM 292"/>
            <wp:cNvGraphicFramePr/>
            <a:graphic xmlns:a="http://schemas.openxmlformats.org/drawingml/2006/main">
              <a:graphicData uri="http://schemas.openxmlformats.org/drawingml/2006/picture">
                <pic:pic xmlns:pic="http://schemas.openxmlformats.org/drawingml/2006/picture">
                  <pic:nvPicPr>
                    <pic:cNvPr id="26" name="IM 292"/>
                    <pic:cNvPicPr/>
                  </pic:nvPicPr>
                  <pic:blipFill>
                    <a:blip r:embed="rId72"/>
                    <a:stretch>
                      <a:fillRect/>
                    </a:stretch>
                  </pic:blipFill>
                  <pic:spPr>
                    <a:xfrm>
                      <a:off x="0" y="0"/>
                      <a:ext cx="2576830" cy="2250440"/>
                    </a:xfrm>
                    <a:prstGeom prst="rect">
                      <a:avLst/>
                    </a:prstGeom>
                    <a:noFill/>
                    <a:ln>
                      <a:noFill/>
                    </a:ln>
                  </pic:spPr>
                </pic:pic>
              </a:graphicData>
            </a:graphic>
          </wp:inline>
        </w:drawing>
      </w:r>
    </w:p>
    <w:p w14:paraId="334CE6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2"/>
          <w:sz w:val="22"/>
          <w:szCs w:val="22"/>
          <w:highlight w:val="none"/>
        </w:rPr>
        <w:t>4</w:t>
      </w:r>
      <w:r>
        <w:rPr>
          <w:rFonts w:ascii="宋体" w:hAnsi="宋体" w:eastAsia="宋体" w:cs="宋体"/>
          <w:color w:val="auto"/>
          <w:spacing w:val="-2"/>
          <w:sz w:val="22"/>
          <w:szCs w:val="22"/>
          <w:highlight w:val="none"/>
        </w:rPr>
        <w:t>月静风</w:t>
      </w:r>
      <w:r>
        <w:rPr>
          <w:rFonts w:ascii="宋体" w:hAnsi="宋体" w:eastAsia="宋体" w:cs="宋体"/>
          <w:color w:val="auto"/>
          <w:spacing w:val="-49"/>
          <w:sz w:val="22"/>
          <w:szCs w:val="22"/>
          <w:highlight w:val="none"/>
        </w:rPr>
        <w:t xml:space="preserve"> </w:t>
      </w:r>
      <w:r>
        <w:rPr>
          <w:rFonts w:ascii="Times New Roman" w:hAnsi="Times New Roman" w:eastAsia="Times New Roman" w:cs="Times New Roman"/>
          <w:color w:val="auto"/>
          <w:spacing w:val="-2"/>
          <w:sz w:val="22"/>
          <w:szCs w:val="22"/>
          <w:highlight w:val="none"/>
        </w:rPr>
        <w:t>4.9%</w:t>
      </w:r>
    </w:p>
    <w:p w14:paraId="5D67DF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70"/>
          <w:highlight w:val="none"/>
        </w:rPr>
        <w:drawing>
          <wp:inline distT="0" distB="0" distL="114300" distR="114300">
            <wp:extent cx="2576830" cy="2250440"/>
            <wp:effectExtent l="0" t="0" r="13970" b="16510"/>
            <wp:docPr id="27" name="IM 294"/>
            <wp:cNvGraphicFramePr/>
            <a:graphic xmlns:a="http://schemas.openxmlformats.org/drawingml/2006/main">
              <a:graphicData uri="http://schemas.openxmlformats.org/drawingml/2006/picture">
                <pic:pic xmlns:pic="http://schemas.openxmlformats.org/drawingml/2006/picture">
                  <pic:nvPicPr>
                    <pic:cNvPr id="27" name="IM 294"/>
                    <pic:cNvPicPr/>
                  </pic:nvPicPr>
                  <pic:blipFill>
                    <a:blip r:embed="rId73"/>
                    <a:stretch>
                      <a:fillRect/>
                    </a:stretch>
                  </pic:blipFill>
                  <pic:spPr>
                    <a:xfrm>
                      <a:off x="0" y="0"/>
                      <a:ext cx="2576830" cy="2250440"/>
                    </a:xfrm>
                    <a:prstGeom prst="rect">
                      <a:avLst/>
                    </a:prstGeom>
                    <a:noFill/>
                    <a:ln>
                      <a:noFill/>
                    </a:ln>
                  </pic:spPr>
                </pic:pic>
              </a:graphicData>
            </a:graphic>
          </wp:inline>
        </w:drawing>
      </w:r>
    </w:p>
    <w:p w14:paraId="0386B7F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3"/>
          <w:sz w:val="22"/>
          <w:szCs w:val="22"/>
          <w:highlight w:val="none"/>
        </w:rPr>
        <w:t>6</w:t>
      </w:r>
      <w:r>
        <w:rPr>
          <w:rFonts w:ascii="宋体" w:hAnsi="宋体" w:eastAsia="宋体" w:cs="宋体"/>
          <w:color w:val="auto"/>
          <w:spacing w:val="-3"/>
          <w:sz w:val="22"/>
          <w:szCs w:val="22"/>
          <w:highlight w:val="none"/>
        </w:rPr>
        <w:t>月静风</w:t>
      </w:r>
      <w:r>
        <w:rPr>
          <w:rFonts w:ascii="宋体" w:hAnsi="宋体" w:eastAsia="宋体" w:cs="宋体"/>
          <w:color w:val="auto"/>
          <w:spacing w:val="-46"/>
          <w:sz w:val="22"/>
          <w:szCs w:val="22"/>
          <w:highlight w:val="none"/>
        </w:rPr>
        <w:t xml:space="preserve"> </w:t>
      </w:r>
      <w:r>
        <w:rPr>
          <w:rFonts w:ascii="Times New Roman" w:hAnsi="Times New Roman" w:eastAsia="Times New Roman" w:cs="Times New Roman"/>
          <w:color w:val="auto"/>
          <w:spacing w:val="-3"/>
          <w:sz w:val="22"/>
          <w:szCs w:val="22"/>
          <w:highlight w:val="none"/>
        </w:rPr>
        <w:t>6.9%</w:t>
      </w:r>
    </w:p>
    <w:p w14:paraId="7BBE41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sectPr>
          <w:type w:val="continuous"/>
          <w:pgSz w:w="11912" w:h="16841"/>
          <w:pgMar w:top="1195" w:right="1387" w:bottom="1170" w:left="1390" w:header="863" w:footer="1009" w:gutter="0"/>
          <w:pgBorders>
            <w:top w:val="none" w:sz="0" w:space="0"/>
            <w:left w:val="none" w:sz="0" w:space="0"/>
            <w:bottom w:val="none" w:sz="0" w:space="0"/>
            <w:right w:val="none" w:sz="0" w:space="0"/>
          </w:pgBorders>
          <w:pgNumType w:fmt="decimal"/>
          <w:cols w:equalWidth="0" w:num="2">
            <w:col w:w="4530" w:space="100"/>
            <w:col w:w="4505"/>
          </w:cols>
        </w:sectPr>
      </w:pPr>
    </w:p>
    <w:p w14:paraId="1469FB9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p>
    <w:p w14:paraId="141AA0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sectPr>
          <w:pgSz w:w="11912" w:h="16841"/>
          <w:pgMar w:top="1195" w:right="1387" w:bottom="1170" w:left="1390" w:header="863" w:footer="1009" w:gutter="0"/>
          <w:pgBorders>
            <w:top w:val="none" w:sz="0" w:space="0"/>
            <w:left w:val="none" w:sz="0" w:space="0"/>
            <w:bottom w:val="none" w:sz="0" w:space="0"/>
            <w:right w:val="none" w:sz="0" w:space="0"/>
          </w:pgBorders>
          <w:pgNumType w:fmt="decimal"/>
          <w:cols w:space="720" w:num="1"/>
        </w:sectPr>
      </w:pPr>
    </w:p>
    <w:p w14:paraId="552FCF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69"/>
          <w:highlight w:val="none"/>
        </w:rPr>
        <w:drawing>
          <wp:inline distT="0" distB="0" distL="114300" distR="114300">
            <wp:extent cx="2520315" cy="2214245"/>
            <wp:effectExtent l="0" t="0" r="13335" b="14605"/>
            <wp:docPr id="28" name="IM 296"/>
            <wp:cNvGraphicFramePr/>
            <a:graphic xmlns:a="http://schemas.openxmlformats.org/drawingml/2006/main">
              <a:graphicData uri="http://schemas.openxmlformats.org/drawingml/2006/picture">
                <pic:pic xmlns:pic="http://schemas.openxmlformats.org/drawingml/2006/picture">
                  <pic:nvPicPr>
                    <pic:cNvPr id="28" name="IM 296"/>
                    <pic:cNvPicPr/>
                  </pic:nvPicPr>
                  <pic:blipFill>
                    <a:blip r:embed="rId74"/>
                    <a:stretch>
                      <a:fillRect/>
                    </a:stretch>
                  </pic:blipFill>
                  <pic:spPr>
                    <a:xfrm>
                      <a:off x="0" y="0"/>
                      <a:ext cx="2520315" cy="2214245"/>
                    </a:xfrm>
                    <a:prstGeom prst="rect">
                      <a:avLst/>
                    </a:prstGeom>
                    <a:noFill/>
                    <a:ln>
                      <a:noFill/>
                    </a:ln>
                  </pic:spPr>
                </pic:pic>
              </a:graphicData>
            </a:graphic>
          </wp:inline>
        </w:drawing>
      </w:r>
    </w:p>
    <w:p w14:paraId="23B54FF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3"/>
          <w:sz w:val="22"/>
          <w:szCs w:val="22"/>
          <w:highlight w:val="none"/>
        </w:rPr>
        <w:t>7</w:t>
      </w:r>
      <w:r>
        <w:rPr>
          <w:rFonts w:ascii="宋体" w:hAnsi="宋体" w:eastAsia="宋体" w:cs="宋体"/>
          <w:color w:val="auto"/>
          <w:spacing w:val="-3"/>
          <w:sz w:val="22"/>
          <w:szCs w:val="22"/>
          <w:highlight w:val="none"/>
        </w:rPr>
        <w:t>月静风</w:t>
      </w:r>
      <w:r>
        <w:rPr>
          <w:rFonts w:ascii="宋体" w:hAnsi="宋体" w:eastAsia="宋体" w:cs="宋体"/>
          <w:color w:val="auto"/>
          <w:spacing w:val="-45"/>
          <w:sz w:val="22"/>
          <w:szCs w:val="22"/>
          <w:highlight w:val="none"/>
        </w:rPr>
        <w:t xml:space="preserve"> </w:t>
      </w:r>
      <w:r>
        <w:rPr>
          <w:rFonts w:ascii="Times New Roman" w:hAnsi="Times New Roman" w:eastAsia="Times New Roman" w:cs="Times New Roman"/>
          <w:color w:val="auto"/>
          <w:spacing w:val="-3"/>
          <w:sz w:val="22"/>
          <w:szCs w:val="22"/>
          <w:highlight w:val="none"/>
        </w:rPr>
        <w:t>9.0%</w:t>
      </w:r>
    </w:p>
    <w:p w14:paraId="47A1EA5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69"/>
          <w:highlight w:val="none"/>
        </w:rPr>
        <w:drawing>
          <wp:inline distT="0" distB="0" distL="114300" distR="114300">
            <wp:extent cx="2520315" cy="2201545"/>
            <wp:effectExtent l="0" t="0" r="13335" b="8255"/>
            <wp:docPr id="29" name="IM 298"/>
            <wp:cNvGraphicFramePr/>
            <a:graphic xmlns:a="http://schemas.openxmlformats.org/drawingml/2006/main">
              <a:graphicData uri="http://schemas.openxmlformats.org/drawingml/2006/picture">
                <pic:pic xmlns:pic="http://schemas.openxmlformats.org/drawingml/2006/picture">
                  <pic:nvPicPr>
                    <pic:cNvPr id="29" name="IM 298"/>
                    <pic:cNvPicPr/>
                  </pic:nvPicPr>
                  <pic:blipFill>
                    <a:blip r:embed="rId75"/>
                    <a:stretch>
                      <a:fillRect/>
                    </a:stretch>
                  </pic:blipFill>
                  <pic:spPr>
                    <a:xfrm>
                      <a:off x="0" y="0"/>
                      <a:ext cx="2520315" cy="2201545"/>
                    </a:xfrm>
                    <a:prstGeom prst="rect">
                      <a:avLst/>
                    </a:prstGeom>
                    <a:noFill/>
                    <a:ln>
                      <a:noFill/>
                    </a:ln>
                  </pic:spPr>
                </pic:pic>
              </a:graphicData>
            </a:graphic>
          </wp:inline>
        </w:drawing>
      </w:r>
    </w:p>
    <w:p w14:paraId="22B2C2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5"/>
          <w:sz w:val="22"/>
          <w:szCs w:val="22"/>
          <w:highlight w:val="none"/>
        </w:rPr>
        <w:t>9</w:t>
      </w:r>
      <w:r>
        <w:rPr>
          <w:rFonts w:ascii="宋体" w:hAnsi="宋体" w:eastAsia="宋体" w:cs="宋体"/>
          <w:color w:val="auto"/>
          <w:spacing w:val="-5"/>
          <w:sz w:val="22"/>
          <w:szCs w:val="22"/>
          <w:highlight w:val="none"/>
        </w:rPr>
        <w:t>月静风</w:t>
      </w:r>
      <w:r>
        <w:rPr>
          <w:rFonts w:ascii="宋体" w:hAnsi="宋体" w:eastAsia="宋体" w:cs="宋体"/>
          <w:color w:val="auto"/>
          <w:spacing w:val="-22"/>
          <w:sz w:val="22"/>
          <w:szCs w:val="22"/>
          <w:highlight w:val="none"/>
        </w:rPr>
        <w:t xml:space="preserve"> </w:t>
      </w:r>
      <w:r>
        <w:rPr>
          <w:rFonts w:ascii="Times New Roman" w:hAnsi="Times New Roman" w:eastAsia="Times New Roman" w:cs="Times New Roman"/>
          <w:color w:val="auto"/>
          <w:spacing w:val="-5"/>
          <w:sz w:val="22"/>
          <w:szCs w:val="22"/>
          <w:highlight w:val="none"/>
        </w:rPr>
        <w:t>10.2%</w:t>
      </w:r>
    </w:p>
    <w:p w14:paraId="22CB14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69"/>
          <w:highlight w:val="none"/>
        </w:rPr>
        <w:drawing>
          <wp:inline distT="0" distB="0" distL="114300" distR="114300">
            <wp:extent cx="2520315" cy="2215515"/>
            <wp:effectExtent l="0" t="0" r="13335" b="13335"/>
            <wp:docPr id="31" name="IM 300"/>
            <wp:cNvGraphicFramePr/>
            <a:graphic xmlns:a="http://schemas.openxmlformats.org/drawingml/2006/main">
              <a:graphicData uri="http://schemas.openxmlformats.org/drawingml/2006/picture">
                <pic:pic xmlns:pic="http://schemas.openxmlformats.org/drawingml/2006/picture">
                  <pic:nvPicPr>
                    <pic:cNvPr id="31" name="IM 300"/>
                    <pic:cNvPicPr/>
                  </pic:nvPicPr>
                  <pic:blipFill>
                    <a:blip r:embed="rId76"/>
                    <a:stretch>
                      <a:fillRect/>
                    </a:stretch>
                  </pic:blipFill>
                  <pic:spPr>
                    <a:xfrm>
                      <a:off x="0" y="0"/>
                      <a:ext cx="2520315" cy="2215515"/>
                    </a:xfrm>
                    <a:prstGeom prst="rect">
                      <a:avLst/>
                    </a:prstGeom>
                    <a:noFill/>
                    <a:ln>
                      <a:noFill/>
                    </a:ln>
                  </pic:spPr>
                </pic:pic>
              </a:graphicData>
            </a:graphic>
          </wp:inline>
        </w:drawing>
      </w:r>
    </w:p>
    <w:p w14:paraId="55DC37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5"/>
          <w:sz w:val="22"/>
          <w:szCs w:val="22"/>
          <w:highlight w:val="none"/>
        </w:rPr>
        <w:t>11</w:t>
      </w:r>
      <w:r>
        <w:rPr>
          <w:rFonts w:ascii="宋体" w:hAnsi="宋体" w:eastAsia="宋体" w:cs="宋体"/>
          <w:color w:val="auto"/>
          <w:spacing w:val="-5"/>
          <w:sz w:val="22"/>
          <w:szCs w:val="22"/>
          <w:highlight w:val="none"/>
        </w:rPr>
        <w:t>月静风</w:t>
      </w:r>
      <w:r>
        <w:rPr>
          <w:rFonts w:ascii="宋体" w:hAnsi="宋体" w:eastAsia="宋体" w:cs="宋体"/>
          <w:color w:val="auto"/>
          <w:spacing w:val="-39"/>
          <w:sz w:val="22"/>
          <w:szCs w:val="22"/>
          <w:highlight w:val="none"/>
        </w:rPr>
        <w:t xml:space="preserve"> </w:t>
      </w:r>
      <w:r>
        <w:rPr>
          <w:rFonts w:ascii="Times New Roman" w:hAnsi="Times New Roman" w:eastAsia="Times New Roman" w:cs="Times New Roman"/>
          <w:color w:val="auto"/>
          <w:spacing w:val="-5"/>
          <w:sz w:val="22"/>
          <w:szCs w:val="22"/>
          <w:highlight w:val="none"/>
        </w:rPr>
        <w:t>8.1%</w:t>
      </w:r>
    </w:p>
    <w:p w14:paraId="67FC0EA8">
      <w:pPr>
        <w:pStyle w:val="2"/>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color w:val="auto"/>
          <w:sz w:val="2"/>
          <w:highlight w:val="none"/>
        </w:rPr>
      </w:pPr>
      <w:r>
        <w:rPr>
          <w:color w:val="auto"/>
          <w:sz w:val="2"/>
          <w:szCs w:val="2"/>
          <w:highlight w:val="none"/>
        </w:rPr>
        <w:br w:type="column"/>
      </w:r>
    </w:p>
    <w:p w14:paraId="6D7EB17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71"/>
          <w:highlight w:val="none"/>
        </w:rPr>
        <w:drawing>
          <wp:inline distT="0" distB="0" distL="114300" distR="114300">
            <wp:extent cx="2576830" cy="2258695"/>
            <wp:effectExtent l="0" t="0" r="13970" b="8255"/>
            <wp:docPr id="32" name="IM 302"/>
            <wp:cNvGraphicFramePr/>
            <a:graphic xmlns:a="http://schemas.openxmlformats.org/drawingml/2006/main">
              <a:graphicData uri="http://schemas.openxmlformats.org/drawingml/2006/picture">
                <pic:pic xmlns:pic="http://schemas.openxmlformats.org/drawingml/2006/picture">
                  <pic:nvPicPr>
                    <pic:cNvPr id="32" name="IM 302"/>
                    <pic:cNvPicPr/>
                  </pic:nvPicPr>
                  <pic:blipFill>
                    <a:blip r:embed="rId77"/>
                    <a:stretch>
                      <a:fillRect/>
                    </a:stretch>
                  </pic:blipFill>
                  <pic:spPr>
                    <a:xfrm>
                      <a:off x="0" y="0"/>
                      <a:ext cx="2576830" cy="2258695"/>
                    </a:xfrm>
                    <a:prstGeom prst="rect">
                      <a:avLst/>
                    </a:prstGeom>
                    <a:noFill/>
                    <a:ln>
                      <a:noFill/>
                    </a:ln>
                  </pic:spPr>
                </pic:pic>
              </a:graphicData>
            </a:graphic>
          </wp:inline>
        </w:drawing>
      </w:r>
    </w:p>
    <w:p w14:paraId="53F02B3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4"/>
          <w:sz w:val="22"/>
          <w:szCs w:val="22"/>
          <w:highlight w:val="none"/>
        </w:rPr>
        <w:t>8</w:t>
      </w:r>
      <w:r>
        <w:rPr>
          <w:rFonts w:ascii="宋体" w:hAnsi="宋体" w:eastAsia="宋体" w:cs="宋体"/>
          <w:color w:val="auto"/>
          <w:spacing w:val="-4"/>
          <w:sz w:val="22"/>
          <w:szCs w:val="22"/>
          <w:highlight w:val="none"/>
        </w:rPr>
        <w:t>月静风</w:t>
      </w:r>
      <w:r>
        <w:rPr>
          <w:rFonts w:ascii="宋体" w:hAnsi="宋体" w:eastAsia="宋体" w:cs="宋体"/>
          <w:color w:val="auto"/>
          <w:spacing w:val="-41"/>
          <w:sz w:val="22"/>
          <w:szCs w:val="22"/>
          <w:highlight w:val="none"/>
        </w:rPr>
        <w:t xml:space="preserve"> </w:t>
      </w:r>
      <w:r>
        <w:rPr>
          <w:rFonts w:ascii="Times New Roman" w:hAnsi="Times New Roman" w:eastAsia="Times New Roman" w:cs="Times New Roman"/>
          <w:color w:val="auto"/>
          <w:spacing w:val="-4"/>
          <w:sz w:val="22"/>
          <w:szCs w:val="22"/>
          <w:highlight w:val="none"/>
        </w:rPr>
        <w:t>8.8%</w:t>
      </w:r>
    </w:p>
    <w:p w14:paraId="577592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71"/>
          <w:highlight w:val="none"/>
        </w:rPr>
        <w:drawing>
          <wp:inline distT="0" distB="0" distL="114300" distR="114300">
            <wp:extent cx="2576830" cy="2256790"/>
            <wp:effectExtent l="0" t="0" r="13970" b="10160"/>
            <wp:docPr id="33" name="IM 304"/>
            <wp:cNvGraphicFramePr/>
            <a:graphic xmlns:a="http://schemas.openxmlformats.org/drawingml/2006/main">
              <a:graphicData uri="http://schemas.openxmlformats.org/drawingml/2006/picture">
                <pic:pic xmlns:pic="http://schemas.openxmlformats.org/drawingml/2006/picture">
                  <pic:nvPicPr>
                    <pic:cNvPr id="33" name="IM 304"/>
                    <pic:cNvPicPr/>
                  </pic:nvPicPr>
                  <pic:blipFill>
                    <a:blip r:embed="rId78"/>
                    <a:stretch>
                      <a:fillRect/>
                    </a:stretch>
                  </pic:blipFill>
                  <pic:spPr>
                    <a:xfrm>
                      <a:off x="0" y="0"/>
                      <a:ext cx="2576830" cy="2256790"/>
                    </a:xfrm>
                    <a:prstGeom prst="rect">
                      <a:avLst/>
                    </a:prstGeom>
                    <a:noFill/>
                    <a:ln>
                      <a:noFill/>
                    </a:ln>
                  </pic:spPr>
                </pic:pic>
              </a:graphicData>
            </a:graphic>
          </wp:inline>
        </w:drawing>
      </w:r>
    </w:p>
    <w:p w14:paraId="081F5A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5"/>
          <w:sz w:val="22"/>
          <w:szCs w:val="22"/>
          <w:highlight w:val="none"/>
        </w:rPr>
        <w:t>10</w:t>
      </w:r>
      <w:r>
        <w:rPr>
          <w:rFonts w:ascii="宋体" w:hAnsi="宋体" w:eastAsia="宋体" w:cs="宋体"/>
          <w:color w:val="auto"/>
          <w:spacing w:val="-5"/>
          <w:sz w:val="22"/>
          <w:szCs w:val="22"/>
          <w:highlight w:val="none"/>
        </w:rPr>
        <w:t>月静风</w:t>
      </w:r>
      <w:r>
        <w:rPr>
          <w:rFonts w:ascii="宋体" w:hAnsi="宋体" w:eastAsia="宋体" w:cs="宋体"/>
          <w:color w:val="auto"/>
          <w:spacing w:val="-39"/>
          <w:sz w:val="22"/>
          <w:szCs w:val="22"/>
          <w:highlight w:val="none"/>
        </w:rPr>
        <w:t xml:space="preserve"> </w:t>
      </w:r>
      <w:r>
        <w:rPr>
          <w:rFonts w:ascii="Times New Roman" w:hAnsi="Times New Roman" w:eastAsia="Times New Roman" w:cs="Times New Roman"/>
          <w:color w:val="auto"/>
          <w:spacing w:val="-5"/>
          <w:sz w:val="22"/>
          <w:szCs w:val="22"/>
          <w:highlight w:val="none"/>
        </w:rPr>
        <w:t>9.0%</w:t>
      </w:r>
    </w:p>
    <w:p w14:paraId="139270D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position w:val="-70"/>
          <w:highlight w:val="none"/>
        </w:rPr>
        <w:drawing>
          <wp:inline distT="0" distB="0" distL="114300" distR="114300">
            <wp:extent cx="2576830" cy="2252345"/>
            <wp:effectExtent l="0" t="0" r="13970" b="14605"/>
            <wp:docPr id="34" name="IM 306"/>
            <wp:cNvGraphicFramePr/>
            <a:graphic xmlns:a="http://schemas.openxmlformats.org/drawingml/2006/main">
              <a:graphicData uri="http://schemas.openxmlformats.org/drawingml/2006/picture">
                <pic:pic xmlns:pic="http://schemas.openxmlformats.org/drawingml/2006/picture">
                  <pic:nvPicPr>
                    <pic:cNvPr id="34" name="IM 306"/>
                    <pic:cNvPicPr/>
                  </pic:nvPicPr>
                  <pic:blipFill>
                    <a:blip r:embed="rId79"/>
                    <a:stretch>
                      <a:fillRect/>
                    </a:stretch>
                  </pic:blipFill>
                  <pic:spPr>
                    <a:xfrm>
                      <a:off x="0" y="0"/>
                      <a:ext cx="2576830" cy="2252345"/>
                    </a:xfrm>
                    <a:prstGeom prst="rect">
                      <a:avLst/>
                    </a:prstGeom>
                    <a:noFill/>
                    <a:ln>
                      <a:noFill/>
                    </a:ln>
                  </pic:spPr>
                </pic:pic>
              </a:graphicData>
            </a:graphic>
          </wp:inline>
        </w:drawing>
      </w:r>
    </w:p>
    <w:p w14:paraId="63B6B37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pPr>
      <w:r>
        <w:rPr>
          <w:rFonts w:ascii="Times New Roman" w:hAnsi="Times New Roman" w:eastAsia="Times New Roman" w:cs="Times New Roman"/>
          <w:color w:val="auto"/>
          <w:spacing w:val="-5"/>
          <w:sz w:val="22"/>
          <w:szCs w:val="22"/>
          <w:highlight w:val="none"/>
        </w:rPr>
        <w:t>12</w:t>
      </w:r>
      <w:r>
        <w:rPr>
          <w:rFonts w:ascii="宋体" w:hAnsi="宋体" w:eastAsia="宋体" w:cs="宋体"/>
          <w:color w:val="auto"/>
          <w:spacing w:val="-5"/>
          <w:sz w:val="22"/>
          <w:szCs w:val="22"/>
          <w:highlight w:val="none"/>
        </w:rPr>
        <w:t>月静风</w:t>
      </w:r>
      <w:r>
        <w:rPr>
          <w:rFonts w:ascii="宋体" w:hAnsi="宋体" w:eastAsia="宋体" w:cs="宋体"/>
          <w:color w:val="auto"/>
          <w:spacing w:val="-39"/>
          <w:sz w:val="22"/>
          <w:szCs w:val="22"/>
          <w:highlight w:val="none"/>
        </w:rPr>
        <w:t xml:space="preserve"> </w:t>
      </w:r>
      <w:r>
        <w:rPr>
          <w:rFonts w:ascii="Times New Roman" w:hAnsi="Times New Roman" w:eastAsia="Times New Roman" w:cs="Times New Roman"/>
          <w:color w:val="auto"/>
          <w:spacing w:val="-5"/>
          <w:sz w:val="22"/>
          <w:szCs w:val="22"/>
          <w:highlight w:val="none"/>
        </w:rPr>
        <w:t>9.3%</w:t>
      </w:r>
    </w:p>
    <w:p w14:paraId="16769C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color w:val="auto"/>
          <w:sz w:val="22"/>
          <w:szCs w:val="22"/>
          <w:highlight w:val="none"/>
        </w:rPr>
        <w:sectPr>
          <w:type w:val="continuous"/>
          <w:pgSz w:w="11912" w:h="16841"/>
          <w:pgMar w:top="1195" w:right="1387" w:bottom="1170" w:left="1390" w:header="863" w:footer="1009" w:gutter="0"/>
          <w:pgBorders>
            <w:top w:val="none" w:sz="0" w:space="0"/>
            <w:left w:val="none" w:sz="0" w:space="0"/>
            <w:bottom w:val="none" w:sz="0" w:space="0"/>
            <w:right w:val="none" w:sz="0" w:space="0"/>
          </w:pgBorders>
          <w:pgNumType w:fmt="decimal"/>
          <w:cols w:equalWidth="0" w:num="2">
            <w:col w:w="4530" w:space="100"/>
            <w:col w:w="4505"/>
          </w:cols>
        </w:sectPr>
      </w:pPr>
    </w:p>
    <w:p w14:paraId="0128D5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b/>
          <w:bCs/>
          <w:color w:val="auto"/>
          <w:highlight w:val="none"/>
        </w:rPr>
      </w:pPr>
    </w:p>
    <w:p w14:paraId="6F6259BF">
      <w:pPr>
        <w:ind w:left="480" w:firstLine="0" w:firstLineChars="0"/>
        <w:jc w:val="center"/>
        <w:rPr>
          <w:rFonts w:hint="eastAsia"/>
          <w:b/>
          <w:bCs/>
          <w:color w:val="auto"/>
          <w:highlight w:val="none"/>
        </w:rPr>
      </w:pPr>
      <w:r>
        <w:rPr>
          <w:rFonts w:hint="eastAsia"/>
          <w:b/>
          <w:bCs/>
          <w:color w:val="auto"/>
          <w:highlight w:val="none"/>
        </w:rPr>
        <w:t>图5.</w:t>
      </w:r>
      <w:r>
        <w:rPr>
          <w:rFonts w:hint="eastAsia"/>
          <w:b/>
          <w:bCs/>
          <w:color w:val="auto"/>
          <w:highlight w:val="none"/>
          <w:lang w:val="en-US" w:eastAsia="zh-CN"/>
        </w:rPr>
        <w:t>2</w:t>
      </w:r>
      <w:r>
        <w:rPr>
          <w:rFonts w:hint="eastAsia"/>
          <w:b/>
          <w:bCs/>
          <w:color w:val="auto"/>
          <w:highlight w:val="none"/>
        </w:rPr>
        <w:t xml:space="preserve">-4 </w:t>
      </w:r>
      <w:r>
        <w:rPr>
          <w:rFonts w:hint="eastAsia"/>
          <w:b/>
          <w:bCs/>
          <w:color w:val="auto"/>
          <w:highlight w:val="none"/>
          <w:lang w:val="en-US" w:eastAsia="zh-CN"/>
        </w:rPr>
        <w:t xml:space="preserve">   </w:t>
      </w:r>
      <w:r>
        <w:rPr>
          <w:rFonts w:hint="eastAsia"/>
          <w:b/>
          <w:bCs/>
          <w:color w:val="auto"/>
          <w:highlight w:val="none"/>
        </w:rPr>
        <w:t>多伦县月风向玫瑰图</w:t>
      </w:r>
    </w:p>
    <w:p w14:paraId="615A3038">
      <w:pPr>
        <w:pStyle w:val="181"/>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）风速年际变化特征与周期分析</w:t>
      </w:r>
    </w:p>
    <w:p w14:paraId="558EE48F">
      <w:pPr>
        <w:pStyle w:val="181"/>
        <w:ind w:firstLine="480"/>
        <w:rPr>
          <w:rFonts w:hint="eastAsia"/>
          <w:color w:val="auto"/>
          <w:highlight w:val="none"/>
          <w:lang w:eastAsia="zh-CN"/>
        </w:rPr>
      </w:pPr>
      <w:r>
        <w:rPr>
          <w:rFonts w:hint="eastAsia"/>
          <w:color w:val="auto"/>
          <w:highlight w:val="none"/>
          <w:lang w:eastAsia="zh-CN"/>
        </w:rPr>
        <w:t>根据近20年资料分析，多伦县气象站风速呈现下降趋势，2010年年平均风速最大（</w:t>
      </w:r>
      <w:r>
        <w:rPr>
          <w:rFonts w:hint="eastAsia"/>
          <w:color w:val="auto"/>
          <w:highlight w:val="none"/>
          <w:lang w:val="en-US" w:eastAsia="zh-CN"/>
        </w:rPr>
        <w:t>m/s</w:t>
      </w:r>
      <w:r>
        <w:rPr>
          <w:rFonts w:hint="eastAsia"/>
          <w:color w:val="auto"/>
          <w:highlight w:val="none"/>
          <w:lang w:eastAsia="zh-CN"/>
        </w:rPr>
        <w:t>），2020年和2022年年平均风速最小（2.4</w:t>
      </w:r>
      <w:r>
        <w:rPr>
          <w:rFonts w:hint="eastAsia"/>
          <w:color w:val="auto"/>
          <w:highlight w:val="none"/>
          <w:lang w:val="en-US" w:eastAsia="zh-CN"/>
        </w:rPr>
        <w:t>m/s</w:t>
      </w:r>
      <w:r>
        <w:rPr>
          <w:rFonts w:hint="eastAsia"/>
          <w:color w:val="auto"/>
          <w:highlight w:val="none"/>
          <w:lang w:eastAsia="zh-CN"/>
        </w:rPr>
        <w:t>），无明显周期。</w:t>
      </w:r>
    </w:p>
    <w:p w14:paraId="6F2585F2">
      <w:pPr>
        <w:spacing w:line="279" w:lineRule="auto"/>
        <w:rPr>
          <w:rFonts w:ascii="宋体" w:hAnsi="宋体" w:eastAsia="宋体" w:cs="宋体"/>
          <w:color w:val="auto"/>
          <w:sz w:val="22"/>
          <w:szCs w:val="22"/>
          <w:highlight w:val="none"/>
        </w:rPr>
        <w:sectPr>
          <w:type w:val="continuous"/>
          <w:pgSz w:w="11912" w:h="16841"/>
          <w:pgMar w:top="1195" w:right="1387" w:bottom="1170" w:left="1390" w:header="863" w:footer="1009" w:gutter="0"/>
          <w:pgBorders>
            <w:top w:val="none" w:sz="0" w:space="0"/>
            <w:left w:val="none" w:sz="0" w:space="0"/>
            <w:bottom w:val="none" w:sz="0" w:space="0"/>
            <w:right w:val="none" w:sz="0" w:space="0"/>
          </w:pgBorders>
          <w:pgNumType w:fmt="decimal"/>
          <w:cols w:space="720" w:num="1"/>
        </w:sectPr>
      </w:pPr>
    </w:p>
    <w:p w14:paraId="5A47EB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color w:val="auto"/>
          <w:position w:val="-66"/>
          <w:highlight w:val="none"/>
        </w:rPr>
        <w:drawing>
          <wp:inline distT="0" distB="0" distL="114300" distR="114300">
            <wp:extent cx="4319905" cy="2879725"/>
            <wp:effectExtent l="0" t="0" r="4445" b="15875"/>
            <wp:docPr id="35" name="IM 308"/>
            <wp:cNvGraphicFramePr/>
            <a:graphic xmlns:a="http://schemas.openxmlformats.org/drawingml/2006/main">
              <a:graphicData uri="http://schemas.openxmlformats.org/drawingml/2006/picture">
                <pic:pic xmlns:pic="http://schemas.openxmlformats.org/drawingml/2006/picture">
                  <pic:nvPicPr>
                    <pic:cNvPr id="35" name="IM 308"/>
                    <pic:cNvPicPr/>
                  </pic:nvPicPr>
                  <pic:blipFill>
                    <a:blip r:embed="rId80"/>
                    <a:stretch>
                      <a:fillRect/>
                    </a:stretch>
                  </pic:blipFill>
                  <pic:spPr>
                    <a:xfrm>
                      <a:off x="0" y="0"/>
                      <a:ext cx="4319905" cy="2879725"/>
                    </a:xfrm>
                    <a:prstGeom prst="rect">
                      <a:avLst/>
                    </a:prstGeom>
                    <a:noFill/>
                    <a:ln>
                      <a:noFill/>
                    </a:ln>
                  </pic:spPr>
                </pic:pic>
              </a:graphicData>
            </a:graphic>
          </wp:inline>
        </w:drawing>
      </w:r>
    </w:p>
    <w:p w14:paraId="67BFC137">
      <w:pPr>
        <w:ind w:left="480" w:firstLine="0" w:firstLineChars="0"/>
        <w:jc w:val="center"/>
        <w:rPr>
          <w:rFonts w:hint="eastAsia"/>
          <w:b/>
          <w:bCs/>
          <w:color w:val="auto"/>
          <w:highlight w:val="none"/>
        </w:rPr>
      </w:pPr>
      <w:r>
        <w:rPr>
          <w:rFonts w:hint="eastAsia"/>
          <w:b/>
          <w:bCs/>
          <w:color w:val="auto"/>
          <w:highlight w:val="none"/>
        </w:rPr>
        <w:t>图5.</w:t>
      </w:r>
      <w:r>
        <w:rPr>
          <w:rFonts w:hint="eastAsia"/>
          <w:b/>
          <w:bCs/>
          <w:color w:val="auto"/>
          <w:highlight w:val="none"/>
          <w:lang w:val="en-US" w:eastAsia="zh-CN"/>
        </w:rPr>
        <w:t>2</w:t>
      </w:r>
      <w:r>
        <w:rPr>
          <w:rFonts w:hint="eastAsia"/>
          <w:b/>
          <w:bCs/>
          <w:color w:val="auto"/>
          <w:highlight w:val="none"/>
        </w:rPr>
        <w:t>-5</w:t>
      </w:r>
      <w:r>
        <w:rPr>
          <w:rFonts w:hint="eastAsia"/>
          <w:b/>
          <w:bCs/>
          <w:color w:val="auto"/>
          <w:highlight w:val="none"/>
          <w:lang w:val="en-US" w:eastAsia="zh-CN"/>
        </w:rPr>
        <w:t xml:space="preserve">  </w:t>
      </w:r>
      <w:r>
        <w:rPr>
          <w:rFonts w:hint="eastAsia"/>
          <w:b/>
          <w:bCs/>
          <w:color w:val="auto"/>
          <w:highlight w:val="none"/>
        </w:rPr>
        <w:t xml:space="preserve"> 多伦县（2004-2023）年平均风速（虚线为趋势线）</w:t>
      </w:r>
    </w:p>
    <w:p w14:paraId="6D655CF3">
      <w:pPr>
        <w:pStyle w:val="6"/>
        <w:rPr>
          <w:rFonts w:hint="eastAsia"/>
          <w:color w:val="auto"/>
          <w:highlight w:val="none"/>
          <w:lang w:val="en-US" w:eastAsia="zh-CN"/>
        </w:rPr>
      </w:pPr>
      <w:r>
        <w:rPr>
          <w:rFonts w:hint="eastAsia"/>
          <w:color w:val="auto"/>
          <w:highlight w:val="none"/>
          <w:lang w:val="en-US" w:eastAsia="zh-CN"/>
        </w:rPr>
        <w:t xml:space="preserve"> 环境相对湿度分析</w:t>
      </w:r>
    </w:p>
    <w:p w14:paraId="37F05C60">
      <w:pPr>
        <w:pStyle w:val="181"/>
        <w:ind w:firstLine="480"/>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月相对湿度分析</w:t>
      </w:r>
    </w:p>
    <w:p w14:paraId="750986F9">
      <w:pPr>
        <w:pStyle w:val="181"/>
        <w:ind w:firstLine="480"/>
        <w:rPr>
          <w:rFonts w:hint="eastAsia"/>
          <w:color w:val="auto"/>
          <w:highlight w:val="none"/>
          <w:lang w:eastAsia="zh-CN"/>
        </w:rPr>
      </w:pPr>
      <w:r>
        <w:rPr>
          <w:rFonts w:hint="eastAsia"/>
          <w:color w:val="auto"/>
          <w:highlight w:val="none"/>
          <w:lang w:eastAsia="zh-CN"/>
        </w:rPr>
        <w:t>多伦县气象站7月平均相对湿度最大（68.3%），04月平均相对湿度最小（42.7%）。</w:t>
      </w:r>
    </w:p>
    <w:p w14:paraId="34FB154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color w:val="auto"/>
          <w:position w:val="-58"/>
          <w:highlight w:val="none"/>
        </w:rPr>
        <w:drawing>
          <wp:inline distT="0" distB="0" distL="114300" distR="114300">
            <wp:extent cx="4319905" cy="2879725"/>
            <wp:effectExtent l="0" t="0" r="4445" b="15875"/>
            <wp:docPr id="36" name="IM 310"/>
            <wp:cNvGraphicFramePr/>
            <a:graphic xmlns:a="http://schemas.openxmlformats.org/drawingml/2006/main">
              <a:graphicData uri="http://schemas.openxmlformats.org/drawingml/2006/picture">
                <pic:pic xmlns:pic="http://schemas.openxmlformats.org/drawingml/2006/picture">
                  <pic:nvPicPr>
                    <pic:cNvPr id="36" name="IM 310"/>
                    <pic:cNvPicPr/>
                  </pic:nvPicPr>
                  <pic:blipFill>
                    <a:blip r:embed="rId81"/>
                    <a:stretch>
                      <a:fillRect/>
                    </a:stretch>
                  </pic:blipFill>
                  <pic:spPr>
                    <a:xfrm>
                      <a:off x="0" y="0"/>
                      <a:ext cx="4319905" cy="2879725"/>
                    </a:xfrm>
                    <a:prstGeom prst="rect">
                      <a:avLst/>
                    </a:prstGeom>
                    <a:noFill/>
                    <a:ln>
                      <a:noFill/>
                    </a:ln>
                  </pic:spPr>
                </pic:pic>
              </a:graphicData>
            </a:graphic>
          </wp:inline>
        </w:drawing>
      </w:r>
    </w:p>
    <w:p w14:paraId="71545D2C">
      <w:pPr>
        <w:ind w:left="480" w:firstLine="0" w:firstLineChars="0"/>
        <w:jc w:val="center"/>
        <w:rPr>
          <w:rFonts w:hint="eastAsia"/>
          <w:b/>
          <w:bCs/>
          <w:color w:val="auto"/>
          <w:highlight w:val="none"/>
        </w:rPr>
      </w:pPr>
      <w:r>
        <w:rPr>
          <w:rFonts w:hint="eastAsia"/>
          <w:b/>
          <w:bCs/>
          <w:color w:val="auto"/>
          <w:highlight w:val="none"/>
        </w:rPr>
        <w:t>图5.</w:t>
      </w:r>
      <w:r>
        <w:rPr>
          <w:rFonts w:hint="eastAsia"/>
          <w:b/>
          <w:bCs/>
          <w:color w:val="auto"/>
          <w:highlight w:val="none"/>
          <w:lang w:val="en-US" w:eastAsia="zh-CN"/>
        </w:rPr>
        <w:t>2</w:t>
      </w:r>
      <w:r>
        <w:rPr>
          <w:rFonts w:hint="eastAsia"/>
          <w:b/>
          <w:bCs/>
          <w:color w:val="auto"/>
          <w:highlight w:val="none"/>
        </w:rPr>
        <w:t xml:space="preserve">-6 </w:t>
      </w:r>
      <w:r>
        <w:rPr>
          <w:rFonts w:hint="eastAsia"/>
          <w:b/>
          <w:bCs/>
          <w:color w:val="auto"/>
          <w:highlight w:val="none"/>
          <w:lang w:val="en-US" w:eastAsia="zh-CN"/>
        </w:rPr>
        <w:t xml:space="preserve">   </w:t>
      </w:r>
      <w:r>
        <w:rPr>
          <w:rFonts w:hint="eastAsia"/>
          <w:b/>
          <w:bCs/>
          <w:color w:val="auto"/>
          <w:highlight w:val="none"/>
        </w:rPr>
        <w:t>多伦县近20年逐月平均相对湿度（2004-2023年）</w:t>
      </w:r>
    </w:p>
    <w:p w14:paraId="312801F6">
      <w:pPr>
        <w:pStyle w:val="181"/>
        <w:ind w:firstLine="480"/>
        <w:rPr>
          <w:rFonts w:hint="eastAsia"/>
          <w:color w:val="auto"/>
          <w:highlight w:val="none"/>
          <w:lang w:val="en-US" w:eastAsia="zh-CN"/>
        </w:rPr>
      </w:pPr>
      <w:r>
        <w:rPr>
          <w:rFonts w:hint="eastAsia"/>
          <w:color w:val="auto"/>
          <w:highlight w:val="none"/>
          <w:lang w:val="en-US" w:eastAsia="zh-CN"/>
        </w:rPr>
        <w:t>（2）相对湿度年际变化趋势与周期分析</w:t>
      </w:r>
    </w:p>
    <w:p w14:paraId="10E5D8EB">
      <w:pPr>
        <w:pStyle w:val="181"/>
        <w:ind w:firstLine="480"/>
        <w:rPr>
          <w:rFonts w:hint="eastAsia"/>
          <w:color w:val="auto"/>
          <w:highlight w:val="none"/>
          <w:lang w:val="en-US" w:eastAsia="zh-CN"/>
        </w:rPr>
      </w:pPr>
      <w:r>
        <w:rPr>
          <w:rFonts w:hint="eastAsia"/>
          <w:color w:val="auto"/>
          <w:highlight w:val="none"/>
          <w:lang w:val="en-US" w:eastAsia="zh-CN"/>
        </w:rPr>
        <w:t>多伦县气象站近20年年平均相对湿度无明显变化趋势，2003年年平均相对湿度最大（65%），2009年和2018年年平均相对湿度最小（54%），无明显周期。</w:t>
      </w:r>
    </w:p>
    <w:p w14:paraId="561717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color w:val="auto"/>
          <w:position w:val="-68"/>
          <w:highlight w:val="none"/>
        </w:rPr>
        <w:drawing>
          <wp:inline distT="0" distB="0" distL="114300" distR="114300">
            <wp:extent cx="4319905" cy="2879090"/>
            <wp:effectExtent l="0" t="0" r="4445" b="16510"/>
            <wp:docPr id="37" name="IM 312"/>
            <wp:cNvGraphicFramePr/>
            <a:graphic xmlns:a="http://schemas.openxmlformats.org/drawingml/2006/main">
              <a:graphicData uri="http://schemas.openxmlformats.org/drawingml/2006/picture">
                <pic:pic xmlns:pic="http://schemas.openxmlformats.org/drawingml/2006/picture">
                  <pic:nvPicPr>
                    <pic:cNvPr id="37" name="IM 312"/>
                    <pic:cNvPicPr/>
                  </pic:nvPicPr>
                  <pic:blipFill>
                    <a:blip r:embed="rId82"/>
                    <a:stretch>
                      <a:fillRect/>
                    </a:stretch>
                  </pic:blipFill>
                  <pic:spPr>
                    <a:xfrm>
                      <a:off x="0" y="0"/>
                      <a:ext cx="4319905" cy="2879090"/>
                    </a:xfrm>
                    <a:prstGeom prst="rect">
                      <a:avLst/>
                    </a:prstGeom>
                    <a:noFill/>
                    <a:ln>
                      <a:noFill/>
                    </a:ln>
                  </pic:spPr>
                </pic:pic>
              </a:graphicData>
            </a:graphic>
          </wp:inline>
        </w:drawing>
      </w:r>
    </w:p>
    <w:p w14:paraId="78D607FD">
      <w:pPr>
        <w:ind w:left="480" w:firstLine="0" w:firstLineChars="0"/>
        <w:jc w:val="center"/>
        <w:rPr>
          <w:rFonts w:hint="eastAsia"/>
          <w:b/>
          <w:bCs/>
          <w:color w:val="auto"/>
          <w:highlight w:val="none"/>
        </w:rPr>
      </w:pPr>
      <w:r>
        <w:rPr>
          <w:rFonts w:hint="eastAsia"/>
          <w:b/>
          <w:bCs/>
          <w:color w:val="auto"/>
          <w:highlight w:val="none"/>
        </w:rPr>
        <w:t>图5.</w:t>
      </w:r>
      <w:r>
        <w:rPr>
          <w:rFonts w:hint="eastAsia"/>
          <w:b/>
          <w:bCs/>
          <w:color w:val="auto"/>
          <w:highlight w:val="none"/>
          <w:lang w:val="en-US" w:eastAsia="zh-CN"/>
        </w:rPr>
        <w:t>2</w:t>
      </w:r>
      <w:r>
        <w:rPr>
          <w:rFonts w:hint="eastAsia"/>
          <w:b/>
          <w:bCs/>
          <w:color w:val="auto"/>
          <w:highlight w:val="none"/>
        </w:rPr>
        <w:t>-7</w:t>
      </w:r>
      <w:r>
        <w:rPr>
          <w:rFonts w:hint="eastAsia"/>
          <w:b/>
          <w:bCs/>
          <w:color w:val="auto"/>
          <w:highlight w:val="none"/>
          <w:lang w:val="en-US" w:eastAsia="zh-CN"/>
        </w:rPr>
        <w:t xml:space="preserve">   </w:t>
      </w:r>
      <w:r>
        <w:rPr>
          <w:rFonts w:hint="eastAsia"/>
          <w:b/>
          <w:bCs/>
          <w:color w:val="auto"/>
          <w:highlight w:val="none"/>
        </w:rPr>
        <w:t xml:space="preserve"> 多伦县（2004-2023）年平均相对湿度（虚线为趋势线）</w:t>
      </w:r>
    </w:p>
    <w:p w14:paraId="6CE8CFB3">
      <w:pPr>
        <w:pStyle w:val="5"/>
        <w:rPr>
          <w:color w:val="auto"/>
          <w:highlight w:val="none"/>
        </w:rPr>
      </w:pPr>
      <w:bookmarkStart w:id="148" w:name="_Toc56771183"/>
      <w:r>
        <w:rPr>
          <w:rFonts w:hint="eastAsia"/>
          <w:color w:val="auto"/>
          <w:highlight w:val="none"/>
        </w:rPr>
        <w:t>大气环境影响预测与评价</w:t>
      </w:r>
      <w:bookmarkEnd w:id="148"/>
    </w:p>
    <w:p w14:paraId="13942C51">
      <w:pPr>
        <w:pStyle w:val="6"/>
        <w:rPr>
          <w:color w:val="auto"/>
          <w:highlight w:val="none"/>
        </w:rPr>
      </w:pPr>
      <w:r>
        <w:rPr>
          <w:rFonts w:hint="eastAsia"/>
          <w:color w:val="auto"/>
          <w:highlight w:val="none"/>
          <w:lang w:val="en-US" w:eastAsia="zh-CN"/>
        </w:rPr>
        <w:t xml:space="preserve"> </w:t>
      </w:r>
      <w:r>
        <w:rPr>
          <w:rFonts w:hint="eastAsia"/>
          <w:color w:val="auto"/>
          <w:highlight w:val="none"/>
        </w:rPr>
        <w:t>模型选择</w:t>
      </w:r>
    </w:p>
    <w:p w14:paraId="68AD4048">
      <w:pPr>
        <w:keepNext w:val="0"/>
        <w:keepLines w:val="0"/>
        <w:widowControl/>
        <w:suppressLineNumbers w:val="0"/>
        <w:jc w:val="left"/>
        <w:rPr>
          <w:rFonts w:hint="eastAsia"/>
          <w:color w:val="auto"/>
          <w:highlight w:val="none"/>
        </w:rPr>
      </w:pPr>
      <w:r>
        <w:rPr>
          <w:rFonts w:hint="eastAsia"/>
          <w:color w:val="auto"/>
          <w:highlight w:val="none"/>
        </w:rPr>
        <w:t>根据《环境影响评价技术导则-大气环境》（HJ2.2-2018）</w:t>
      </w:r>
      <w:r>
        <w:rPr>
          <w:rFonts w:hint="eastAsia"/>
          <w:color w:val="auto"/>
          <w:highlight w:val="none"/>
          <w:lang w:eastAsia="zh-CN"/>
        </w:rPr>
        <w:t>，</w:t>
      </w:r>
      <w:r>
        <w:rPr>
          <w:rFonts w:hint="eastAsia"/>
          <w:color w:val="auto"/>
          <w:highlight w:val="none"/>
          <w:lang w:val="en-US" w:eastAsia="zh-CN"/>
        </w:rPr>
        <w:t>本次评价</w:t>
      </w:r>
      <w:r>
        <w:rPr>
          <w:rFonts w:ascii="瀹嬩綋" w:hAnsi="瀹嬩綋" w:eastAsia="瀹嬩綋" w:cs="瀹嬩綋"/>
          <w:color w:val="auto"/>
          <w:kern w:val="0"/>
          <w:sz w:val="24"/>
          <w:szCs w:val="24"/>
          <w:highlight w:val="none"/>
          <w:lang w:val="en-US" w:eastAsia="zh-CN" w:bidi="ar"/>
        </w:rPr>
        <w:t>采用</w:t>
      </w:r>
      <w:r>
        <w:rPr>
          <w:rFonts w:hint="eastAsia" w:ascii="瀹嬩綋" w:hAnsi="瀹嬩綋" w:eastAsia="瀹嬩綋" w:cs="瀹嬩綋"/>
          <w:color w:val="auto"/>
          <w:kern w:val="0"/>
          <w:sz w:val="24"/>
          <w:szCs w:val="24"/>
          <w:highlight w:val="none"/>
          <w:lang w:val="en-US" w:eastAsia="zh-CN" w:bidi="ar"/>
        </w:rPr>
        <w:t>导则</w:t>
      </w:r>
      <w:r>
        <w:rPr>
          <w:rFonts w:ascii="瀹嬩綋" w:hAnsi="瀹嬩綋" w:eastAsia="瀹嬩綋" w:cs="瀹嬩綋"/>
          <w:color w:val="auto"/>
          <w:kern w:val="0"/>
          <w:sz w:val="24"/>
          <w:szCs w:val="24"/>
          <w:highlight w:val="none"/>
          <w:lang w:val="en-US" w:eastAsia="zh-CN" w:bidi="ar"/>
        </w:rPr>
        <w:t>推荐的</w:t>
      </w:r>
      <w:r>
        <w:rPr>
          <w:rFonts w:hint="default" w:ascii="Times New Roman" w:hAnsi="Times New Roman" w:eastAsia="宋体" w:cs="Times New Roman"/>
          <w:color w:val="auto"/>
          <w:kern w:val="0"/>
          <w:sz w:val="24"/>
          <w:szCs w:val="24"/>
          <w:highlight w:val="none"/>
          <w:lang w:val="en-US" w:eastAsia="zh-CN" w:bidi="ar"/>
        </w:rPr>
        <w:t>AERSCREEN</w:t>
      </w:r>
      <w:r>
        <w:rPr>
          <w:rFonts w:hint="default" w:ascii="瀹嬩綋" w:hAnsi="瀹嬩綋" w:eastAsia="瀹嬩綋" w:cs="瀹嬩綋"/>
          <w:color w:val="auto"/>
          <w:kern w:val="0"/>
          <w:sz w:val="24"/>
          <w:szCs w:val="24"/>
          <w:highlight w:val="none"/>
          <w:lang w:val="en-US" w:eastAsia="zh-CN" w:bidi="ar"/>
        </w:rPr>
        <w:t>估算模型对项目</w:t>
      </w:r>
      <w:r>
        <w:rPr>
          <w:rFonts w:hint="eastAsia"/>
          <w:color w:val="auto"/>
          <w:highlight w:val="none"/>
        </w:rPr>
        <w:t>大气评价等级判定，确定本项目大气环境评价等级为二级，二级评价项目不进行进一步预测与评价，只对污染物排放量进行核算。</w:t>
      </w:r>
    </w:p>
    <w:p w14:paraId="2DBBAAFA">
      <w:pPr>
        <w:pStyle w:val="6"/>
        <w:rPr>
          <w:color w:val="auto"/>
          <w:highlight w:val="none"/>
        </w:rPr>
      </w:pPr>
      <w:r>
        <w:rPr>
          <w:rFonts w:hint="eastAsia"/>
          <w:color w:val="auto"/>
          <w:highlight w:val="none"/>
          <w:lang w:val="en-US" w:eastAsia="zh-CN"/>
        </w:rPr>
        <w:t xml:space="preserve"> </w:t>
      </w:r>
      <w:r>
        <w:rPr>
          <w:rFonts w:hint="eastAsia"/>
          <w:color w:val="auto"/>
          <w:highlight w:val="none"/>
        </w:rPr>
        <w:t>预测</w:t>
      </w:r>
      <w:r>
        <w:rPr>
          <w:rFonts w:hint="eastAsia"/>
          <w:color w:val="auto"/>
          <w:highlight w:val="none"/>
          <w:lang w:val="en-US" w:eastAsia="zh-CN"/>
        </w:rPr>
        <w:t>评价</w:t>
      </w:r>
      <w:r>
        <w:rPr>
          <w:rFonts w:hint="eastAsia"/>
          <w:color w:val="auto"/>
          <w:highlight w:val="none"/>
        </w:rPr>
        <w:t>因子</w:t>
      </w:r>
    </w:p>
    <w:p w14:paraId="4849EC34">
      <w:pPr>
        <w:ind w:firstLine="480"/>
        <w:rPr>
          <w:rFonts w:hint="eastAsia"/>
          <w:color w:val="auto"/>
          <w:highlight w:val="none"/>
        </w:rPr>
      </w:pPr>
      <w:r>
        <w:rPr>
          <w:rFonts w:hint="eastAsia"/>
          <w:color w:val="auto"/>
          <w:highlight w:val="none"/>
          <w:lang w:val="en-US" w:eastAsia="zh-CN"/>
        </w:rPr>
        <w:t>根据本项目工程分析，本项目正常排放条件下主要污染物为颗粒物，本次评价无组织面源污染物颗粒物大气预测因子为TSP，有组织点源大气预测因子为PM</w:t>
      </w:r>
      <w:r>
        <w:rPr>
          <w:rFonts w:hint="eastAsia"/>
          <w:color w:val="auto"/>
          <w:highlight w:val="none"/>
          <w:vertAlign w:val="subscript"/>
          <w:lang w:val="en-US" w:eastAsia="zh-CN"/>
        </w:rPr>
        <w:t>10</w:t>
      </w:r>
      <w:r>
        <w:rPr>
          <w:rFonts w:hint="eastAsia"/>
          <w:color w:val="auto"/>
          <w:highlight w:val="none"/>
          <w:lang w:val="en-US" w:eastAsia="zh-CN"/>
        </w:rPr>
        <w:t>。</w:t>
      </w:r>
    </w:p>
    <w:p w14:paraId="2E43E973">
      <w:pPr>
        <w:pStyle w:val="6"/>
        <w:rPr>
          <w:color w:val="auto"/>
          <w:highlight w:val="none"/>
        </w:rPr>
      </w:pPr>
      <w:r>
        <w:rPr>
          <w:rFonts w:hint="eastAsia"/>
          <w:color w:val="auto"/>
          <w:highlight w:val="none"/>
          <w:lang w:val="en-US" w:eastAsia="zh-CN"/>
        </w:rPr>
        <w:t xml:space="preserve"> </w:t>
      </w:r>
      <w:r>
        <w:rPr>
          <w:rFonts w:hint="eastAsia"/>
          <w:color w:val="auto"/>
          <w:highlight w:val="none"/>
        </w:rPr>
        <w:t>预测</w:t>
      </w:r>
      <w:r>
        <w:rPr>
          <w:rFonts w:hint="eastAsia"/>
          <w:color w:val="auto"/>
          <w:highlight w:val="none"/>
          <w:lang w:val="en-US" w:eastAsia="zh-CN"/>
        </w:rPr>
        <w:t>模型输入参数</w:t>
      </w:r>
    </w:p>
    <w:p w14:paraId="78E61C20">
      <w:pPr>
        <w:ind w:firstLine="480"/>
        <w:rPr>
          <w:color w:val="auto"/>
          <w:highlight w:val="none"/>
        </w:rPr>
      </w:pPr>
      <w:r>
        <w:rPr>
          <w:rFonts w:hint="eastAsia"/>
          <w:color w:val="auto"/>
          <w:highlight w:val="none"/>
        </w:rPr>
        <w:t>本项目地形数据采用SRTM（Shuttle Radar Topography Mission）90m分辨率地形数据。数据来源为：http://srtm.csi.cgiar.org。估算模型参数见表</w:t>
      </w:r>
      <w:r>
        <w:rPr>
          <w:rFonts w:hint="eastAsia"/>
          <w:color w:val="auto"/>
          <w:highlight w:val="none"/>
          <w:lang w:val="en-US" w:eastAsia="zh-CN"/>
        </w:rPr>
        <w:t>5.2-5</w:t>
      </w:r>
      <w:r>
        <w:rPr>
          <w:rFonts w:hint="eastAsia"/>
          <w:color w:val="auto"/>
          <w:highlight w:val="none"/>
        </w:rPr>
        <w:t>。</w:t>
      </w:r>
    </w:p>
    <w:p w14:paraId="420D4202">
      <w:pPr>
        <w:pStyle w:val="199"/>
        <w:keepNext w:val="0"/>
        <w:keepLines w:val="0"/>
        <w:pageBreakBefore/>
        <w:widowControl w:val="0"/>
        <w:kinsoku/>
        <w:wordWrap/>
        <w:overflowPunct/>
        <w:topLinePunct w:val="0"/>
        <w:autoSpaceDE/>
        <w:autoSpaceDN/>
        <w:bidi w:val="0"/>
        <w:adjustRightInd/>
        <w:snapToGrid/>
        <w:spacing w:before="120"/>
        <w:textAlignment w:val="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ascii="Times New Roman" w:hAnsi="Times New Roman" w:cs="Times New Roman"/>
          <w:color w:val="auto"/>
          <w:sz w:val="24"/>
          <w:highlight w:val="none"/>
          <w:lang w:val="en-US" w:eastAsia="zh-CN"/>
        </w:rPr>
        <w:t>5.2-5</w:t>
      </w:r>
      <w:r>
        <w:rPr>
          <w:rFonts w:hint="eastAsia" w:ascii="Times New Roman" w:hAnsi="Times New Roman" w:cs="Times New Roman"/>
          <w:color w:val="auto"/>
          <w:sz w:val="24"/>
          <w:highlight w:val="none"/>
        </w:rPr>
        <w:t xml:space="preserve">    估算模型参数表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8"/>
        <w:gridCol w:w="3221"/>
        <w:gridCol w:w="2663"/>
      </w:tblGrid>
      <w:tr w14:paraId="2FD64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421A46B4">
            <w:pPr>
              <w:pStyle w:val="245"/>
              <w:spacing w:line="240" w:lineRule="auto"/>
              <w:rPr>
                <w:color w:val="auto"/>
                <w:kern w:val="0"/>
                <w:highlight w:val="none"/>
              </w:rPr>
            </w:pPr>
            <w:r>
              <w:rPr>
                <w:color w:val="auto"/>
                <w:kern w:val="0"/>
                <w:highlight w:val="none"/>
              </w:rPr>
              <w:t>参数</w:t>
            </w:r>
          </w:p>
        </w:tc>
        <w:tc>
          <w:tcPr>
            <w:tcW w:w="1562" w:type="pct"/>
            <w:tcBorders>
              <w:tl2br w:val="nil"/>
              <w:tr2bl w:val="nil"/>
            </w:tcBorders>
            <w:noWrap w:val="0"/>
            <w:vAlign w:val="center"/>
          </w:tcPr>
          <w:p w14:paraId="174C59F4">
            <w:pPr>
              <w:pStyle w:val="245"/>
              <w:spacing w:line="240" w:lineRule="auto"/>
              <w:rPr>
                <w:color w:val="auto"/>
                <w:kern w:val="0"/>
                <w:highlight w:val="none"/>
              </w:rPr>
            </w:pPr>
            <w:r>
              <w:rPr>
                <w:color w:val="auto"/>
                <w:kern w:val="0"/>
                <w:highlight w:val="none"/>
              </w:rPr>
              <w:t>取值</w:t>
            </w:r>
          </w:p>
        </w:tc>
      </w:tr>
      <w:tr w14:paraId="142DC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restart"/>
            <w:tcBorders>
              <w:tl2br w:val="nil"/>
              <w:tr2bl w:val="nil"/>
            </w:tcBorders>
            <w:noWrap w:val="0"/>
            <w:vAlign w:val="center"/>
          </w:tcPr>
          <w:p w14:paraId="7F05B570">
            <w:pPr>
              <w:pStyle w:val="245"/>
              <w:spacing w:line="240" w:lineRule="auto"/>
              <w:rPr>
                <w:color w:val="auto"/>
                <w:kern w:val="0"/>
                <w:highlight w:val="none"/>
              </w:rPr>
            </w:pPr>
            <w:r>
              <w:rPr>
                <w:color w:val="auto"/>
                <w:kern w:val="0"/>
                <w:highlight w:val="none"/>
              </w:rPr>
              <w:t>城市/农村选项</w:t>
            </w:r>
          </w:p>
        </w:tc>
        <w:tc>
          <w:tcPr>
            <w:tcW w:w="1890" w:type="pct"/>
            <w:tcBorders>
              <w:tl2br w:val="nil"/>
              <w:tr2bl w:val="nil"/>
            </w:tcBorders>
            <w:noWrap w:val="0"/>
            <w:vAlign w:val="center"/>
          </w:tcPr>
          <w:p w14:paraId="7D8B866E">
            <w:pPr>
              <w:pStyle w:val="245"/>
              <w:spacing w:line="240" w:lineRule="auto"/>
              <w:rPr>
                <w:color w:val="auto"/>
                <w:kern w:val="0"/>
                <w:highlight w:val="none"/>
              </w:rPr>
            </w:pPr>
            <w:r>
              <w:rPr>
                <w:color w:val="auto"/>
                <w:kern w:val="0"/>
                <w:highlight w:val="none"/>
              </w:rPr>
              <w:t>城市/农村</w:t>
            </w:r>
          </w:p>
        </w:tc>
        <w:tc>
          <w:tcPr>
            <w:tcW w:w="1562" w:type="pct"/>
            <w:tcBorders>
              <w:tl2br w:val="nil"/>
              <w:tr2bl w:val="nil"/>
            </w:tcBorders>
            <w:noWrap w:val="0"/>
            <w:vAlign w:val="center"/>
          </w:tcPr>
          <w:p w14:paraId="62A3C0AC">
            <w:pPr>
              <w:pStyle w:val="245"/>
              <w:spacing w:line="240" w:lineRule="auto"/>
              <w:rPr>
                <w:color w:val="auto"/>
                <w:kern w:val="0"/>
                <w:highlight w:val="none"/>
              </w:rPr>
            </w:pPr>
            <w:r>
              <w:rPr>
                <w:rFonts w:hint="eastAsia"/>
                <w:color w:val="auto"/>
                <w:kern w:val="0"/>
                <w:highlight w:val="none"/>
              </w:rPr>
              <w:t>农村</w:t>
            </w:r>
          </w:p>
        </w:tc>
      </w:tr>
      <w:tr w14:paraId="34C07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continue"/>
            <w:tcBorders>
              <w:tl2br w:val="nil"/>
              <w:tr2bl w:val="nil"/>
            </w:tcBorders>
            <w:noWrap w:val="0"/>
            <w:vAlign w:val="center"/>
          </w:tcPr>
          <w:p w14:paraId="177A395A">
            <w:pPr>
              <w:pStyle w:val="245"/>
              <w:spacing w:line="240" w:lineRule="auto"/>
              <w:rPr>
                <w:color w:val="auto"/>
                <w:kern w:val="0"/>
                <w:highlight w:val="none"/>
              </w:rPr>
            </w:pPr>
          </w:p>
        </w:tc>
        <w:tc>
          <w:tcPr>
            <w:tcW w:w="1890" w:type="pct"/>
            <w:tcBorders>
              <w:tl2br w:val="nil"/>
              <w:tr2bl w:val="nil"/>
            </w:tcBorders>
            <w:noWrap w:val="0"/>
            <w:vAlign w:val="center"/>
          </w:tcPr>
          <w:p w14:paraId="05CBE5DF">
            <w:pPr>
              <w:pStyle w:val="245"/>
              <w:spacing w:line="240" w:lineRule="auto"/>
              <w:rPr>
                <w:color w:val="auto"/>
                <w:kern w:val="0"/>
                <w:highlight w:val="none"/>
              </w:rPr>
            </w:pPr>
            <w:r>
              <w:rPr>
                <w:color w:val="auto"/>
                <w:kern w:val="0"/>
                <w:highlight w:val="none"/>
              </w:rPr>
              <w:t>人口数（城市选型时）</w:t>
            </w:r>
          </w:p>
        </w:tc>
        <w:tc>
          <w:tcPr>
            <w:tcW w:w="1562" w:type="pct"/>
            <w:tcBorders>
              <w:tl2br w:val="nil"/>
              <w:tr2bl w:val="nil"/>
            </w:tcBorders>
            <w:noWrap w:val="0"/>
            <w:vAlign w:val="center"/>
          </w:tcPr>
          <w:p w14:paraId="099924FD">
            <w:pPr>
              <w:pStyle w:val="245"/>
              <w:spacing w:line="240" w:lineRule="auto"/>
              <w:rPr>
                <w:color w:val="auto"/>
                <w:kern w:val="0"/>
                <w:highlight w:val="none"/>
              </w:rPr>
            </w:pPr>
            <w:r>
              <w:rPr>
                <w:rFonts w:hint="eastAsia"/>
                <w:color w:val="auto"/>
                <w:kern w:val="0"/>
                <w:highlight w:val="none"/>
              </w:rPr>
              <w:t>/</w:t>
            </w:r>
          </w:p>
        </w:tc>
      </w:tr>
      <w:tr w14:paraId="4B6D8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6AE54224">
            <w:pPr>
              <w:pStyle w:val="245"/>
              <w:spacing w:line="240" w:lineRule="auto"/>
              <w:rPr>
                <w:color w:val="auto"/>
                <w:kern w:val="0"/>
                <w:highlight w:val="none"/>
              </w:rPr>
            </w:pPr>
            <w:r>
              <w:rPr>
                <w:color w:val="auto"/>
                <w:kern w:val="0"/>
                <w:highlight w:val="none"/>
              </w:rPr>
              <w:t>最高环境温度/</w:t>
            </w:r>
            <w:r>
              <w:rPr>
                <w:rFonts w:hint="eastAsia" w:ascii="宋体" w:hAnsi="宋体" w:cs="宋体"/>
                <w:color w:val="auto"/>
                <w:kern w:val="0"/>
                <w:highlight w:val="none"/>
              </w:rPr>
              <w:t>℃</w:t>
            </w:r>
          </w:p>
        </w:tc>
        <w:tc>
          <w:tcPr>
            <w:tcW w:w="1562" w:type="pct"/>
            <w:tcBorders>
              <w:tl2br w:val="nil"/>
              <w:tr2bl w:val="nil"/>
            </w:tcBorders>
            <w:noWrap w:val="0"/>
            <w:vAlign w:val="center"/>
          </w:tcPr>
          <w:p w14:paraId="74AC608D">
            <w:pPr>
              <w:pStyle w:val="245"/>
              <w:spacing w:line="240" w:lineRule="auto"/>
              <w:rPr>
                <w:rFonts w:hint="default" w:eastAsia="宋体"/>
                <w:color w:val="auto"/>
                <w:highlight w:val="none"/>
                <w:lang w:val="en-US" w:eastAsia="zh-CN"/>
              </w:rPr>
            </w:pPr>
            <w:r>
              <w:rPr>
                <w:rFonts w:hint="eastAsia"/>
                <w:color w:val="auto"/>
                <w:highlight w:val="none"/>
                <w:lang w:val="en-US" w:eastAsia="zh-CN"/>
              </w:rPr>
              <w:t>36.8</w:t>
            </w:r>
          </w:p>
        </w:tc>
      </w:tr>
      <w:tr w14:paraId="56AF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1018BC29">
            <w:pPr>
              <w:pStyle w:val="245"/>
              <w:spacing w:line="240" w:lineRule="auto"/>
              <w:rPr>
                <w:color w:val="auto"/>
                <w:kern w:val="0"/>
                <w:highlight w:val="none"/>
              </w:rPr>
            </w:pPr>
            <w:r>
              <w:rPr>
                <w:color w:val="auto"/>
                <w:kern w:val="0"/>
                <w:highlight w:val="none"/>
              </w:rPr>
              <w:t>最低环境温度/</w:t>
            </w:r>
            <w:r>
              <w:rPr>
                <w:rFonts w:hint="eastAsia" w:ascii="宋体" w:hAnsi="宋体" w:cs="宋体"/>
                <w:color w:val="auto"/>
                <w:kern w:val="0"/>
                <w:highlight w:val="none"/>
              </w:rPr>
              <w:t xml:space="preserve">℃   </w:t>
            </w:r>
          </w:p>
        </w:tc>
        <w:tc>
          <w:tcPr>
            <w:tcW w:w="1562" w:type="pct"/>
            <w:tcBorders>
              <w:tl2br w:val="nil"/>
              <w:tr2bl w:val="nil"/>
            </w:tcBorders>
            <w:noWrap w:val="0"/>
            <w:vAlign w:val="center"/>
          </w:tcPr>
          <w:p w14:paraId="3D62ACDA">
            <w:pPr>
              <w:pStyle w:val="245"/>
              <w:spacing w:line="240" w:lineRule="auto"/>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38.4</w:t>
            </w:r>
          </w:p>
        </w:tc>
      </w:tr>
      <w:tr w14:paraId="29DA1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5A0837A6">
            <w:pPr>
              <w:pStyle w:val="245"/>
              <w:spacing w:line="240" w:lineRule="auto"/>
              <w:rPr>
                <w:color w:val="auto"/>
                <w:kern w:val="0"/>
                <w:highlight w:val="none"/>
              </w:rPr>
            </w:pPr>
            <w:r>
              <w:rPr>
                <w:color w:val="auto"/>
                <w:kern w:val="0"/>
                <w:highlight w:val="none"/>
              </w:rPr>
              <w:t>土地利用类型</w:t>
            </w:r>
          </w:p>
        </w:tc>
        <w:tc>
          <w:tcPr>
            <w:tcW w:w="1562" w:type="pct"/>
            <w:tcBorders>
              <w:tl2br w:val="nil"/>
              <w:tr2bl w:val="nil"/>
            </w:tcBorders>
            <w:noWrap w:val="0"/>
            <w:vAlign w:val="center"/>
          </w:tcPr>
          <w:p w14:paraId="5AA962CE">
            <w:pPr>
              <w:pStyle w:val="245"/>
              <w:spacing w:line="240" w:lineRule="auto"/>
              <w:rPr>
                <w:rFonts w:hint="eastAsia" w:eastAsia="宋体"/>
                <w:color w:val="auto"/>
                <w:kern w:val="0"/>
                <w:highlight w:val="none"/>
                <w:lang w:eastAsia="zh-CN"/>
              </w:rPr>
            </w:pPr>
            <w:r>
              <w:rPr>
                <w:rFonts w:hint="eastAsia"/>
                <w:color w:val="auto"/>
                <w:kern w:val="0"/>
                <w:highlight w:val="none"/>
                <w:lang w:val="en-US" w:eastAsia="zh-CN"/>
              </w:rPr>
              <w:t>草地</w:t>
            </w:r>
          </w:p>
        </w:tc>
      </w:tr>
      <w:tr w14:paraId="45AC2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8" w:type="pct"/>
            <w:gridSpan w:val="2"/>
            <w:tcBorders>
              <w:tl2br w:val="nil"/>
              <w:tr2bl w:val="nil"/>
            </w:tcBorders>
            <w:noWrap w:val="0"/>
            <w:vAlign w:val="center"/>
          </w:tcPr>
          <w:p w14:paraId="0B9391A4">
            <w:pPr>
              <w:pStyle w:val="245"/>
              <w:spacing w:line="240" w:lineRule="auto"/>
              <w:rPr>
                <w:color w:val="auto"/>
                <w:kern w:val="0"/>
                <w:highlight w:val="none"/>
              </w:rPr>
            </w:pPr>
            <w:r>
              <w:rPr>
                <w:color w:val="auto"/>
                <w:kern w:val="0"/>
                <w:highlight w:val="none"/>
              </w:rPr>
              <w:t>区域湿度条件</w:t>
            </w:r>
          </w:p>
        </w:tc>
        <w:tc>
          <w:tcPr>
            <w:tcW w:w="1562" w:type="pct"/>
            <w:tcBorders>
              <w:tl2br w:val="nil"/>
              <w:tr2bl w:val="nil"/>
            </w:tcBorders>
            <w:noWrap w:val="0"/>
            <w:vAlign w:val="center"/>
          </w:tcPr>
          <w:p w14:paraId="4320CB23">
            <w:pPr>
              <w:pStyle w:val="245"/>
              <w:spacing w:line="240" w:lineRule="auto"/>
              <w:rPr>
                <w:rFonts w:hint="default" w:eastAsia="宋体"/>
                <w:color w:val="auto"/>
                <w:kern w:val="0"/>
                <w:highlight w:val="none"/>
                <w:lang w:val="en-US" w:eastAsia="zh-CN"/>
              </w:rPr>
            </w:pPr>
            <w:r>
              <w:rPr>
                <w:rFonts w:hint="eastAsia"/>
                <w:color w:val="auto"/>
                <w:kern w:val="0"/>
                <w:highlight w:val="none"/>
                <w:lang w:val="en-US" w:eastAsia="zh-CN"/>
              </w:rPr>
              <w:t>中等湿度</w:t>
            </w:r>
          </w:p>
        </w:tc>
      </w:tr>
      <w:tr w14:paraId="43209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restart"/>
            <w:tcBorders>
              <w:tl2br w:val="nil"/>
              <w:tr2bl w:val="nil"/>
            </w:tcBorders>
            <w:noWrap w:val="0"/>
            <w:vAlign w:val="center"/>
          </w:tcPr>
          <w:p w14:paraId="648D6C14">
            <w:pPr>
              <w:pStyle w:val="245"/>
              <w:spacing w:line="240" w:lineRule="auto"/>
              <w:rPr>
                <w:color w:val="auto"/>
                <w:kern w:val="0"/>
                <w:highlight w:val="none"/>
              </w:rPr>
            </w:pPr>
            <w:r>
              <w:rPr>
                <w:color w:val="auto"/>
                <w:kern w:val="0"/>
                <w:highlight w:val="none"/>
              </w:rPr>
              <w:t>是否考虑地形</w:t>
            </w:r>
          </w:p>
        </w:tc>
        <w:tc>
          <w:tcPr>
            <w:tcW w:w="1890" w:type="pct"/>
            <w:tcBorders>
              <w:tl2br w:val="nil"/>
              <w:tr2bl w:val="nil"/>
            </w:tcBorders>
            <w:noWrap w:val="0"/>
            <w:vAlign w:val="center"/>
          </w:tcPr>
          <w:p w14:paraId="3955BA6C">
            <w:pPr>
              <w:pStyle w:val="245"/>
              <w:spacing w:line="240" w:lineRule="auto"/>
              <w:rPr>
                <w:color w:val="auto"/>
                <w:kern w:val="0"/>
                <w:highlight w:val="none"/>
              </w:rPr>
            </w:pPr>
            <w:r>
              <w:rPr>
                <w:color w:val="auto"/>
                <w:kern w:val="0"/>
                <w:highlight w:val="none"/>
              </w:rPr>
              <w:t>考虑地形</w:t>
            </w:r>
          </w:p>
        </w:tc>
        <w:tc>
          <w:tcPr>
            <w:tcW w:w="1562" w:type="pct"/>
            <w:tcBorders>
              <w:tl2br w:val="nil"/>
              <w:tr2bl w:val="nil"/>
            </w:tcBorders>
            <w:noWrap w:val="0"/>
            <w:vAlign w:val="center"/>
          </w:tcPr>
          <w:p w14:paraId="3A59BDC5">
            <w:pPr>
              <w:pStyle w:val="245"/>
              <w:spacing w:line="240" w:lineRule="auto"/>
              <w:rPr>
                <w:color w:val="auto"/>
                <w:kern w:val="0"/>
                <w:highlight w:val="none"/>
              </w:rPr>
            </w:pPr>
            <w:r>
              <w:rPr>
                <w:color w:val="auto"/>
                <w:kern w:val="0"/>
                <w:highlight w:val="none"/>
              </w:rPr>
              <w:sym w:font="Wingdings 2" w:char="0052"/>
            </w:r>
            <w:r>
              <w:rPr>
                <w:color w:val="auto"/>
                <w:kern w:val="0"/>
                <w:highlight w:val="none"/>
              </w:rPr>
              <w:t>是   □否</w:t>
            </w:r>
          </w:p>
        </w:tc>
      </w:tr>
      <w:tr w14:paraId="4CB33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continue"/>
            <w:tcBorders>
              <w:tl2br w:val="nil"/>
              <w:tr2bl w:val="nil"/>
            </w:tcBorders>
            <w:noWrap w:val="0"/>
            <w:vAlign w:val="center"/>
          </w:tcPr>
          <w:p w14:paraId="6A5CAC63">
            <w:pPr>
              <w:pStyle w:val="245"/>
              <w:spacing w:line="240" w:lineRule="auto"/>
              <w:rPr>
                <w:color w:val="auto"/>
                <w:kern w:val="0"/>
                <w:highlight w:val="none"/>
              </w:rPr>
            </w:pPr>
          </w:p>
        </w:tc>
        <w:tc>
          <w:tcPr>
            <w:tcW w:w="1890" w:type="pct"/>
            <w:tcBorders>
              <w:tl2br w:val="nil"/>
              <w:tr2bl w:val="nil"/>
            </w:tcBorders>
            <w:noWrap w:val="0"/>
            <w:vAlign w:val="center"/>
          </w:tcPr>
          <w:p w14:paraId="747AA96F">
            <w:pPr>
              <w:pStyle w:val="245"/>
              <w:spacing w:line="240" w:lineRule="auto"/>
              <w:rPr>
                <w:color w:val="auto"/>
                <w:kern w:val="0"/>
                <w:highlight w:val="none"/>
              </w:rPr>
            </w:pPr>
            <w:r>
              <w:rPr>
                <w:color w:val="auto"/>
                <w:kern w:val="0"/>
                <w:highlight w:val="none"/>
              </w:rPr>
              <w:t>地形数据分辨率/m</w:t>
            </w:r>
          </w:p>
        </w:tc>
        <w:tc>
          <w:tcPr>
            <w:tcW w:w="1562" w:type="pct"/>
            <w:tcBorders>
              <w:tl2br w:val="nil"/>
              <w:tr2bl w:val="nil"/>
            </w:tcBorders>
            <w:noWrap w:val="0"/>
            <w:vAlign w:val="center"/>
          </w:tcPr>
          <w:p w14:paraId="01DF1345">
            <w:pPr>
              <w:pStyle w:val="245"/>
              <w:spacing w:line="240" w:lineRule="auto"/>
              <w:rPr>
                <w:color w:val="auto"/>
                <w:kern w:val="0"/>
                <w:highlight w:val="none"/>
              </w:rPr>
            </w:pPr>
            <w:r>
              <w:rPr>
                <w:rFonts w:hint="eastAsia"/>
                <w:color w:val="auto"/>
                <w:kern w:val="0"/>
                <w:highlight w:val="none"/>
              </w:rPr>
              <w:t>90m</w:t>
            </w:r>
          </w:p>
        </w:tc>
      </w:tr>
      <w:tr w14:paraId="0BFAD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restart"/>
            <w:tcBorders>
              <w:tl2br w:val="nil"/>
              <w:tr2bl w:val="nil"/>
            </w:tcBorders>
            <w:noWrap w:val="0"/>
            <w:vAlign w:val="center"/>
          </w:tcPr>
          <w:p w14:paraId="0852CCF9">
            <w:pPr>
              <w:pStyle w:val="245"/>
              <w:spacing w:line="240" w:lineRule="auto"/>
              <w:rPr>
                <w:color w:val="auto"/>
                <w:kern w:val="0"/>
                <w:highlight w:val="none"/>
              </w:rPr>
            </w:pPr>
            <w:r>
              <w:rPr>
                <w:color w:val="auto"/>
                <w:kern w:val="0"/>
                <w:highlight w:val="none"/>
              </w:rPr>
              <w:t>是否考虑岸线熏烟</w:t>
            </w:r>
          </w:p>
        </w:tc>
        <w:tc>
          <w:tcPr>
            <w:tcW w:w="1890" w:type="pct"/>
            <w:tcBorders>
              <w:tl2br w:val="nil"/>
              <w:tr2bl w:val="nil"/>
            </w:tcBorders>
            <w:noWrap w:val="0"/>
            <w:vAlign w:val="center"/>
          </w:tcPr>
          <w:p w14:paraId="20ABC62A">
            <w:pPr>
              <w:pStyle w:val="245"/>
              <w:spacing w:line="240" w:lineRule="auto"/>
              <w:rPr>
                <w:color w:val="auto"/>
                <w:kern w:val="0"/>
                <w:highlight w:val="none"/>
              </w:rPr>
            </w:pPr>
            <w:r>
              <w:rPr>
                <w:color w:val="auto"/>
                <w:kern w:val="0"/>
                <w:highlight w:val="none"/>
              </w:rPr>
              <w:t>考虑岸线熏烟</w:t>
            </w:r>
          </w:p>
        </w:tc>
        <w:tc>
          <w:tcPr>
            <w:tcW w:w="1562" w:type="pct"/>
            <w:tcBorders>
              <w:tl2br w:val="nil"/>
              <w:tr2bl w:val="nil"/>
            </w:tcBorders>
            <w:noWrap w:val="0"/>
            <w:vAlign w:val="center"/>
          </w:tcPr>
          <w:p w14:paraId="41182E6D">
            <w:pPr>
              <w:pStyle w:val="245"/>
              <w:spacing w:line="240" w:lineRule="auto"/>
              <w:rPr>
                <w:color w:val="auto"/>
                <w:kern w:val="0"/>
                <w:highlight w:val="none"/>
              </w:rPr>
            </w:pPr>
            <w:r>
              <w:rPr>
                <w:color w:val="auto"/>
                <w:kern w:val="0"/>
                <w:highlight w:val="none"/>
              </w:rPr>
              <w:t xml:space="preserve">□是   </w:t>
            </w:r>
            <w:r>
              <w:rPr>
                <w:color w:val="auto"/>
                <w:kern w:val="0"/>
                <w:highlight w:val="none"/>
              </w:rPr>
              <w:sym w:font="Wingdings 2" w:char="0052"/>
            </w:r>
            <w:r>
              <w:rPr>
                <w:color w:val="auto"/>
                <w:kern w:val="0"/>
                <w:highlight w:val="none"/>
              </w:rPr>
              <w:t>否</w:t>
            </w:r>
          </w:p>
        </w:tc>
      </w:tr>
      <w:tr w14:paraId="1326B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continue"/>
            <w:tcBorders>
              <w:tl2br w:val="nil"/>
              <w:tr2bl w:val="nil"/>
            </w:tcBorders>
            <w:noWrap w:val="0"/>
            <w:vAlign w:val="center"/>
          </w:tcPr>
          <w:p w14:paraId="43B3A42E">
            <w:pPr>
              <w:pStyle w:val="245"/>
              <w:spacing w:line="240" w:lineRule="auto"/>
              <w:rPr>
                <w:color w:val="auto"/>
                <w:kern w:val="0"/>
                <w:highlight w:val="none"/>
              </w:rPr>
            </w:pPr>
          </w:p>
        </w:tc>
        <w:tc>
          <w:tcPr>
            <w:tcW w:w="1890" w:type="pct"/>
            <w:tcBorders>
              <w:tl2br w:val="nil"/>
              <w:tr2bl w:val="nil"/>
            </w:tcBorders>
            <w:noWrap w:val="0"/>
            <w:vAlign w:val="center"/>
          </w:tcPr>
          <w:p w14:paraId="3184212B">
            <w:pPr>
              <w:pStyle w:val="245"/>
              <w:spacing w:line="240" w:lineRule="auto"/>
              <w:rPr>
                <w:color w:val="auto"/>
                <w:kern w:val="0"/>
                <w:highlight w:val="none"/>
              </w:rPr>
            </w:pPr>
            <w:r>
              <w:rPr>
                <w:color w:val="auto"/>
                <w:kern w:val="0"/>
                <w:highlight w:val="none"/>
              </w:rPr>
              <w:t>岸线距离/km</w:t>
            </w:r>
          </w:p>
        </w:tc>
        <w:tc>
          <w:tcPr>
            <w:tcW w:w="1562" w:type="pct"/>
            <w:tcBorders>
              <w:tl2br w:val="nil"/>
              <w:tr2bl w:val="nil"/>
            </w:tcBorders>
            <w:noWrap w:val="0"/>
            <w:vAlign w:val="center"/>
          </w:tcPr>
          <w:p w14:paraId="6603D719">
            <w:pPr>
              <w:pStyle w:val="245"/>
              <w:spacing w:line="240" w:lineRule="auto"/>
              <w:rPr>
                <w:color w:val="auto"/>
                <w:kern w:val="0"/>
                <w:highlight w:val="none"/>
              </w:rPr>
            </w:pPr>
            <w:r>
              <w:rPr>
                <w:rFonts w:hint="eastAsia"/>
                <w:color w:val="auto"/>
                <w:kern w:val="0"/>
                <w:highlight w:val="none"/>
              </w:rPr>
              <w:t>/</w:t>
            </w:r>
          </w:p>
        </w:tc>
      </w:tr>
      <w:tr w14:paraId="19E1C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8" w:type="pct"/>
            <w:vMerge w:val="continue"/>
            <w:tcBorders>
              <w:tl2br w:val="nil"/>
              <w:tr2bl w:val="nil"/>
            </w:tcBorders>
            <w:noWrap w:val="0"/>
            <w:vAlign w:val="center"/>
          </w:tcPr>
          <w:p w14:paraId="512446E7">
            <w:pPr>
              <w:pStyle w:val="245"/>
              <w:spacing w:line="240" w:lineRule="auto"/>
              <w:rPr>
                <w:color w:val="auto"/>
                <w:kern w:val="0"/>
                <w:highlight w:val="none"/>
              </w:rPr>
            </w:pPr>
          </w:p>
        </w:tc>
        <w:tc>
          <w:tcPr>
            <w:tcW w:w="1890" w:type="pct"/>
            <w:tcBorders>
              <w:tl2br w:val="nil"/>
              <w:tr2bl w:val="nil"/>
            </w:tcBorders>
            <w:noWrap w:val="0"/>
            <w:vAlign w:val="center"/>
          </w:tcPr>
          <w:p w14:paraId="234E58EC">
            <w:pPr>
              <w:pStyle w:val="245"/>
              <w:spacing w:line="240" w:lineRule="auto"/>
              <w:rPr>
                <w:color w:val="auto"/>
                <w:kern w:val="0"/>
                <w:highlight w:val="none"/>
              </w:rPr>
            </w:pPr>
            <w:r>
              <w:rPr>
                <w:color w:val="auto"/>
                <w:kern w:val="0"/>
                <w:highlight w:val="none"/>
              </w:rPr>
              <w:t>岸线方向/°</w:t>
            </w:r>
          </w:p>
        </w:tc>
        <w:tc>
          <w:tcPr>
            <w:tcW w:w="1562" w:type="pct"/>
            <w:tcBorders>
              <w:tl2br w:val="nil"/>
              <w:tr2bl w:val="nil"/>
            </w:tcBorders>
            <w:noWrap w:val="0"/>
            <w:vAlign w:val="center"/>
          </w:tcPr>
          <w:p w14:paraId="15D38098">
            <w:pPr>
              <w:pStyle w:val="245"/>
              <w:spacing w:line="240" w:lineRule="auto"/>
              <w:rPr>
                <w:color w:val="auto"/>
                <w:kern w:val="0"/>
                <w:highlight w:val="none"/>
              </w:rPr>
            </w:pPr>
            <w:r>
              <w:rPr>
                <w:rFonts w:hint="eastAsia"/>
                <w:color w:val="auto"/>
                <w:kern w:val="0"/>
                <w:highlight w:val="none"/>
              </w:rPr>
              <w:t>/</w:t>
            </w:r>
          </w:p>
        </w:tc>
      </w:tr>
    </w:tbl>
    <w:p w14:paraId="1B058904">
      <w:pPr>
        <w:pStyle w:val="6"/>
        <w:rPr>
          <w:rFonts w:hint="eastAsia"/>
          <w:color w:val="auto"/>
          <w:highlight w:val="none"/>
        </w:rPr>
      </w:pPr>
      <w:r>
        <w:rPr>
          <w:rFonts w:hint="eastAsia"/>
          <w:color w:val="auto"/>
          <w:highlight w:val="none"/>
          <w:lang w:val="en-US" w:eastAsia="zh-CN"/>
        </w:rPr>
        <w:t xml:space="preserve"> 预测源参数 </w:t>
      </w:r>
    </w:p>
    <w:p w14:paraId="4CCA042E">
      <w:pPr>
        <w:keepNext w:val="0"/>
        <w:keepLines w:val="0"/>
        <w:widowControl/>
        <w:suppressLineNumbers w:val="0"/>
        <w:jc w:val="left"/>
        <w:rPr>
          <w:rFonts w:hint="default" w:ascii="瀹嬩綋" w:hAnsi="瀹嬩綋" w:eastAsia="瀹嬩綋" w:cs="瀹嬩綋"/>
          <w:color w:val="auto"/>
          <w:kern w:val="0"/>
          <w:sz w:val="24"/>
          <w:szCs w:val="24"/>
          <w:highlight w:val="none"/>
          <w:lang w:val="en-US" w:eastAsia="zh-CN" w:bidi="ar"/>
        </w:rPr>
        <w:sectPr>
          <w:pgSz w:w="11906" w:h="16838"/>
          <w:pgMar w:top="1440" w:right="1800" w:bottom="1440" w:left="1800" w:header="851" w:footer="680" w:gutter="0"/>
          <w:pgBorders>
            <w:top w:val="none" w:sz="0" w:space="0"/>
            <w:left w:val="none" w:sz="0" w:space="0"/>
            <w:bottom w:val="none" w:sz="0" w:space="0"/>
            <w:right w:val="none" w:sz="0" w:space="0"/>
          </w:pgBorders>
          <w:pgNumType w:fmt="decimal"/>
          <w:cols w:space="720" w:num="1"/>
          <w:docGrid w:linePitch="326" w:charSpace="0"/>
        </w:sectPr>
      </w:pPr>
      <w:r>
        <w:rPr>
          <w:rFonts w:hint="default" w:ascii="瀹嬩綋" w:hAnsi="瀹嬩綋" w:eastAsia="瀹嬩綋" w:cs="瀹嬩綋"/>
          <w:color w:val="auto"/>
          <w:kern w:val="0"/>
          <w:sz w:val="24"/>
          <w:szCs w:val="24"/>
          <w:highlight w:val="none"/>
          <w:lang w:val="en-US" w:eastAsia="zh-CN" w:bidi="ar"/>
        </w:rPr>
        <w:t>本项目环境空气影响预测源强计算参数见表</w:t>
      </w:r>
      <w:r>
        <w:rPr>
          <w:rFonts w:hint="eastAsia" w:ascii="Times New Roman" w:hAnsi="Times New Roman" w:eastAsia="宋体" w:cs="Times New Roman"/>
          <w:color w:val="auto"/>
          <w:kern w:val="0"/>
          <w:sz w:val="24"/>
          <w:szCs w:val="24"/>
          <w:highlight w:val="none"/>
          <w:lang w:val="en-US" w:eastAsia="zh-CN" w:bidi="ar"/>
        </w:rPr>
        <w:t>5.2-6和表5.2-7</w:t>
      </w:r>
      <w:r>
        <w:rPr>
          <w:rFonts w:hint="default" w:ascii="瀹嬩綋" w:hAnsi="瀹嬩綋" w:eastAsia="瀹嬩綋" w:cs="瀹嬩綋"/>
          <w:color w:val="auto"/>
          <w:kern w:val="0"/>
          <w:sz w:val="24"/>
          <w:szCs w:val="24"/>
          <w:highlight w:val="none"/>
          <w:lang w:val="en-US" w:eastAsia="zh-CN" w:bidi="ar"/>
        </w:rPr>
        <w:t>。</w:t>
      </w:r>
    </w:p>
    <w:p w14:paraId="57B34D0F">
      <w:pPr>
        <w:pStyle w:val="199"/>
        <w:spacing w:before="12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ascii="Times New Roman" w:hAnsi="Times New Roman" w:cs="Times New Roman"/>
          <w:color w:val="auto"/>
          <w:sz w:val="24"/>
          <w:highlight w:val="none"/>
          <w:lang w:val="en-US" w:eastAsia="zh-CN"/>
        </w:rPr>
        <w:t>5.2-6</w:t>
      </w:r>
      <w:r>
        <w:rPr>
          <w:rFonts w:hint="eastAsia" w:ascii="Times New Roman" w:hAnsi="Times New Roman" w:cs="Times New Roman"/>
          <w:color w:val="auto"/>
          <w:sz w:val="24"/>
          <w:highlight w:val="none"/>
        </w:rPr>
        <w:t xml:space="preserve">    点源参数表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17"/>
        <w:gridCol w:w="1559"/>
        <w:gridCol w:w="1373"/>
        <w:gridCol w:w="1651"/>
        <w:gridCol w:w="1025"/>
        <w:gridCol w:w="1043"/>
        <w:gridCol w:w="1395"/>
        <w:gridCol w:w="954"/>
        <w:gridCol w:w="1080"/>
        <w:gridCol w:w="778"/>
        <w:gridCol w:w="1879"/>
      </w:tblGrid>
      <w:tr w14:paraId="2CA2D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tcBorders>
              <w:tl2br w:val="nil"/>
              <w:tr2bl w:val="nil"/>
            </w:tcBorders>
            <w:noWrap w:val="0"/>
            <w:vAlign w:val="center"/>
          </w:tcPr>
          <w:p w14:paraId="551D70FD">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编号</w:t>
            </w:r>
          </w:p>
        </w:tc>
        <w:tc>
          <w:tcPr>
            <w:tcW w:w="0" w:type="auto"/>
            <w:vMerge w:val="restart"/>
            <w:tcBorders>
              <w:tl2br w:val="nil"/>
              <w:tr2bl w:val="nil"/>
            </w:tcBorders>
            <w:noWrap w:val="0"/>
            <w:vAlign w:val="center"/>
          </w:tcPr>
          <w:p w14:paraId="6A6D786D">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名称</w:t>
            </w:r>
          </w:p>
        </w:tc>
        <w:tc>
          <w:tcPr>
            <w:tcW w:w="0" w:type="auto"/>
            <w:gridSpan w:val="2"/>
            <w:vMerge w:val="restart"/>
            <w:tcBorders>
              <w:tl2br w:val="nil"/>
              <w:tr2bl w:val="nil"/>
            </w:tcBorders>
            <w:noWrap w:val="0"/>
            <w:vAlign w:val="center"/>
          </w:tcPr>
          <w:p w14:paraId="65E22E5D">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排气筒底部中心坐标</w:t>
            </w:r>
          </w:p>
          <w:p w14:paraId="1720C30B">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（经纬度坐标/°）</w:t>
            </w:r>
          </w:p>
        </w:tc>
        <w:tc>
          <w:tcPr>
            <w:tcW w:w="0" w:type="auto"/>
            <w:vMerge w:val="restart"/>
            <w:tcBorders>
              <w:tl2br w:val="nil"/>
              <w:tr2bl w:val="nil"/>
            </w:tcBorders>
            <w:noWrap w:val="0"/>
            <w:vAlign w:val="center"/>
          </w:tcPr>
          <w:p w14:paraId="17463B72">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排气筒底部海拔高度/m</w:t>
            </w:r>
          </w:p>
        </w:tc>
        <w:tc>
          <w:tcPr>
            <w:tcW w:w="0" w:type="auto"/>
            <w:vMerge w:val="restart"/>
            <w:tcBorders>
              <w:tl2br w:val="nil"/>
              <w:tr2bl w:val="nil"/>
            </w:tcBorders>
            <w:noWrap w:val="0"/>
            <w:vAlign w:val="center"/>
          </w:tcPr>
          <w:p w14:paraId="32BAF7CB">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排气筒高度/m</w:t>
            </w:r>
          </w:p>
        </w:tc>
        <w:tc>
          <w:tcPr>
            <w:tcW w:w="0" w:type="auto"/>
            <w:vMerge w:val="restart"/>
            <w:tcBorders>
              <w:tl2br w:val="nil"/>
              <w:tr2bl w:val="nil"/>
            </w:tcBorders>
            <w:noWrap w:val="0"/>
            <w:vAlign w:val="center"/>
          </w:tcPr>
          <w:p w14:paraId="5704A956">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排气筒内径/m</w:t>
            </w:r>
          </w:p>
        </w:tc>
        <w:tc>
          <w:tcPr>
            <w:tcW w:w="0" w:type="auto"/>
            <w:vMerge w:val="restart"/>
            <w:tcBorders>
              <w:tl2br w:val="nil"/>
              <w:tr2bl w:val="nil"/>
            </w:tcBorders>
            <w:noWrap w:val="0"/>
            <w:vAlign w:val="center"/>
          </w:tcPr>
          <w:p w14:paraId="540DE9EA">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烟气流速/（m/s）</w:t>
            </w:r>
          </w:p>
        </w:tc>
        <w:tc>
          <w:tcPr>
            <w:tcW w:w="0" w:type="auto"/>
            <w:vMerge w:val="restart"/>
            <w:tcBorders>
              <w:tl2br w:val="nil"/>
              <w:tr2bl w:val="nil"/>
            </w:tcBorders>
            <w:noWrap w:val="0"/>
            <w:vAlign w:val="center"/>
          </w:tcPr>
          <w:p w14:paraId="45CDA58F">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烟气温度/℃</w:t>
            </w:r>
          </w:p>
        </w:tc>
        <w:tc>
          <w:tcPr>
            <w:tcW w:w="0" w:type="auto"/>
            <w:vMerge w:val="restart"/>
            <w:tcBorders>
              <w:tl2br w:val="nil"/>
              <w:tr2bl w:val="nil"/>
            </w:tcBorders>
            <w:noWrap w:val="0"/>
            <w:vAlign w:val="center"/>
          </w:tcPr>
          <w:p w14:paraId="50698049">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年排放小时/h</w:t>
            </w:r>
          </w:p>
        </w:tc>
        <w:tc>
          <w:tcPr>
            <w:tcW w:w="0" w:type="auto"/>
            <w:vMerge w:val="restart"/>
            <w:tcBorders>
              <w:tl2br w:val="nil"/>
              <w:tr2bl w:val="nil"/>
            </w:tcBorders>
            <w:noWrap w:val="0"/>
            <w:vAlign w:val="center"/>
          </w:tcPr>
          <w:p w14:paraId="5F37CD2F">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排放工况</w:t>
            </w:r>
          </w:p>
        </w:tc>
        <w:tc>
          <w:tcPr>
            <w:tcW w:w="0" w:type="auto"/>
            <w:tcBorders>
              <w:tl2br w:val="nil"/>
              <w:tr2bl w:val="nil"/>
            </w:tcBorders>
            <w:noWrap w:val="0"/>
            <w:vAlign w:val="center"/>
          </w:tcPr>
          <w:p w14:paraId="53FEB1D2">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污染物排放速率/（kg/h）</w:t>
            </w:r>
          </w:p>
        </w:tc>
      </w:tr>
      <w:tr w14:paraId="41D3A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4398EE53">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53011827">
            <w:pPr>
              <w:pStyle w:val="245"/>
              <w:spacing w:line="240" w:lineRule="auto"/>
              <w:rPr>
                <w:rFonts w:ascii="Times New Roman" w:hAnsi="Times New Roman" w:cs="Times New Roman"/>
                <w:color w:val="auto"/>
                <w:kern w:val="0"/>
                <w:highlight w:val="none"/>
              </w:rPr>
            </w:pPr>
          </w:p>
        </w:tc>
        <w:tc>
          <w:tcPr>
            <w:tcW w:w="0" w:type="auto"/>
            <w:gridSpan w:val="2"/>
            <w:vMerge w:val="continue"/>
            <w:tcBorders>
              <w:tl2br w:val="nil"/>
              <w:tr2bl w:val="nil"/>
            </w:tcBorders>
            <w:noWrap w:val="0"/>
            <w:vAlign w:val="center"/>
          </w:tcPr>
          <w:p w14:paraId="2D01CDE9">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0454E41A">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369D15C3">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36610741">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3B13AC1F">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2393D8A2">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06EEA952">
            <w:pPr>
              <w:pStyle w:val="245"/>
              <w:spacing w:line="240" w:lineRule="auto"/>
              <w:rPr>
                <w:rFonts w:ascii="Times New Roman" w:hAnsi="Times New Roman" w:cs="Times New Roman"/>
                <w:color w:val="auto"/>
                <w:kern w:val="0"/>
                <w:highlight w:val="none"/>
              </w:rPr>
            </w:pPr>
          </w:p>
        </w:tc>
        <w:tc>
          <w:tcPr>
            <w:tcW w:w="0" w:type="auto"/>
            <w:vMerge w:val="continue"/>
            <w:tcBorders>
              <w:tl2br w:val="nil"/>
              <w:tr2bl w:val="nil"/>
            </w:tcBorders>
            <w:noWrap w:val="0"/>
            <w:vAlign w:val="center"/>
          </w:tcPr>
          <w:p w14:paraId="07569ACD">
            <w:pPr>
              <w:pStyle w:val="245"/>
              <w:spacing w:line="240" w:lineRule="auto"/>
              <w:rPr>
                <w:rFonts w:ascii="Times New Roman" w:hAnsi="Times New Roman" w:cs="Times New Roman"/>
                <w:color w:val="auto"/>
                <w:kern w:val="0"/>
                <w:highlight w:val="none"/>
              </w:rPr>
            </w:pPr>
          </w:p>
        </w:tc>
        <w:tc>
          <w:tcPr>
            <w:tcW w:w="0" w:type="auto"/>
            <w:tcBorders>
              <w:tl2br w:val="nil"/>
              <w:tr2bl w:val="nil"/>
            </w:tcBorders>
            <w:noWrap w:val="0"/>
            <w:vAlign w:val="center"/>
          </w:tcPr>
          <w:p w14:paraId="4624B494">
            <w:pPr>
              <w:pStyle w:val="245"/>
              <w:spacing w:line="240" w:lineRule="auto"/>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val="en-US" w:eastAsia="zh-CN"/>
              </w:rPr>
              <w:t>颗粒物（</w:t>
            </w:r>
            <w:r>
              <w:rPr>
                <w:rFonts w:ascii="Times New Roman" w:hAnsi="Times New Roman" w:cs="Times New Roman"/>
                <w:color w:val="auto"/>
                <w:kern w:val="0"/>
                <w:highlight w:val="none"/>
              </w:rPr>
              <w:t>PM10</w:t>
            </w:r>
            <w:r>
              <w:rPr>
                <w:rFonts w:hint="eastAsia" w:ascii="Times New Roman" w:hAnsi="Times New Roman" w:cs="Times New Roman"/>
                <w:color w:val="auto"/>
                <w:kern w:val="0"/>
                <w:highlight w:val="none"/>
                <w:lang w:val="en-US" w:eastAsia="zh-CN"/>
              </w:rPr>
              <w:t>）</w:t>
            </w:r>
          </w:p>
        </w:tc>
      </w:tr>
      <w:tr w14:paraId="2390B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7F0590A6">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DA001</w:t>
            </w:r>
          </w:p>
        </w:tc>
        <w:tc>
          <w:tcPr>
            <w:tcW w:w="0" w:type="auto"/>
            <w:tcBorders>
              <w:tl2br w:val="nil"/>
              <w:tr2bl w:val="nil"/>
            </w:tcBorders>
            <w:noWrap w:val="0"/>
            <w:vAlign w:val="center"/>
          </w:tcPr>
          <w:p w14:paraId="49CE4C00">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破碎</w:t>
            </w:r>
            <w:r>
              <w:rPr>
                <w:rFonts w:hint="eastAsia" w:ascii="Times New Roman" w:hAnsi="Times New Roman" w:cs="Times New Roman"/>
                <w:color w:val="auto"/>
                <w:kern w:val="0"/>
                <w:highlight w:val="none"/>
              </w:rPr>
              <w:t>-筛分</w:t>
            </w:r>
          </w:p>
        </w:tc>
        <w:tc>
          <w:tcPr>
            <w:tcW w:w="1560" w:type="dxa"/>
            <w:tcBorders>
              <w:tl2br w:val="nil"/>
              <w:tr2bl w:val="nil"/>
            </w:tcBorders>
            <w:noWrap w:val="0"/>
            <w:vAlign w:val="center"/>
          </w:tcPr>
          <w:p w14:paraId="2CED9A2C">
            <w:pPr>
              <w:pStyle w:val="245"/>
              <w:spacing w:line="240" w:lineRule="auto"/>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val="en-US" w:eastAsia="zh-CN"/>
              </w:rPr>
              <w:t>E</w:t>
            </w:r>
            <w:r>
              <w:rPr>
                <w:rFonts w:ascii="Times New Roman" w:hAnsi="Times New Roman" w:cs="Times New Roman"/>
                <w:color w:val="auto"/>
                <w:kern w:val="0"/>
                <w:highlight w:val="none"/>
              </w:rPr>
              <w:t>116.576275</w:t>
            </w:r>
          </w:p>
        </w:tc>
        <w:tc>
          <w:tcPr>
            <w:tcW w:w="1373" w:type="dxa"/>
            <w:tcBorders>
              <w:tl2br w:val="nil"/>
              <w:tr2bl w:val="nil"/>
            </w:tcBorders>
            <w:noWrap w:val="0"/>
            <w:vAlign w:val="center"/>
          </w:tcPr>
          <w:p w14:paraId="75FBD517">
            <w:pPr>
              <w:pStyle w:val="245"/>
              <w:spacing w:line="240" w:lineRule="auto"/>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val="en-US" w:eastAsia="zh-CN"/>
              </w:rPr>
              <w:t>N</w:t>
            </w:r>
            <w:r>
              <w:rPr>
                <w:rFonts w:ascii="Times New Roman" w:hAnsi="Times New Roman" w:cs="Times New Roman"/>
                <w:color w:val="auto"/>
                <w:kern w:val="0"/>
                <w:highlight w:val="none"/>
              </w:rPr>
              <w:t>42.186927</w:t>
            </w:r>
          </w:p>
        </w:tc>
        <w:tc>
          <w:tcPr>
            <w:tcW w:w="0" w:type="auto"/>
            <w:tcBorders>
              <w:tl2br w:val="nil"/>
              <w:tr2bl w:val="nil"/>
            </w:tcBorders>
            <w:noWrap w:val="0"/>
            <w:vAlign w:val="center"/>
          </w:tcPr>
          <w:p w14:paraId="48B2F43F">
            <w:pPr>
              <w:pStyle w:val="245"/>
              <w:spacing w:line="240" w:lineRule="auto"/>
              <w:rPr>
                <w:rFonts w:hint="default"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1257</w:t>
            </w:r>
            <w:r>
              <w:rPr>
                <w:rFonts w:hint="eastAsia" w:ascii="Times New Roman" w:hAnsi="Times New Roman" w:cs="Times New Roman"/>
                <w:color w:val="auto"/>
                <w:kern w:val="0"/>
                <w:highlight w:val="none"/>
                <w:lang w:val="en-US" w:eastAsia="zh-CN"/>
              </w:rPr>
              <w:t>.0</w:t>
            </w:r>
          </w:p>
        </w:tc>
        <w:tc>
          <w:tcPr>
            <w:tcW w:w="0" w:type="auto"/>
            <w:tcBorders>
              <w:tl2br w:val="nil"/>
              <w:tr2bl w:val="nil"/>
            </w:tcBorders>
            <w:noWrap w:val="0"/>
            <w:vAlign w:val="center"/>
          </w:tcPr>
          <w:p w14:paraId="697290AA">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15</w:t>
            </w:r>
          </w:p>
        </w:tc>
        <w:tc>
          <w:tcPr>
            <w:tcW w:w="0" w:type="auto"/>
            <w:tcBorders>
              <w:tl2br w:val="nil"/>
              <w:tr2bl w:val="nil"/>
            </w:tcBorders>
            <w:noWrap w:val="0"/>
            <w:vAlign w:val="center"/>
          </w:tcPr>
          <w:p w14:paraId="520AD2CC">
            <w:pPr>
              <w:pStyle w:val="245"/>
              <w:spacing w:line="240" w:lineRule="auto"/>
              <w:rPr>
                <w:rFonts w:hint="eastAsia" w:ascii="Times New Roman" w:hAnsi="Times New Roman" w:eastAsia="宋体" w:cs="Times New Roman"/>
                <w:color w:val="auto"/>
                <w:kern w:val="0"/>
                <w:highlight w:val="none"/>
                <w:lang w:eastAsia="zh-CN"/>
              </w:rPr>
            </w:pPr>
            <w:r>
              <w:rPr>
                <w:rFonts w:ascii="Times New Roman" w:hAnsi="Times New Roman" w:cs="Times New Roman"/>
                <w:color w:val="auto"/>
                <w:kern w:val="0"/>
                <w:highlight w:val="none"/>
              </w:rPr>
              <w:t>0.</w:t>
            </w:r>
            <w:r>
              <w:rPr>
                <w:rFonts w:hint="eastAsia" w:cs="Times New Roman"/>
                <w:color w:val="auto"/>
                <w:kern w:val="0"/>
                <w:highlight w:val="none"/>
                <w:lang w:val="en-US" w:eastAsia="zh-CN"/>
              </w:rPr>
              <w:t>2</w:t>
            </w:r>
          </w:p>
        </w:tc>
        <w:tc>
          <w:tcPr>
            <w:tcW w:w="0" w:type="auto"/>
            <w:tcBorders>
              <w:tl2br w:val="nil"/>
              <w:tr2bl w:val="nil"/>
            </w:tcBorders>
            <w:noWrap w:val="0"/>
            <w:vAlign w:val="center"/>
          </w:tcPr>
          <w:p w14:paraId="0B715A0D">
            <w:pPr>
              <w:pStyle w:val="245"/>
              <w:spacing w:line="240" w:lineRule="auto"/>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17.</w:t>
            </w:r>
            <w:r>
              <w:rPr>
                <w:rFonts w:hint="eastAsia" w:cs="Times New Roman"/>
                <w:color w:val="auto"/>
                <w:kern w:val="0"/>
                <w:highlight w:val="none"/>
                <w:lang w:val="en-US" w:eastAsia="zh-CN"/>
              </w:rPr>
              <w:t>7</w:t>
            </w:r>
          </w:p>
        </w:tc>
        <w:tc>
          <w:tcPr>
            <w:tcW w:w="0" w:type="auto"/>
            <w:tcBorders>
              <w:tl2br w:val="nil"/>
              <w:tr2bl w:val="nil"/>
            </w:tcBorders>
            <w:noWrap w:val="0"/>
            <w:vAlign w:val="center"/>
          </w:tcPr>
          <w:p w14:paraId="7929C7CE">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25</w:t>
            </w:r>
          </w:p>
        </w:tc>
        <w:tc>
          <w:tcPr>
            <w:tcW w:w="0" w:type="auto"/>
            <w:tcBorders>
              <w:tl2br w:val="nil"/>
              <w:tr2bl w:val="nil"/>
            </w:tcBorders>
            <w:noWrap w:val="0"/>
            <w:vAlign w:val="center"/>
          </w:tcPr>
          <w:p w14:paraId="583610E2">
            <w:pPr>
              <w:pStyle w:val="245"/>
              <w:spacing w:line="240" w:lineRule="auto"/>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2400</w:t>
            </w:r>
          </w:p>
        </w:tc>
        <w:tc>
          <w:tcPr>
            <w:tcW w:w="0" w:type="auto"/>
            <w:tcBorders>
              <w:tl2br w:val="nil"/>
              <w:tr2bl w:val="nil"/>
            </w:tcBorders>
            <w:noWrap w:val="0"/>
            <w:vAlign w:val="center"/>
          </w:tcPr>
          <w:p w14:paraId="4B652EA6">
            <w:pPr>
              <w:pStyle w:val="245"/>
              <w:spacing w:line="240" w:lineRule="auto"/>
              <w:rPr>
                <w:rFonts w:ascii="Times New Roman" w:hAnsi="Times New Roman" w:cs="Times New Roman"/>
                <w:color w:val="auto"/>
                <w:kern w:val="0"/>
                <w:highlight w:val="none"/>
              </w:rPr>
            </w:pPr>
            <w:r>
              <w:rPr>
                <w:rFonts w:ascii="Times New Roman" w:hAnsi="Times New Roman" w:cs="Times New Roman"/>
                <w:color w:val="auto"/>
                <w:kern w:val="0"/>
                <w:highlight w:val="none"/>
              </w:rPr>
              <w:t>正常</w:t>
            </w:r>
          </w:p>
        </w:tc>
        <w:tc>
          <w:tcPr>
            <w:tcW w:w="0" w:type="auto"/>
            <w:tcBorders>
              <w:tl2br w:val="nil"/>
              <w:tr2bl w:val="nil"/>
            </w:tcBorders>
            <w:noWrap w:val="0"/>
            <w:vAlign w:val="center"/>
          </w:tcPr>
          <w:p w14:paraId="2C97EB74">
            <w:pPr>
              <w:pStyle w:val="245"/>
              <w:spacing w:line="240" w:lineRule="auto"/>
              <w:rPr>
                <w:rFonts w:hint="default"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0.</w:t>
            </w:r>
            <w:r>
              <w:rPr>
                <w:rFonts w:hint="eastAsia" w:ascii="Times New Roman" w:hAnsi="Times New Roman" w:cs="Times New Roman"/>
                <w:color w:val="auto"/>
                <w:kern w:val="0"/>
                <w:highlight w:val="none"/>
              </w:rPr>
              <w:t>0</w:t>
            </w:r>
            <w:r>
              <w:rPr>
                <w:rFonts w:hint="eastAsia" w:cs="Times New Roman"/>
                <w:color w:val="auto"/>
                <w:kern w:val="0"/>
                <w:highlight w:val="none"/>
                <w:lang w:val="en-US" w:eastAsia="zh-CN"/>
              </w:rPr>
              <w:t>14</w:t>
            </w:r>
          </w:p>
        </w:tc>
      </w:tr>
    </w:tbl>
    <w:p w14:paraId="1F89A2D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highlight w:val="none"/>
        </w:rPr>
      </w:pPr>
    </w:p>
    <w:p w14:paraId="70AEA3BC">
      <w:pPr>
        <w:pStyle w:val="199"/>
        <w:spacing w:before="12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ascii="Times New Roman" w:hAnsi="Times New Roman" w:cs="Times New Roman"/>
          <w:color w:val="auto"/>
          <w:sz w:val="24"/>
          <w:highlight w:val="none"/>
          <w:lang w:val="en-US" w:eastAsia="zh-CN"/>
        </w:rPr>
        <w:t>5.2-7</w:t>
      </w:r>
      <w:r>
        <w:rPr>
          <w:rFonts w:hint="eastAsia" w:ascii="Times New Roman" w:hAnsi="Times New Roman" w:cs="Times New Roman"/>
          <w:color w:val="auto"/>
          <w:sz w:val="24"/>
          <w:highlight w:val="none"/>
        </w:rPr>
        <w:t xml:space="preserve">    面源参数表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667"/>
        <w:gridCol w:w="1584"/>
        <w:gridCol w:w="1506"/>
        <w:gridCol w:w="1192"/>
        <w:gridCol w:w="1137"/>
        <w:gridCol w:w="1083"/>
        <w:gridCol w:w="1454"/>
        <w:gridCol w:w="1362"/>
        <w:gridCol w:w="838"/>
        <w:gridCol w:w="1679"/>
      </w:tblGrid>
      <w:tr w14:paraId="6992B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 w:type="pct"/>
            <w:vMerge w:val="restart"/>
            <w:tcBorders>
              <w:tl2br w:val="nil"/>
              <w:tr2bl w:val="nil"/>
            </w:tcBorders>
            <w:noWrap w:val="0"/>
            <w:vAlign w:val="center"/>
          </w:tcPr>
          <w:p w14:paraId="6C76B0AB">
            <w:pPr>
              <w:pStyle w:val="245"/>
              <w:spacing w:line="240" w:lineRule="auto"/>
              <w:jc w:val="center"/>
              <w:rPr>
                <w:rFonts w:hint="eastAsia" w:ascii="Times New Roman" w:hAnsi="Times New Roman" w:cs="Times New Roman"/>
                <w:color w:val="auto"/>
                <w:kern w:val="0"/>
                <w:highlight w:val="none"/>
                <w:lang w:eastAsia="zh-CN"/>
              </w:rPr>
            </w:pPr>
            <w:r>
              <w:rPr>
                <w:rFonts w:hint="eastAsia" w:ascii="Times New Roman" w:hAnsi="Times New Roman" w:cs="Times New Roman"/>
                <w:color w:val="auto"/>
                <w:kern w:val="0"/>
                <w:highlight w:val="none"/>
                <w:lang w:val="en-US" w:eastAsia="zh-CN"/>
              </w:rPr>
              <w:t>序号</w:t>
            </w:r>
          </w:p>
        </w:tc>
        <w:tc>
          <w:tcPr>
            <w:tcW w:w="579" w:type="pct"/>
            <w:vMerge w:val="restart"/>
            <w:tcBorders>
              <w:tl2br w:val="nil"/>
              <w:tr2bl w:val="nil"/>
            </w:tcBorders>
            <w:noWrap w:val="0"/>
            <w:vAlign w:val="center"/>
          </w:tcPr>
          <w:p w14:paraId="77FCF0A0">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名称</w:t>
            </w:r>
          </w:p>
        </w:tc>
        <w:tc>
          <w:tcPr>
            <w:tcW w:w="1073" w:type="pct"/>
            <w:gridSpan w:val="2"/>
            <w:vMerge w:val="restart"/>
            <w:tcBorders>
              <w:tl2br w:val="nil"/>
              <w:tr2bl w:val="nil"/>
            </w:tcBorders>
            <w:noWrap w:val="0"/>
            <w:vAlign w:val="center"/>
          </w:tcPr>
          <w:p w14:paraId="47B494A3">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面源起始点坐标</w:t>
            </w:r>
          </w:p>
          <w:p w14:paraId="523CDE41">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（经纬度坐标/°）</w:t>
            </w:r>
          </w:p>
        </w:tc>
        <w:tc>
          <w:tcPr>
            <w:tcW w:w="1690" w:type="pct"/>
            <w:gridSpan w:val="4"/>
            <w:tcBorders>
              <w:tl2br w:val="nil"/>
              <w:tr2bl w:val="nil"/>
            </w:tcBorders>
            <w:noWrap w:val="0"/>
            <w:vAlign w:val="center"/>
          </w:tcPr>
          <w:p w14:paraId="308BE741">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面源参数</w:t>
            </w:r>
          </w:p>
        </w:tc>
        <w:tc>
          <w:tcPr>
            <w:tcW w:w="473" w:type="pct"/>
            <w:vMerge w:val="restart"/>
            <w:tcBorders>
              <w:tl2br w:val="nil"/>
              <w:tr2bl w:val="nil"/>
            </w:tcBorders>
            <w:noWrap w:val="0"/>
            <w:vAlign w:val="center"/>
          </w:tcPr>
          <w:p w14:paraId="7BC8BD1B">
            <w:pPr>
              <w:pStyle w:val="245"/>
              <w:spacing w:line="240" w:lineRule="auto"/>
              <w:jc w:val="center"/>
              <w:rPr>
                <w:rFonts w:hint="eastAsia" w:ascii="Times New Roman" w:hAnsi="Times New Roman" w:cs="Times New Roman"/>
                <w:color w:val="auto"/>
                <w:kern w:val="0"/>
                <w:highlight w:val="none"/>
                <w:lang w:eastAsia="zh-CN"/>
              </w:rPr>
            </w:pPr>
            <w:r>
              <w:rPr>
                <w:rFonts w:ascii="Times New Roman" w:hAnsi="Times New Roman" w:cs="Times New Roman"/>
                <w:color w:val="auto"/>
                <w:kern w:val="0"/>
                <w:highlight w:val="none"/>
              </w:rPr>
              <w:t>年排放小时</w:t>
            </w: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h</w:t>
            </w:r>
            <w:r>
              <w:rPr>
                <w:rFonts w:hint="eastAsia" w:ascii="Times New Roman" w:hAnsi="Times New Roman" w:cs="Times New Roman"/>
                <w:color w:val="auto"/>
                <w:kern w:val="0"/>
                <w:highlight w:val="none"/>
                <w:lang w:eastAsia="zh-CN"/>
              </w:rPr>
              <w:t>）</w:t>
            </w:r>
          </w:p>
        </w:tc>
        <w:tc>
          <w:tcPr>
            <w:tcW w:w="291" w:type="pct"/>
            <w:vMerge w:val="restart"/>
            <w:tcBorders>
              <w:tl2br w:val="nil"/>
              <w:tr2bl w:val="nil"/>
            </w:tcBorders>
            <w:noWrap w:val="0"/>
            <w:vAlign w:val="center"/>
          </w:tcPr>
          <w:p w14:paraId="5B317D8B">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排放工况</w:t>
            </w:r>
          </w:p>
        </w:tc>
        <w:tc>
          <w:tcPr>
            <w:tcW w:w="583" w:type="pct"/>
            <w:tcBorders>
              <w:tl2br w:val="nil"/>
              <w:tr2bl w:val="nil"/>
            </w:tcBorders>
            <w:noWrap w:val="0"/>
            <w:vAlign w:val="center"/>
          </w:tcPr>
          <w:p w14:paraId="7BDF41EC">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污染物排放速率/（kg/h）</w:t>
            </w:r>
          </w:p>
        </w:tc>
      </w:tr>
      <w:tr w14:paraId="57918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 w:type="pct"/>
            <w:vMerge w:val="continue"/>
            <w:tcBorders>
              <w:tl2br w:val="nil"/>
              <w:tr2bl w:val="nil"/>
            </w:tcBorders>
            <w:noWrap w:val="0"/>
            <w:vAlign w:val="center"/>
          </w:tcPr>
          <w:p w14:paraId="256F91B6">
            <w:pPr>
              <w:pStyle w:val="245"/>
              <w:spacing w:line="240" w:lineRule="auto"/>
              <w:jc w:val="center"/>
              <w:rPr>
                <w:rFonts w:ascii="Times New Roman" w:hAnsi="Times New Roman" w:cs="Times New Roman"/>
                <w:color w:val="auto"/>
                <w:kern w:val="0"/>
                <w:highlight w:val="none"/>
              </w:rPr>
            </w:pPr>
          </w:p>
        </w:tc>
        <w:tc>
          <w:tcPr>
            <w:tcW w:w="579" w:type="pct"/>
            <w:vMerge w:val="continue"/>
            <w:tcBorders>
              <w:tl2br w:val="nil"/>
              <w:tr2bl w:val="nil"/>
            </w:tcBorders>
            <w:noWrap w:val="0"/>
            <w:vAlign w:val="center"/>
          </w:tcPr>
          <w:p w14:paraId="5FE3EAB8">
            <w:pPr>
              <w:pStyle w:val="245"/>
              <w:spacing w:line="240" w:lineRule="auto"/>
              <w:jc w:val="center"/>
              <w:rPr>
                <w:rFonts w:ascii="Times New Roman" w:hAnsi="Times New Roman" w:cs="Times New Roman"/>
                <w:color w:val="auto"/>
                <w:kern w:val="0"/>
                <w:highlight w:val="none"/>
              </w:rPr>
            </w:pPr>
          </w:p>
        </w:tc>
        <w:tc>
          <w:tcPr>
            <w:tcW w:w="1073" w:type="pct"/>
            <w:gridSpan w:val="2"/>
            <w:vMerge w:val="continue"/>
            <w:tcBorders>
              <w:tl2br w:val="nil"/>
              <w:tr2bl w:val="nil"/>
            </w:tcBorders>
            <w:noWrap w:val="0"/>
            <w:vAlign w:val="center"/>
          </w:tcPr>
          <w:p w14:paraId="43407850">
            <w:pPr>
              <w:pStyle w:val="245"/>
              <w:spacing w:line="240" w:lineRule="auto"/>
              <w:jc w:val="center"/>
              <w:rPr>
                <w:rFonts w:ascii="Times New Roman" w:hAnsi="Times New Roman" w:cs="Times New Roman"/>
                <w:color w:val="auto"/>
                <w:kern w:val="0"/>
                <w:highlight w:val="none"/>
              </w:rPr>
            </w:pPr>
          </w:p>
        </w:tc>
        <w:tc>
          <w:tcPr>
            <w:tcW w:w="414" w:type="pct"/>
            <w:tcBorders>
              <w:tl2br w:val="nil"/>
              <w:tr2bl w:val="nil"/>
            </w:tcBorders>
            <w:noWrap w:val="0"/>
            <w:vAlign w:val="center"/>
          </w:tcPr>
          <w:p w14:paraId="16F48E98">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面源长度</w:t>
            </w:r>
          </w:p>
          <w:p w14:paraId="7B2B0EAC">
            <w:pPr>
              <w:pStyle w:val="245"/>
              <w:spacing w:line="240" w:lineRule="auto"/>
              <w:jc w:val="center"/>
              <w:rPr>
                <w:rFonts w:hint="eastAsia" w:ascii="Times New Roman" w:hAnsi="Times New Roman" w:cs="Times New Roman"/>
                <w:color w:val="auto"/>
                <w:kern w:val="0"/>
                <w:highlight w:val="none"/>
                <w:lang w:eastAsia="zh-CN"/>
              </w:rPr>
            </w:pP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m</w:t>
            </w:r>
            <w:r>
              <w:rPr>
                <w:rFonts w:hint="eastAsia" w:ascii="Times New Roman" w:hAnsi="Times New Roman" w:cs="Times New Roman"/>
                <w:color w:val="auto"/>
                <w:kern w:val="0"/>
                <w:highlight w:val="none"/>
                <w:lang w:eastAsia="zh-CN"/>
              </w:rPr>
              <w:t>）</w:t>
            </w:r>
          </w:p>
        </w:tc>
        <w:tc>
          <w:tcPr>
            <w:tcW w:w="395" w:type="pct"/>
            <w:tcBorders>
              <w:tl2br w:val="nil"/>
              <w:tr2bl w:val="nil"/>
            </w:tcBorders>
            <w:noWrap w:val="0"/>
            <w:vAlign w:val="center"/>
          </w:tcPr>
          <w:p w14:paraId="33CB8DFF">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面源宽度</w:t>
            </w:r>
            <w:r>
              <w:rPr>
                <w:rFonts w:hint="eastAsia" w:ascii="Times New Roman" w:hAnsi="Times New Roman" w:cs="Times New Roman"/>
                <w:color w:val="auto"/>
                <w:kern w:val="0"/>
                <w:highlight w:val="none"/>
                <w:lang w:eastAsia="zh-CN"/>
              </w:rPr>
              <w:t>（</w:t>
            </w:r>
            <w:r>
              <w:rPr>
                <w:rFonts w:hint="eastAsia" w:ascii="Times New Roman" w:hAnsi="Times New Roman" w:cs="Times New Roman"/>
                <w:color w:val="auto"/>
                <w:kern w:val="0"/>
                <w:highlight w:val="none"/>
                <w:lang w:val="en-US" w:eastAsia="zh-CN"/>
              </w:rPr>
              <w:t>m</w:t>
            </w:r>
            <w:r>
              <w:rPr>
                <w:rFonts w:hint="eastAsia" w:ascii="Times New Roman" w:hAnsi="Times New Roman" w:cs="Times New Roman"/>
                <w:color w:val="auto"/>
                <w:kern w:val="0"/>
                <w:highlight w:val="none"/>
                <w:lang w:eastAsia="zh-CN"/>
              </w:rPr>
              <w:t>）</w:t>
            </w:r>
          </w:p>
        </w:tc>
        <w:tc>
          <w:tcPr>
            <w:tcW w:w="376" w:type="pct"/>
            <w:tcBorders>
              <w:tl2br w:val="nil"/>
              <w:tr2bl w:val="nil"/>
            </w:tcBorders>
            <w:noWrap w:val="0"/>
            <w:vAlign w:val="center"/>
          </w:tcPr>
          <w:p w14:paraId="6B6AD2FE">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海拔高度（m）</w:t>
            </w:r>
          </w:p>
        </w:tc>
        <w:tc>
          <w:tcPr>
            <w:tcW w:w="505" w:type="pct"/>
            <w:tcBorders>
              <w:tl2br w:val="nil"/>
              <w:tr2bl w:val="nil"/>
            </w:tcBorders>
            <w:noWrap w:val="0"/>
            <w:vAlign w:val="center"/>
          </w:tcPr>
          <w:p w14:paraId="3D12F3EB">
            <w:pPr>
              <w:pStyle w:val="245"/>
              <w:spacing w:line="240" w:lineRule="auto"/>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有效排放高度（m）</w:t>
            </w:r>
          </w:p>
        </w:tc>
        <w:tc>
          <w:tcPr>
            <w:tcW w:w="473" w:type="pct"/>
            <w:vMerge w:val="continue"/>
            <w:tcBorders>
              <w:tl2br w:val="nil"/>
              <w:tr2bl w:val="nil"/>
            </w:tcBorders>
            <w:noWrap w:val="0"/>
            <w:vAlign w:val="center"/>
          </w:tcPr>
          <w:p w14:paraId="158ED073">
            <w:pPr>
              <w:pStyle w:val="245"/>
              <w:spacing w:line="240" w:lineRule="auto"/>
              <w:jc w:val="center"/>
              <w:rPr>
                <w:rFonts w:ascii="Times New Roman" w:hAnsi="Times New Roman" w:cs="Times New Roman"/>
                <w:color w:val="auto"/>
                <w:kern w:val="0"/>
                <w:highlight w:val="none"/>
              </w:rPr>
            </w:pPr>
          </w:p>
        </w:tc>
        <w:tc>
          <w:tcPr>
            <w:tcW w:w="291" w:type="pct"/>
            <w:vMerge w:val="continue"/>
            <w:tcBorders>
              <w:tl2br w:val="nil"/>
              <w:tr2bl w:val="nil"/>
            </w:tcBorders>
            <w:noWrap w:val="0"/>
            <w:vAlign w:val="center"/>
          </w:tcPr>
          <w:p w14:paraId="39A90F8E">
            <w:pPr>
              <w:pStyle w:val="245"/>
              <w:spacing w:line="240" w:lineRule="auto"/>
              <w:jc w:val="center"/>
              <w:rPr>
                <w:rFonts w:ascii="Times New Roman" w:hAnsi="Times New Roman" w:cs="Times New Roman"/>
                <w:color w:val="auto"/>
                <w:kern w:val="0"/>
                <w:highlight w:val="none"/>
              </w:rPr>
            </w:pPr>
          </w:p>
        </w:tc>
        <w:tc>
          <w:tcPr>
            <w:tcW w:w="583" w:type="pct"/>
            <w:tcBorders>
              <w:tl2br w:val="nil"/>
              <w:tr2bl w:val="nil"/>
            </w:tcBorders>
            <w:noWrap w:val="0"/>
            <w:vAlign w:val="center"/>
          </w:tcPr>
          <w:p w14:paraId="35DD2142">
            <w:pPr>
              <w:pStyle w:val="245"/>
              <w:spacing w:line="240" w:lineRule="auto"/>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lang w:val="en-US" w:eastAsia="zh-CN"/>
              </w:rPr>
              <w:t>颗粒物（</w:t>
            </w:r>
            <w:r>
              <w:rPr>
                <w:rFonts w:ascii="Times New Roman" w:hAnsi="Times New Roman" w:cs="Times New Roman"/>
                <w:color w:val="auto"/>
                <w:kern w:val="0"/>
                <w:highlight w:val="none"/>
              </w:rPr>
              <w:t>TSP</w:t>
            </w:r>
            <w:r>
              <w:rPr>
                <w:rFonts w:hint="eastAsia" w:ascii="Times New Roman" w:hAnsi="Times New Roman" w:cs="Times New Roman"/>
                <w:color w:val="auto"/>
                <w:kern w:val="0"/>
                <w:highlight w:val="none"/>
                <w:lang w:val="en-US" w:eastAsia="zh-CN"/>
              </w:rPr>
              <w:t>）</w:t>
            </w:r>
          </w:p>
        </w:tc>
      </w:tr>
      <w:tr w14:paraId="1327C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 w:type="pct"/>
            <w:tcBorders>
              <w:tl2br w:val="nil"/>
              <w:tr2bl w:val="nil"/>
            </w:tcBorders>
            <w:noWrap w:val="0"/>
            <w:vAlign w:val="center"/>
          </w:tcPr>
          <w:p w14:paraId="0F7B2F33">
            <w:pPr>
              <w:pStyle w:val="245"/>
              <w:spacing w:line="240" w:lineRule="auto"/>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w:t>
            </w:r>
          </w:p>
        </w:tc>
        <w:tc>
          <w:tcPr>
            <w:tcW w:w="579" w:type="pct"/>
            <w:tcBorders>
              <w:tl2br w:val="nil"/>
              <w:tr2bl w:val="nil"/>
            </w:tcBorders>
            <w:noWrap w:val="0"/>
            <w:vAlign w:val="center"/>
          </w:tcPr>
          <w:p w14:paraId="564DA9D2">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原矿</w:t>
            </w:r>
            <w:r>
              <w:rPr>
                <w:rFonts w:hint="eastAsia" w:ascii="Times New Roman" w:hAnsi="Times New Roman" w:cs="Times New Roman"/>
                <w:color w:val="auto"/>
                <w:kern w:val="0"/>
                <w:highlight w:val="none"/>
                <w:lang w:val="en-US" w:eastAsia="zh-CN"/>
              </w:rPr>
              <w:t>贮存库</w:t>
            </w:r>
          </w:p>
        </w:tc>
        <w:tc>
          <w:tcPr>
            <w:tcW w:w="1583" w:type="dxa"/>
            <w:tcBorders>
              <w:tl2br w:val="nil"/>
              <w:tr2bl w:val="nil"/>
            </w:tcBorders>
            <w:noWrap w:val="0"/>
            <w:vAlign w:val="center"/>
          </w:tcPr>
          <w:p w14:paraId="5365A621">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116.575782</w:t>
            </w:r>
          </w:p>
        </w:tc>
        <w:tc>
          <w:tcPr>
            <w:tcW w:w="1506" w:type="dxa"/>
            <w:tcBorders>
              <w:tl2br w:val="nil"/>
              <w:tr2bl w:val="nil"/>
            </w:tcBorders>
            <w:noWrap w:val="0"/>
            <w:vAlign w:val="center"/>
          </w:tcPr>
          <w:p w14:paraId="011A008D">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42.186713</w:t>
            </w:r>
          </w:p>
        </w:tc>
        <w:tc>
          <w:tcPr>
            <w:tcW w:w="414" w:type="pct"/>
            <w:tcBorders>
              <w:tl2br w:val="nil"/>
              <w:tr2bl w:val="nil"/>
            </w:tcBorders>
            <w:noWrap w:val="0"/>
            <w:vAlign w:val="center"/>
          </w:tcPr>
          <w:p w14:paraId="48011D55">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100</w:t>
            </w:r>
          </w:p>
        </w:tc>
        <w:tc>
          <w:tcPr>
            <w:tcW w:w="395" w:type="pct"/>
            <w:tcBorders>
              <w:tl2br w:val="nil"/>
              <w:tr2bl w:val="nil"/>
            </w:tcBorders>
            <w:noWrap w:val="0"/>
            <w:vAlign w:val="center"/>
          </w:tcPr>
          <w:p w14:paraId="0F68C4DB">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rPr>
              <w:t>40</w:t>
            </w:r>
          </w:p>
        </w:tc>
        <w:tc>
          <w:tcPr>
            <w:tcW w:w="376" w:type="pct"/>
            <w:tcBorders>
              <w:tl2br w:val="nil"/>
              <w:tr2bl w:val="nil"/>
            </w:tcBorders>
            <w:noWrap w:val="0"/>
            <w:vAlign w:val="center"/>
          </w:tcPr>
          <w:p w14:paraId="124ADD39">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1258</w:t>
            </w:r>
          </w:p>
        </w:tc>
        <w:tc>
          <w:tcPr>
            <w:tcW w:w="505" w:type="pct"/>
            <w:tcBorders>
              <w:tl2br w:val="nil"/>
              <w:tr2bl w:val="nil"/>
            </w:tcBorders>
            <w:noWrap w:val="0"/>
            <w:vAlign w:val="center"/>
          </w:tcPr>
          <w:p w14:paraId="0F03C144">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8</w:t>
            </w:r>
          </w:p>
        </w:tc>
        <w:tc>
          <w:tcPr>
            <w:tcW w:w="473" w:type="pct"/>
            <w:tcBorders>
              <w:tl2br w:val="nil"/>
              <w:tr2bl w:val="nil"/>
            </w:tcBorders>
            <w:noWrap w:val="0"/>
            <w:vAlign w:val="center"/>
          </w:tcPr>
          <w:p w14:paraId="25DEC648">
            <w:pPr>
              <w:pStyle w:val="245"/>
              <w:spacing w:line="240" w:lineRule="auto"/>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7200</w:t>
            </w:r>
          </w:p>
        </w:tc>
        <w:tc>
          <w:tcPr>
            <w:tcW w:w="291" w:type="pct"/>
            <w:vMerge w:val="restart"/>
            <w:tcBorders>
              <w:tl2br w:val="nil"/>
              <w:tr2bl w:val="nil"/>
            </w:tcBorders>
            <w:noWrap w:val="0"/>
            <w:vAlign w:val="center"/>
          </w:tcPr>
          <w:p w14:paraId="1A3F18B0">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正常</w:t>
            </w:r>
          </w:p>
        </w:tc>
        <w:tc>
          <w:tcPr>
            <w:tcW w:w="583" w:type="pct"/>
            <w:tcBorders>
              <w:tl2br w:val="nil"/>
              <w:tr2bl w:val="nil"/>
            </w:tcBorders>
            <w:noWrap w:val="0"/>
            <w:vAlign w:val="center"/>
          </w:tcPr>
          <w:p w14:paraId="2E99DAAC">
            <w:pPr>
              <w:pStyle w:val="245"/>
              <w:spacing w:line="240" w:lineRule="auto"/>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0.0</w:t>
            </w:r>
            <w:r>
              <w:rPr>
                <w:rFonts w:hint="eastAsia" w:cs="Times New Roman"/>
                <w:color w:val="auto"/>
                <w:kern w:val="0"/>
                <w:highlight w:val="none"/>
                <w:lang w:val="en-US" w:eastAsia="zh-CN"/>
              </w:rPr>
              <w:t>42</w:t>
            </w:r>
          </w:p>
        </w:tc>
      </w:tr>
      <w:tr w14:paraId="58A3B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8" w:type="pct"/>
            <w:tcBorders>
              <w:tl2br w:val="nil"/>
              <w:tr2bl w:val="nil"/>
            </w:tcBorders>
            <w:noWrap w:val="0"/>
            <w:vAlign w:val="center"/>
          </w:tcPr>
          <w:p w14:paraId="00661389">
            <w:pPr>
              <w:pStyle w:val="245"/>
              <w:spacing w:line="240" w:lineRule="auto"/>
              <w:jc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2</w:t>
            </w:r>
          </w:p>
        </w:tc>
        <w:tc>
          <w:tcPr>
            <w:tcW w:w="579" w:type="pct"/>
            <w:tcBorders>
              <w:tl2br w:val="nil"/>
              <w:tr2bl w:val="nil"/>
            </w:tcBorders>
            <w:noWrap w:val="0"/>
            <w:vAlign w:val="center"/>
          </w:tcPr>
          <w:p w14:paraId="4FF4EA24">
            <w:pPr>
              <w:pStyle w:val="245"/>
              <w:spacing w:line="240" w:lineRule="auto"/>
              <w:jc w:val="center"/>
              <w:rPr>
                <w:rFonts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破碎、筛选车间</w:t>
            </w:r>
          </w:p>
        </w:tc>
        <w:tc>
          <w:tcPr>
            <w:tcW w:w="1583" w:type="dxa"/>
            <w:tcBorders>
              <w:tl2br w:val="nil"/>
              <w:tr2bl w:val="nil"/>
            </w:tcBorders>
            <w:noWrap w:val="0"/>
            <w:vAlign w:val="center"/>
          </w:tcPr>
          <w:p w14:paraId="6FBBDF41">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116.575994</w:t>
            </w:r>
          </w:p>
        </w:tc>
        <w:tc>
          <w:tcPr>
            <w:tcW w:w="1506" w:type="dxa"/>
            <w:tcBorders>
              <w:tl2br w:val="nil"/>
              <w:tr2bl w:val="nil"/>
            </w:tcBorders>
            <w:noWrap w:val="0"/>
            <w:vAlign w:val="center"/>
          </w:tcPr>
          <w:p w14:paraId="529776BC">
            <w:pPr>
              <w:pStyle w:val="245"/>
              <w:spacing w:line="240" w:lineRule="auto"/>
              <w:jc w:val="center"/>
              <w:rPr>
                <w:rFonts w:hint="eastAsia" w:ascii="Times New Roman" w:hAnsi="Times New Roman" w:cs="Times New Roman"/>
                <w:color w:val="auto"/>
                <w:kern w:val="0"/>
                <w:highlight w:val="none"/>
                <w:lang w:val="en-US" w:eastAsia="zh-CN"/>
              </w:rPr>
            </w:pPr>
            <w:r>
              <w:rPr>
                <w:rFonts w:ascii="Times New Roman" w:hAnsi="Times New Roman" w:cs="Times New Roman"/>
                <w:color w:val="auto"/>
                <w:kern w:val="0"/>
                <w:highlight w:val="none"/>
              </w:rPr>
              <w:t>42.186971</w:t>
            </w:r>
          </w:p>
        </w:tc>
        <w:tc>
          <w:tcPr>
            <w:tcW w:w="414" w:type="pct"/>
            <w:tcBorders>
              <w:tl2br w:val="nil"/>
              <w:tr2bl w:val="nil"/>
            </w:tcBorders>
            <w:noWrap w:val="0"/>
            <w:vAlign w:val="center"/>
          </w:tcPr>
          <w:p w14:paraId="349C08E5">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50</w:t>
            </w:r>
          </w:p>
        </w:tc>
        <w:tc>
          <w:tcPr>
            <w:tcW w:w="395" w:type="pct"/>
            <w:tcBorders>
              <w:tl2br w:val="nil"/>
              <w:tr2bl w:val="nil"/>
            </w:tcBorders>
            <w:noWrap w:val="0"/>
            <w:vAlign w:val="center"/>
          </w:tcPr>
          <w:p w14:paraId="086810C5">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37</w:t>
            </w:r>
          </w:p>
        </w:tc>
        <w:tc>
          <w:tcPr>
            <w:tcW w:w="376" w:type="pct"/>
            <w:tcBorders>
              <w:tl2br w:val="nil"/>
              <w:tr2bl w:val="nil"/>
            </w:tcBorders>
            <w:noWrap w:val="0"/>
            <w:vAlign w:val="center"/>
          </w:tcPr>
          <w:p w14:paraId="0FC21E69">
            <w:pPr>
              <w:pStyle w:val="245"/>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1257</w:t>
            </w:r>
          </w:p>
        </w:tc>
        <w:tc>
          <w:tcPr>
            <w:tcW w:w="505" w:type="pct"/>
            <w:tcBorders>
              <w:tl2br w:val="nil"/>
              <w:tr2bl w:val="nil"/>
            </w:tcBorders>
            <w:noWrap w:val="0"/>
            <w:vAlign w:val="center"/>
          </w:tcPr>
          <w:p w14:paraId="439B627A">
            <w:pPr>
              <w:pStyle w:val="245"/>
              <w:spacing w:line="240" w:lineRule="auto"/>
              <w:jc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12</w:t>
            </w:r>
          </w:p>
        </w:tc>
        <w:tc>
          <w:tcPr>
            <w:tcW w:w="473" w:type="pct"/>
            <w:tcBorders>
              <w:tl2br w:val="nil"/>
              <w:tr2bl w:val="nil"/>
            </w:tcBorders>
            <w:noWrap w:val="0"/>
            <w:vAlign w:val="center"/>
          </w:tcPr>
          <w:p w14:paraId="254DB07E">
            <w:pPr>
              <w:pStyle w:val="245"/>
              <w:spacing w:line="240" w:lineRule="auto"/>
              <w:jc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2400</w:t>
            </w:r>
          </w:p>
        </w:tc>
        <w:tc>
          <w:tcPr>
            <w:tcW w:w="291" w:type="pct"/>
            <w:vMerge w:val="continue"/>
            <w:tcBorders>
              <w:tl2br w:val="nil"/>
              <w:tr2bl w:val="nil"/>
            </w:tcBorders>
            <w:noWrap w:val="0"/>
            <w:vAlign w:val="center"/>
          </w:tcPr>
          <w:p w14:paraId="1D6401F1">
            <w:pPr>
              <w:pStyle w:val="245"/>
              <w:spacing w:line="240" w:lineRule="auto"/>
              <w:jc w:val="center"/>
              <w:rPr>
                <w:rFonts w:ascii="Times New Roman" w:hAnsi="Times New Roman" w:cs="Times New Roman"/>
                <w:color w:val="auto"/>
                <w:kern w:val="0"/>
                <w:highlight w:val="none"/>
              </w:rPr>
            </w:pPr>
          </w:p>
        </w:tc>
        <w:tc>
          <w:tcPr>
            <w:tcW w:w="583" w:type="pct"/>
            <w:tcBorders>
              <w:tl2br w:val="nil"/>
              <w:tr2bl w:val="nil"/>
            </w:tcBorders>
            <w:noWrap w:val="0"/>
            <w:vAlign w:val="center"/>
          </w:tcPr>
          <w:p w14:paraId="3A8FAB87">
            <w:pPr>
              <w:pStyle w:val="245"/>
              <w:spacing w:line="240" w:lineRule="auto"/>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0.1</w:t>
            </w:r>
            <w:r>
              <w:rPr>
                <w:rFonts w:hint="eastAsia" w:cs="Times New Roman"/>
                <w:color w:val="auto"/>
                <w:kern w:val="0"/>
                <w:highlight w:val="none"/>
                <w:lang w:val="en-US" w:eastAsia="zh-CN"/>
              </w:rPr>
              <w:t>56</w:t>
            </w:r>
          </w:p>
        </w:tc>
      </w:tr>
    </w:tbl>
    <w:p w14:paraId="5A457B02">
      <w:pPr>
        <w:ind w:firstLine="480"/>
        <w:rPr>
          <w:rFonts w:hint="eastAsia"/>
          <w:color w:val="auto"/>
          <w:highlight w:val="none"/>
        </w:rPr>
        <w:sectPr>
          <w:pgSz w:w="16838" w:h="11906" w:orient="landscape"/>
          <w:pgMar w:top="1701" w:right="1418" w:bottom="1418" w:left="1247" w:header="851" w:footer="680" w:gutter="0"/>
          <w:pgBorders>
            <w:top w:val="none" w:sz="0" w:space="0"/>
            <w:left w:val="none" w:sz="0" w:space="0"/>
            <w:bottom w:val="none" w:sz="0" w:space="0"/>
            <w:right w:val="none" w:sz="0" w:space="0"/>
          </w:pgBorders>
          <w:pgNumType w:fmt="decimal"/>
          <w:cols w:space="720" w:num="1"/>
          <w:docGrid w:linePitch="326" w:charSpace="0"/>
        </w:sectPr>
      </w:pPr>
    </w:p>
    <w:p w14:paraId="5BE9E0FF">
      <w:pPr>
        <w:pStyle w:val="6"/>
        <w:rPr>
          <w:color w:val="auto"/>
          <w:highlight w:val="none"/>
        </w:rPr>
      </w:pPr>
      <w:r>
        <w:rPr>
          <w:rFonts w:hint="eastAsia"/>
          <w:color w:val="auto"/>
          <w:highlight w:val="none"/>
          <w:lang w:val="en-US" w:eastAsia="zh-CN"/>
        </w:rPr>
        <w:t xml:space="preserve"> 估算模式预测结果</w:t>
      </w:r>
    </w:p>
    <w:p w14:paraId="002F610B">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本次评价采用</w:t>
      </w:r>
      <w:r>
        <w:rPr>
          <w:rFonts w:hint="default" w:ascii="Times New Roman" w:hAnsi="Times New Roman" w:cs="Times New Roman"/>
          <w:color w:val="auto"/>
          <w:highlight w:val="none"/>
          <w:lang w:val="en-US" w:eastAsia="zh-CN"/>
        </w:rPr>
        <w:t>HJ2.2-2018推荐模式清单中的估算模式，计算</w:t>
      </w:r>
      <w:r>
        <w:rPr>
          <w:rFonts w:hint="eastAsia" w:ascii="Times New Roman" w:hAnsi="Times New Roman" w:cs="Times New Roman"/>
          <w:color w:val="auto"/>
          <w:highlight w:val="none"/>
          <w:lang w:val="en-US" w:eastAsia="zh-CN"/>
        </w:rPr>
        <w:t>污染物颗粒物</w:t>
      </w:r>
      <w:r>
        <w:rPr>
          <w:rFonts w:hint="default" w:ascii="Times New Roman" w:hAnsi="Times New Roman" w:cs="Times New Roman"/>
          <w:color w:val="auto"/>
          <w:highlight w:val="none"/>
          <w:lang w:val="en-US" w:eastAsia="zh-CN"/>
        </w:rPr>
        <w:t>的下风向轴线浓度，并计算相应浓度占标率</w:t>
      </w:r>
      <w:r>
        <w:rPr>
          <w:rFonts w:hint="eastAsia" w:ascii="Times New Roman" w:hAnsi="Times New Roman" w:cs="Times New Roman"/>
          <w:color w:val="auto"/>
          <w:highlight w:val="none"/>
          <w:lang w:val="en-US" w:eastAsia="zh-CN"/>
        </w:rPr>
        <w:t>。具体计算结果见标5.2-8。</w:t>
      </w:r>
    </w:p>
    <w:p w14:paraId="1871CB1F">
      <w:pPr>
        <w:pStyle w:val="199"/>
        <w:spacing w:before="120"/>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rPr>
        <w:t>表</w:t>
      </w:r>
      <w:r>
        <w:rPr>
          <w:rFonts w:hint="eastAsia" w:ascii="Times New Roman" w:hAnsi="Times New Roman" w:cs="Times New Roman"/>
          <w:color w:val="auto"/>
          <w:sz w:val="24"/>
          <w:highlight w:val="none"/>
          <w:lang w:val="en-US" w:eastAsia="zh-CN"/>
        </w:rPr>
        <w:t>5.2-8</w:t>
      </w:r>
      <w:r>
        <w:rPr>
          <w:rFonts w:hint="eastAsia" w:ascii="Times New Roman" w:hAnsi="Times New Roman" w:cs="Times New Roman"/>
          <w:color w:val="auto"/>
          <w:sz w:val="24"/>
          <w:highlight w:val="none"/>
        </w:rPr>
        <w:t xml:space="preserve">    </w:t>
      </w:r>
      <w:r>
        <w:rPr>
          <w:rFonts w:hint="eastAsia" w:ascii="Times New Roman" w:hAnsi="Times New Roman" w:cs="Times New Roman"/>
          <w:color w:val="auto"/>
          <w:sz w:val="24"/>
          <w:highlight w:val="none"/>
          <w:lang w:val="en-US" w:eastAsia="zh-CN"/>
        </w:rPr>
        <w:t>估算模式预测结果</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84"/>
        <w:gridCol w:w="1541"/>
        <w:gridCol w:w="1285"/>
        <w:gridCol w:w="1541"/>
        <w:gridCol w:w="1285"/>
        <w:gridCol w:w="1541"/>
        <w:gridCol w:w="1286"/>
      </w:tblGrid>
      <w:tr w14:paraId="0698C3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vMerge w:val="restart"/>
            <w:tcBorders>
              <w:tl2br w:val="nil"/>
              <w:tr2bl w:val="nil"/>
            </w:tcBorders>
            <w:noWrap w:val="0"/>
            <w:vAlign w:val="center"/>
          </w:tcPr>
          <w:p w14:paraId="6D53656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下风向距离</w:t>
            </w:r>
          </w:p>
        </w:tc>
        <w:tc>
          <w:tcPr>
            <w:tcW w:w="2688" w:type="dxa"/>
            <w:gridSpan w:val="2"/>
            <w:tcBorders>
              <w:tl2br w:val="nil"/>
              <w:tr2bl w:val="nil"/>
            </w:tcBorders>
            <w:noWrap w:val="0"/>
            <w:vAlign w:val="center"/>
          </w:tcPr>
          <w:p w14:paraId="5FC586A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原料堆存库（无组织）</w:t>
            </w:r>
          </w:p>
        </w:tc>
        <w:tc>
          <w:tcPr>
            <w:tcW w:w="2688" w:type="dxa"/>
            <w:gridSpan w:val="2"/>
            <w:tcBorders>
              <w:tl2br w:val="nil"/>
              <w:tr2bl w:val="nil"/>
            </w:tcBorders>
            <w:noWrap w:val="0"/>
            <w:vAlign w:val="center"/>
          </w:tcPr>
          <w:p w14:paraId="19820DE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破碎筛分车间（无组织）</w:t>
            </w:r>
          </w:p>
        </w:tc>
        <w:tc>
          <w:tcPr>
            <w:tcW w:w="2689" w:type="dxa"/>
            <w:gridSpan w:val="2"/>
            <w:tcBorders>
              <w:tl2br w:val="nil"/>
              <w:tr2bl w:val="nil"/>
            </w:tcBorders>
            <w:noWrap w:val="0"/>
            <w:vAlign w:val="center"/>
          </w:tcPr>
          <w:p w14:paraId="408604A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DA001（有组织）</w:t>
            </w:r>
          </w:p>
        </w:tc>
      </w:tr>
      <w:tr w14:paraId="501925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vMerge w:val="continue"/>
            <w:tcBorders>
              <w:tl2br w:val="nil"/>
              <w:tr2bl w:val="nil"/>
            </w:tcBorders>
            <w:noWrap w:val="0"/>
            <w:vAlign w:val="center"/>
          </w:tcPr>
          <w:p w14:paraId="5A2B183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p>
        </w:tc>
        <w:tc>
          <w:tcPr>
            <w:tcW w:w="1466" w:type="dxa"/>
            <w:tcBorders>
              <w:tl2br w:val="nil"/>
              <w:tr2bl w:val="nil"/>
            </w:tcBorders>
            <w:noWrap w:val="0"/>
            <w:vAlign w:val="center"/>
          </w:tcPr>
          <w:p w14:paraId="5E550B3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TSP浓度(μg/m³)</w:t>
            </w:r>
          </w:p>
        </w:tc>
        <w:tc>
          <w:tcPr>
            <w:tcW w:w="1222" w:type="dxa"/>
            <w:tcBorders>
              <w:tl2br w:val="nil"/>
              <w:tr2bl w:val="nil"/>
            </w:tcBorders>
            <w:noWrap w:val="0"/>
            <w:vAlign w:val="center"/>
          </w:tcPr>
          <w:p w14:paraId="4078D2E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TSP占标率(%)</w:t>
            </w:r>
          </w:p>
        </w:tc>
        <w:tc>
          <w:tcPr>
            <w:tcW w:w="1466" w:type="dxa"/>
            <w:tcBorders>
              <w:tl2br w:val="nil"/>
              <w:tr2bl w:val="nil"/>
            </w:tcBorders>
            <w:noWrap w:val="0"/>
            <w:vAlign w:val="center"/>
          </w:tcPr>
          <w:p w14:paraId="2761936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TSP浓度(μg/m³)</w:t>
            </w:r>
          </w:p>
        </w:tc>
        <w:tc>
          <w:tcPr>
            <w:tcW w:w="1222" w:type="dxa"/>
            <w:tcBorders>
              <w:tl2br w:val="nil"/>
              <w:tr2bl w:val="nil"/>
            </w:tcBorders>
            <w:noWrap w:val="0"/>
            <w:vAlign w:val="center"/>
          </w:tcPr>
          <w:p w14:paraId="1BC8EE6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TSP占标率(%)</w:t>
            </w:r>
          </w:p>
        </w:tc>
        <w:tc>
          <w:tcPr>
            <w:tcW w:w="1466" w:type="dxa"/>
            <w:tcBorders>
              <w:tl2br w:val="nil"/>
              <w:tr2bl w:val="nil"/>
            </w:tcBorders>
            <w:noWrap w:val="0"/>
            <w:vAlign w:val="center"/>
          </w:tcPr>
          <w:p w14:paraId="2061736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PM</w:t>
            </w:r>
            <w:r>
              <w:rPr>
                <w:rFonts w:hint="eastAsia" w:ascii="Times New Roman" w:hAnsi="Times New Roman" w:cs="Times New Roman"/>
                <w:color w:val="auto"/>
                <w:kern w:val="0"/>
                <w:highlight w:val="none"/>
                <w:vertAlign w:val="subscript"/>
                <w:lang w:val="en-US" w:eastAsia="zh-CN"/>
              </w:rPr>
              <w:t>10</w:t>
            </w:r>
            <w:r>
              <w:rPr>
                <w:rFonts w:hint="eastAsia" w:ascii="Times New Roman" w:hAnsi="Times New Roman" w:cs="Times New Roman"/>
                <w:color w:val="auto"/>
                <w:kern w:val="0"/>
                <w:highlight w:val="none"/>
                <w:lang w:val="en-US" w:eastAsia="zh-CN"/>
              </w:rPr>
              <w:t>浓度</w:t>
            </w:r>
          </w:p>
          <w:p w14:paraId="4E6FA05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(μg/m³)</w:t>
            </w:r>
          </w:p>
        </w:tc>
        <w:tc>
          <w:tcPr>
            <w:tcW w:w="1223" w:type="dxa"/>
            <w:tcBorders>
              <w:tl2br w:val="nil"/>
              <w:tr2bl w:val="nil"/>
            </w:tcBorders>
            <w:noWrap w:val="0"/>
            <w:vAlign w:val="center"/>
          </w:tcPr>
          <w:p w14:paraId="620C806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PM</w:t>
            </w:r>
            <w:r>
              <w:rPr>
                <w:rFonts w:hint="eastAsia" w:ascii="Times New Roman" w:hAnsi="Times New Roman" w:cs="Times New Roman"/>
                <w:color w:val="auto"/>
                <w:kern w:val="0"/>
                <w:highlight w:val="none"/>
                <w:vertAlign w:val="subscript"/>
                <w:lang w:val="en-US" w:eastAsia="zh-CN"/>
              </w:rPr>
              <w:t>10</w:t>
            </w:r>
            <w:r>
              <w:rPr>
                <w:rFonts w:hint="eastAsia" w:ascii="Times New Roman" w:hAnsi="Times New Roman" w:cs="Times New Roman"/>
                <w:color w:val="auto"/>
                <w:kern w:val="0"/>
                <w:highlight w:val="none"/>
                <w:lang w:val="en-US" w:eastAsia="zh-CN"/>
              </w:rPr>
              <w:t>占标率(%)</w:t>
            </w:r>
          </w:p>
        </w:tc>
      </w:tr>
      <w:tr w14:paraId="6A0B46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60C7AE7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50</w:t>
            </w:r>
          </w:p>
        </w:tc>
        <w:tc>
          <w:tcPr>
            <w:tcW w:w="1466" w:type="dxa"/>
            <w:tcBorders>
              <w:tl2br w:val="nil"/>
              <w:tr2bl w:val="nil"/>
            </w:tcBorders>
            <w:noWrap w:val="0"/>
            <w:vAlign w:val="center"/>
          </w:tcPr>
          <w:p w14:paraId="0A7EAA3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27.258</w:t>
            </w:r>
          </w:p>
        </w:tc>
        <w:tc>
          <w:tcPr>
            <w:tcW w:w="1222" w:type="dxa"/>
            <w:tcBorders>
              <w:tl2br w:val="nil"/>
              <w:tr2bl w:val="nil"/>
            </w:tcBorders>
            <w:noWrap w:val="0"/>
            <w:vAlign w:val="center"/>
          </w:tcPr>
          <w:p w14:paraId="73C8E6F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3.03</w:t>
            </w:r>
          </w:p>
        </w:tc>
        <w:tc>
          <w:tcPr>
            <w:tcW w:w="1466" w:type="dxa"/>
            <w:tcBorders>
              <w:tl2br w:val="nil"/>
              <w:tr2bl w:val="nil"/>
            </w:tcBorders>
            <w:noWrap w:val="0"/>
            <w:vAlign w:val="center"/>
          </w:tcPr>
          <w:p w14:paraId="32BABB7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60.725</w:t>
            </w:r>
          </w:p>
        </w:tc>
        <w:tc>
          <w:tcPr>
            <w:tcW w:w="1222" w:type="dxa"/>
            <w:tcBorders>
              <w:tl2br w:val="nil"/>
              <w:tr2bl w:val="nil"/>
            </w:tcBorders>
            <w:noWrap w:val="0"/>
            <w:vAlign w:val="center"/>
          </w:tcPr>
          <w:p w14:paraId="2A74D29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6.75</w:t>
            </w:r>
          </w:p>
        </w:tc>
        <w:tc>
          <w:tcPr>
            <w:tcW w:w="1466" w:type="dxa"/>
            <w:tcBorders>
              <w:tl2br w:val="nil"/>
              <w:tr2bl w:val="nil"/>
            </w:tcBorders>
            <w:noWrap w:val="0"/>
            <w:vAlign w:val="center"/>
          </w:tcPr>
          <w:p w14:paraId="6308F5F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1.050</w:t>
            </w:r>
          </w:p>
        </w:tc>
        <w:tc>
          <w:tcPr>
            <w:tcW w:w="1223" w:type="dxa"/>
            <w:tcBorders>
              <w:tl2br w:val="nil"/>
              <w:tr2bl w:val="nil"/>
            </w:tcBorders>
            <w:noWrap w:val="0"/>
            <w:vAlign w:val="center"/>
          </w:tcPr>
          <w:p w14:paraId="7D06FEB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0.23</w:t>
            </w:r>
          </w:p>
        </w:tc>
      </w:tr>
      <w:tr w14:paraId="7475C4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37CA8C8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100</w:t>
            </w:r>
          </w:p>
        </w:tc>
        <w:tc>
          <w:tcPr>
            <w:tcW w:w="1466" w:type="dxa"/>
            <w:tcBorders>
              <w:tl2br w:val="nil"/>
              <w:tr2bl w:val="nil"/>
            </w:tcBorders>
            <w:noWrap w:val="0"/>
            <w:vAlign w:val="center"/>
          </w:tcPr>
          <w:p w14:paraId="474278A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32.214</w:t>
            </w:r>
          </w:p>
        </w:tc>
        <w:tc>
          <w:tcPr>
            <w:tcW w:w="1222" w:type="dxa"/>
            <w:tcBorders>
              <w:tl2br w:val="nil"/>
              <w:tr2bl w:val="nil"/>
            </w:tcBorders>
            <w:noWrap w:val="0"/>
            <w:vAlign w:val="center"/>
          </w:tcPr>
          <w:p w14:paraId="0D5331F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3.58</w:t>
            </w:r>
          </w:p>
        </w:tc>
        <w:tc>
          <w:tcPr>
            <w:tcW w:w="1466" w:type="dxa"/>
            <w:tcBorders>
              <w:tl2br w:val="nil"/>
              <w:tr2bl w:val="nil"/>
            </w:tcBorders>
            <w:noWrap w:val="0"/>
            <w:vAlign w:val="center"/>
          </w:tcPr>
          <w:p w14:paraId="571868A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48.269</w:t>
            </w:r>
          </w:p>
        </w:tc>
        <w:tc>
          <w:tcPr>
            <w:tcW w:w="1222" w:type="dxa"/>
            <w:tcBorders>
              <w:tl2br w:val="nil"/>
              <w:tr2bl w:val="nil"/>
            </w:tcBorders>
            <w:noWrap w:val="0"/>
            <w:vAlign w:val="center"/>
          </w:tcPr>
          <w:p w14:paraId="44A8A31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5.36</w:t>
            </w:r>
          </w:p>
        </w:tc>
        <w:tc>
          <w:tcPr>
            <w:tcW w:w="1466" w:type="dxa"/>
            <w:tcBorders>
              <w:tl2br w:val="nil"/>
              <w:tr2bl w:val="nil"/>
            </w:tcBorders>
            <w:noWrap w:val="0"/>
            <w:vAlign w:val="center"/>
          </w:tcPr>
          <w:p w14:paraId="0D16009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1.056</w:t>
            </w:r>
          </w:p>
        </w:tc>
        <w:tc>
          <w:tcPr>
            <w:tcW w:w="1223" w:type="dxa"/>
            <w:tcBorders>
              <w:tl2br w:val="nil"/>
              <w:tr2bl w:val="nil"/>
            </w:tcBorders>
            <w:noWrap w:val="0"/>
            <w:vAlign w:val="center"/>
          </w:tcPr>
          <w:p w14:paraId="4E8F7C1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0.23</w:t>
            </w:r>
          </w:p>
        </w:tc>
      </w:tr>
      <w:tr w14:paraId="43277F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6AC54AE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200</w:t>
            </w:r>
          </w:p>
        </w:tc>
        <w:tc>
          <w:tcPr>
            <w:tcW w:w="1466" w:type="dxa"/>
            <w:tcBorders>
              <w:tl2br w:val="nil"/>
              <w:tr2bl w:val="nil"/>
            </w:tcBorders>
            <w:noWrap w:val="0"/>
            <w:vAlign w:val="center"/>
          </w:tcPr>
          <w:p w14:paraId="1C58E78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21.923</w:t>
            </w:r>
          </w:p>
        </w:tc>
        <w:tc>
          <w:tcPr>
            <w:tcW w:w="1222" w:type="dxa"/>
            <w:tcBorders>
              <w:tl2br w:val="nil"/>
              <w:tr2bl w:val="nil"/>
            </w:tcBorders>
            <w:noWrap w:val="0"/>
            <w:vAlign w:val="center"/>
          </w:tcPr>
          <w:p w14:paraId="0B2DEDB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2.44</w:t>
            </w:r>
          </w:p>
        </w:tc>
        <w:tc>
          <w:tcPr>
            <w:tcW w:w="1466" w:type="dxa"/>
            <w:tcBorders>
              <w:tl2br w:val="nil"/>
              <w:tr2bl w:val="nil"/>
            </w:tcBorders>
            <w:noWrap w:val="0"/>
            <w:vAlign w:val="center"/>
          </w:tcPr>
          <w:p w14:paraId="7F5E57E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30.791</w:t>
            </w:r>
          </w:p>
        </w:tc>
        <w:tc>
          <w:tcPr>
            <w:tcW w:w="1222" w:type="dxa"/>
            <w:tcBorders>
              <w:tl2br w:val="nil"/>
              <w:tr2bl w:val="nil"/>
            </w:tcBorders>
            <w:noWrap w:val="0"/>
            <w:vAlign w:val="center"/>
          </w:tcPr>
          <w:p w14:paraId="2930874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3.42</w:t>
            </w:r>
          </w:p>
        </w:tc>
        <w:tc>
          <w:tcPr>
            <w:tcW w:w="1466" w:type="dxa"/>
            <w:tcBorders>
              <w:tl2br w:val="nil"/>
              <w:tr2bl w:val="nil"/>
            </w:tcBorders>
            <w:noWrap w:val="0"/>
            <w:vAlign w:val="center"/>
          </w:tcPr>
          <w:p w14:paraId="7DE0B78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1.106</w:t>
            </w:r>
          </w:p>
        </w:tc>
        <w:tc>
          <w:tcPr>
            <w:tcW w:w="1223" w:type="dxa"/>
            <w:tcBorders>
              <w:tl2br w:val="nil"/>
              <w:tr2bl w:val="nil"/>
            </w:tcBorders>
            <w:noWrap w:val="0"/>
            <w:vAlign w:val="center"/>
          </w:tcPr>
          <w:p w14:paraId="72E5A3C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0.25</w:t>
            </w:r>
          </w:p>
        </w:tc>
      </w:tr>
      <w:tr w14:paraId="287491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00046B6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300</w:t>
            </w:r>
          </w:p>
        </w:tc>
        <w:tc>
          <w:tcPr>
            <w:tcW w:w="1466" w:type="dxa"/>
            <w:tcBorders>
              <w:tl2br w:val="nil"/>
              <w:tr2bl w:val="nil"/>
            </w:tcBorders>
            <w:noWrap w:val="0"/>
            <w:vAlign w:val="center"/>
          </w:tcPr>
          <w:p w14:paraId="2E87070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16.895</w:t>
            </w:r>
          </w:p>
        </w:tc>
        <w:tc>
          <w:tcPr>
            <w:tcW w:w="1222" w:type="dxa"/>
            <w:tcBorders>
              <w:tl2br w:val="nil"/>
              <w:tr2bl w:val="nil"/>
            </w:tcBorders>
            <w:noWrap w:val="0"/>
            <w:vAlign w:val="center"/>
          </w:tcPr>
          <w:p w14:paraId="5B5ABEB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1.88</w:t>
            </w:r>
          </w:p>
        </w:tc>
        <w:tc>
          <w:tcPr>
            <w:tcW w:w="1466" w:type="dxa"/>
            <w:tcBorders>
              <w:tl2br w:val="nil"/>
              <w:tr2bl w:val="nil"/>
            </w:tcBorders>
            <w:noWrap w:val="0"/>
            <w:vAlign w:val="center"/>
          </w:tcPr>
          <w:p w14:paraId="1B73F4B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23.720</w:t>
            </w:r>
          </w:p>
        </w:tc>
        <w:tc>
          <w:tcPr>
            <w:tcW w:w="1222" w:type="dxa"/>
            <w:tcBorders>
              <w:tl2br w:val="nil"/>
              <w:tr2bl w:val="nil"/>
            </w:tcBorders>
            <w:noWrap w:val="0"/>
            <w:vAlign w:val="center"/>
          </w:tcPr>
          <w:p w14:paraId="0E5845A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2.64</w:t>
            </w:r>
          </w:p>
        </w:tc>
        <w:tc>
          <w:tcPr>
            <w:tcW w:w="1466" w:type="dxa"/>
            <w:tcBorders>
              <w:tl2br w:val="nil"/>
              <w:tr2bl w:val="nil"/>
            </w:tcBorders>
            <w:noWrap w:val="0"/>
            <w:vAlign w:val="center"/>
          </w:tcPr>
          <w:p w14:paraId="6EA322D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1.018</w:t>
            </w:r>
          </w:p>
        </w:tc>
        <w:tc>
          <w:tcPr>
            <w:tcW w:w="1223" w:type="dxa"/>
            <w:tcBorders>
              <w:tl2br w:val="nil"/>
              <w:tr2bl w:val="nil"/>
            </w:tcBorders>
            <w:noWrap w:val="0"/>
            <w:vAlign w:val="center"/>
          </w:tcPr>
          <w:p w14:paraId="5FACA67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0.23</w:t>
            </w:r>
          </w:p>
        </w:tc>
      </w:tr>
      <w:tr w14:paraId="716941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4A109D7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400</w:t>
            </w:r>
          </w:p>
        </w:tc>
        <w:tc>
          <w:tcPr>
            <w:tcW w:w="1466" w:type="dxa"/>
            <w:tcBorders>
              <w:tl2br w:val="nil"/>
              <w:tr2bl w:val="nil"/>
            </w:tcBorders>
            <w:noWrap w:val="0"/>
            <w:vAlign w:val="center"/>
          </w:tcPr>
          <w:p w14:paraId="2AB4735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14.321</w:t>
            </w:r>
          </w:p>
        </w:tc>
        <w:tc>
          <w:tcPr>
            <w:tcW w:w="1222" w:type="dxa"/>
            <w:tcBorders>
              <w:tl2br w:val="nil"/>
              <w:tr2bl w:val="nil"/>
            </w:tcBorders>
            <w:noWrap w:val="0"/>
            <w:vAlign w:val="center"/>
          </w:tcPr>
          <w:p w14:paraId="7B4820E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1.59</w:t>
            </w:r>
          </w:p>
        </w:tc>
        <w:tc>
          <w:tcPr>
            <w:tcW w:w="1466" w:type="dxa"/>
            <w:tcBorders>
              <w:tl2br w:val="nil"/>
              <w:tr2bl w:val="nil"/>
            </w:tcBorders>
            <w:noWrap w:val="0"/>
            <w:vAlign w:val="center"/>
          </w:tcPr>
          <w:p w14:paraId="32224DC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19.167</w:t>
            </w:r>
          </w:p>
        </w:tc>
        <w:tc>
          <w:tcPr>
            <w:tcW w:w="1222" w:type="dxa"/>
            <w:tcBorders>
              <w:tl2br w:val="nil"/>
              <w:tr2bl w:val="nil"/>
            </w:tcBorders>
            <w:noWrap w:val="0"/>
            <w:vAlign w:val="center"/>
          </w:tcPr>
          <w:p w14:paraId="4B7CB70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2.13</w:t>
            </w:r>
          </w:p>
        </w:tc>
        <w:tc>
          <w:tcPr>
            <w:tcW w:w="1466" w:type="dxa"/>
            <w:tcBorders>
              <w:tl2br w:val="nil"/>
              <w:tr2bl w:val="nil"/>
            </w:tcBorders>
            <w:noWrap w:val="0"/>
            <w:vAlign w:val="center"/>
          </w:tcPr>
          <w:p w14:paraId="6A7C669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18.940</w:t>
            </w:r>
          </w:p>
        </w:tc>
        <w:tc>
          <w:tcPr>
            <w:tcW w:w="1223" w:type="dxa"/>
            <w:tcBorders>
              <w:tl2br w:val="nil"/>
              <w:tr2bl w:val="nil"/>
            </w:tcBorders>
            <w:noWrap w:val="0"/>
            <w:vAlign w:val="center"/>
          </w:tcPr>
          <w:p w14:paraId="2152F19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4.21</w:t>
            </w:r>
          </w:p>
        </w:tc>
      </w:tr>
      <w:tr w14:paraId="741B50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6CD37BE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500</w:t>
            </w:r>
          </w:p>
        </w:tc>
        <w:tc>
          <w:tcPr>
            <w:tcW w:w="1466" w:type="dxa"/>
            <w:tcBorders>
              <w:tl2br w:val="nil"/>
              <w:tr2bl w:val="nil"/>
            </w:tcBorders>
            <w:noWrap w:val="0"/>
            <w:vAlign w:val="center"/>
          </w:tcPr>
          <w:p w14:paraId="13E0DAC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12.235</w:t>
            </w:r>
          </w:p>
        </w:tc>
        <w:tc>
          <w:tcPr>
            <w:tcW w:w="1222" w:type="dxa"/>
            <w:tcBorders>
              <w:tl2br w:val="nil"/>
              <w:tr2bl w:val="nil"/>
            </w:tcBorders>
            <w:noWrap w:val="0"/>
            <w:vAlign w:val="center"/>
          </w:tcPr>
          <w:p w14:paraId="3485396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1.36</w:t>
            </w:r>
          </w:p>
        </w:tc>
        <w:tc>
          <w:tcPr>
            <w:tcW w:w="1466" w:type="dxa"/>
            <w:tcBorders>
              <w:tl2br w:val="nil"/>
              <w:tr2bl w:val="nil"/>
            </w:tcBorders>
            <w:noWrap w:val="0"/>
            <w:vAlign w:val="center"/>
          </w:tcPr>
          <w:p w14:paraId="4B7569B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16.355</w:t>
            </w:r>
          </w:p>
        </w:tc>
        <w:tc>
          <w:tcPr>
            <w:tcW w:w="1222" w:type="dxa"/>
            <w:tcBorders>
              <w:tl2br w:val="nil"/>
              <w:tr2bl w:val="nil"/>
            </w:tcBorders>
            <w:noWrap w:val="0"/>
            <w:vAlign w:val="center"/>
          </w:tcPr>
          <w:p w14:paraId="11ADDB4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1.82</w:t>
            </w:r>
          </w:p>
        </w:tc>
        <w:tc>
          <w:tcPr>
            <w:tcW w:w="1466" w:type="dxa"/>
            <w:tcBorders>
              <w:tl2br w:val="nil"/>
              <w:tr2bl w:val="nil"/>
            </w:tcBorders>
            <w:noWrap w:val="0"/>
            <w:vAlign w:val="center"/>
          </w:tcPr>
          <w:p w14:paraId="7993B36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14.447</w:t>
            </w:r>
          </w:p>
        </w:tc>
        <w:tc>
          <w:tcPr>
            <w:tcW w:w="1223" w:type="dxa"/>
            <w:tcBorders>
              <w:tl2br w:val="nil"/>
              <w:tr2bl w:val="nil"/>
            </w:tcBorders>
            <w:noWrap w:val="0"/>
            <w:vAlign w:val="center"/>
          </w:tcPr>
          <w:p w14:paraId="5F998B9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3.21</w:t>
            </w:r>
          </w:p>
        </w:tc>
      </w:tr>
      <w:tr w14:paraId="4000EC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309EDF2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600</w:t>
            </w:r>
          </w:p>
        </w:tc>
        <w:tc>
          <w:tcPr>
            <w:tcW w:w="1466" w:type="dxa"/>
            <w:tcBorders>
              <w:tl2br w:val="nil"/>
              <w:tr2bl w:val="nil"/>
            </w:tcBorders>
            <w:noWrap w:val="0"/>
            <w:vAlign w:val="center"/>
          </w:tcPr>
          <w:p w14:paraId="20BED74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10.760</w:t>
            </w:r>
          </w:p>
        </w:tc>
        <w:tc>
          <w:tcPr>
            <w:tcW w:w="1222" w:type="dxa"/>
            <w:tcBorders>
              <w:tl2br w:val="nil"/>
              <w:tr2bl w:val="nil"/>
            </w:tcBorders>
            <w:noWrap w:val="0"/>
            <w:vAlign w:val="center"/>
          </w:tcPr>
          <w:p w14:paraId="3D720C4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1.20</w:t>
            </w:r>
          </w:p>
        </w:tc>
        <w:tc>
          <w:tcPr>
            <w:tcW w:w="1466" w:type="dxa"/>
            <w:tcBorders>
              <w:tl2br w:val="nil"/>
              <w:tr2bl w:val="nil"/>
            </w:tcBorders>
            <w:noWrap w:val="0"/>
            <w:vAlign w:val="center"/>
          </w:tcPr>
          <w:p w14:paraId="748D695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14.622</w:t>
            </w:r>
          </w:p>
        </w:tc>
        <w:tc>
          <w:tcPr>
            <w:tcW w:w="1222" w:type="dxa"/>
            <w:tcBorders>
              <w:tl2br w:val="nil"/>
              <w:tr2bl w:val="nil"/>
            </w:tcBorders>
            <w:noWrap w:val="0"/>
            <w:vAlign w:val="center"/>
          </w:tcPr>
          <w:p w14:paraId="5CC8735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1.62</w:t>
            </w:r>
          </w:p>
        </w:tc>
        <w:tc>
          <w:tcPr>
            <w:tcW w:w="1466" w:type="dxa"/>
            <w:tcBorders>
              <w:tl2br w:val="nil"/>
              <w:tr2bl w:val="nil"/>
            </w:tcBorders>
            <w:noWrap w:val="0"/>
            <w:vAlign w:val="center"/>
          </w:tcPr>
          <w:p w14:paraId="1852766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10.802</w:t>
            </w:r>
          </w:p>
        </w:tc>
        <w:tc>
          <w:tcPr>
            <w:tcW w:w="1223" w:type="dxa"/>
            <w:tcBorders>
              <w:tl2br w:val="nil"/>
              <w:tr2bl w:val="nil"/>
            </w:tcBorders>
            <w:noWrap w:val="0"/>
            <w:vAlign w:val="center"/>
          </w:tcPr>
          <w:p w14:paraId="6F5EF8A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2.40</w:t>
            </w:r>
          </w:p>
        </w:tc>
      </w:tr>
      <w:tr w14:paraId="2FE0AF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369B43E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700</w:t>
            </w:r>
          </w:p>
        </w:tc>
        <w:tc>
          <w:tcPr>
            <w:tcW w:w="1466" w:type="dxa"/>
            <w:tcBorders>
              <w:tl2br w:val="nil"/>
              <w:tr2bl w:val="nil"/>
            </w:tcBorders>
            <w:noWrap w:val="0"/>
            <w:vAlign w:val="center"/>
          </w:tcPr>
          <w:p w14:paraId="6457AA1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9.654</w:t>
            </w:r>
          </w:p>
        </w:tc>
        <w:tc>
          <w:tcPr>
            <w:tcW w:w="1222" w:type="dxa"/>
            <w:tcBorders>
              <w:tl2br w:val="nil"/>
              <w:tr2bl w:val="nil"/>
            </w:tcBorders>
            <w:noWrap w:val="0"/>
            <w:vAlign w:val="center"/>
          </w:tcPr>
          <w:p w14:paraId="6DF436D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1.07</w:t>
            </w:r>
          </w:p>
        </w:tc>
        <w:tc>
          <w:tcPr>
            <w:tcW w:w="1466" w:type="dxa"/>
            <w:tcBorders>
              <w:tl2br w:val="nil"/>
              <w:tr2bl w:val="nil"/>
            </w:tcBorders>
            <w:noWrap w:val="0"/>
            <w:vAlign w:val="center"/>
          </w:tcPr>
          <w:p w14:paraId="4C2411A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13.192</w:t>
            </w:r>
          </w:p>
        </w:tc>
        <w:tc>
          <w:tcPr>
            <w:tcW w:w="1222" w:type="dxa"/>
            <w:tcBorders>
              <w:tl2br w:val="nil"/>
              <w:tr2bl w:val="nil"/>
            </w:tcBorders>
            <w:noWrap w:val="0"/>
            <w:vAlign w:val="center"/>
          </w:tcPr>
          <w:p w14:paraId="1478972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1.47</w:t>
            </w:r>
          </w:p>
        </w:tc>
        <w:tc>
          <w:tcPr>
            <w:tcW w:w="1466" w:type="dxa"/>
            <w:tcBorders>
              <w:tl2br w:val="nil"/>
              <w:tr2bl w:val="nil"/>
            </w:tcBorders>
            <w:noWrap w:val="0"/>
            <w:vAlign w:val="center"/>
          </w:tcPr>
          <w:p w14:paraId="44A8180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9.473</w:t>
            </w:r>
          </w:p>
        </w:tc>
        <w:tc>
          <w:tcPr>
            <w:tcW w:w="1223" w:type="dxa"/>
            <w:tcBorders>
              <w:tl2br w:val="nil"/>
              <w:tr2bl w:val="nil"/>
            </w:tcBorders>
            <w:noWrap w:val="0"/>
            <w:vAlign w:val="center"/>
          </w:tcPr>
          <w:p w14:paraId="0BA7D1A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2.11</w:t>
            </w:r>
          </w:p>
        </w:tc>
      </w:tr>
      <w:tr w14:paraId="033C2D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22A6AD4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800</w:t>
            </w:r>
          </w:p>
        </w:tc>
        <w:tc>
          <w:tcPr>
            <w:tcW w:w="1466" w:type="dxa"/>
            <w:tcBorders>
              <w:tl2br w:val="nil"/>
              <w:tr2bl w:val="nil"/>
            </w:tcBorders>
            <w:noWrap w:val="0"/>
            <w:vAlign w:val="center"/>
          </w:tcPr>
          <w:p w14:paraId="1DF8811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8.788</w:t>
            </w:r>
          </w:p>
        </w:tc>
        <w:tc>
          <w:tcPr>
            <w:tcW w:w="1222" w:type="dxa"/>
            <w:tcBorders>
              <w:tl2br w:val="nil"/>
              <w:tr2bl w:val="nil"/>
            </w:tcBorders>
            <w:noWrap w:val="0"/>
            <w:vAlign w:val="center"/>
          </w:tcPr>
          <w:p w14:paraId="537B6C8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0.98</w:t>
            </w:r>
          </w:p>
        </w:tc>
        <w:tc>
          <w:tcPr>
            <w:tcW w:w="1466" w:type="dxa"/>
            <w:tcBorders>
              <w:tl2br w:val="nil"/>
              <w:tr2bl w:val="nil"/>
            </w:tcBorders>
            <w:noWrap w:val="0"/>
            <w:vAlign w:val="center"/>
          </w:tcPr>
          <w:p w14:paraId="196B198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12.009</w:t>
            </w:r>
          </w:p>
        </w:tc>
        <w:tc>
          <w:tcPr>
            <w:tcW w:w="1222" w:type="dxa"/>
            <w:tcBorders>
              <w:tl2br w:val="nil"/>
              <w:tr2bl w:val="nil"/>
            </w:tcBorders>
            <w:noWrap w:val="0"/>
            <w:vAlign w:val="center"/>
          </w:tcPr>
          <w:p w14:paraId="397F11D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1.33</w:t>
            </w:r>
          </w:p>
        </w:tc>
        <w:tc>
          <w:tcPr>
            <w:tcW w:w="1466" w:type="dxa"/>
            <w:tcBorders>
              <w:tl2br w:val="nil"/>
              <w:tr2bl w:val="nil"/>
            </w:tcBorders>
            <w:noWrap w:val="0"/>
            <w:vAlign w:val="center"/>
          </w:tcPr>
          <w:p w14:paraId="4B2246B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6.989</w:t>
            </w:r>
          </w:p>
        </w:tc>
        <w:tc>
          <w:tcPr>
            <w:tcW w:w="1223" w:type="dxa"/>
            <w:tcBorders>
              <w:tl2br w:val="nil"/>
              <w:tr2bl w:val="nil"/>
            </w:tcBorders>
            <w:noWrap w:val="0"/>
            <w:vAlign w:val="center"/>
          </w:tcPr>
          <w:p w14:paraId="0D3B28A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1.55</w:t>
            </w:r>
          </w:p>
        </w:tc>
      </w:tr>
      <w:tr w14:paraId="0A65EB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6F33627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900</w:t>
            </w:r>
          </w:p>
        </w:tc>
        <w:tc>
          <w:tcPr>
            <w:tcW w:w="1466" w:type="dxa"/>
            <w:tcBorders>
              <w:tl2br w:val="nil"/>
              <w:tr2bl w:val="nil"/>
            </w:tcBorders>
            <w:noWrap w:val="0"/>
            <w:vAlign w:val="center"/>
          </w:tcPr>
          <w:p w14:paraId="557E0C2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8.090</w:t>
            </w:r>
          </w:p>
        </w:tc>
        <w:tc>
          <w:tcPr>
            <w:tcW w:w="1222" w:type="dxa"/>
            <w:tcBorders>
              <w:tl2br w:val="nil"/>
              <w:tr2bl w:val="nil"/>
            </w:tcBorders>
            <w:noWrap w:val="0"/>
            <w:vAlign w:val="center"/>
          </w:tcPr>
          <w:p w14:paraId="1A91801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0.90</w:t>
            </w:r>
          </w:p>
        </w:tc>
        <w:tc>
          <w:tcPr>
            <w:tcW w:w="1466" w:type="dxa"/>
            <w:tcBorders>
              <w:tl2br w:val="nil"/>
              <w:tr2bl w:val="nil"/>
            </w:tcBorders>
            <w:noWrap w:val="0"/>
            <w:vAlign w:val="center"/>
          </w:tcPr>
          <w:p w14:paraId="5F28C81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11.019</w:t>
            </w:r>
          </w:p>
        </w:tc>
        <w:tc>
          <w:tcPr>
            <w:tcW w:w="1222" w:type="dxa"/>
            <w:tcBorders>
              <w:tl2br w:val="nil"/>
              <w:tr2bl w:val="nil"/>
            </w:tcBorders>
            <w:noWrap w:val="0"/>
            <w:vAlign w:val="center"/>
          </w:tcPr>
          <w:p w14:paraId="00C1661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1.22</w:t>
            </w:r>
          </w:p>
        </w:tc>
        <w:tc>
          <w:tcPr>
            <w:tcW w:w="1466" w:type="dxa"/>
            <w:tcBorders>
              <w:tl2br w:val="nil"/>
              <w:tr2bl w:val="nil"/>
            </w:tcBorders>
            <w:noWrap w:val="0"/>
            <w:vAlign w:val="center"/>
          </w:tcPr>
          <w:p w14:paraId="66F64CC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6.920</w:t>
            </w:r>
          </w:p>
        </w:tc>
        <w:tc>
          <w:tcPr>
            <w:tcW w:w="1223" w:type="dxa"/>
            <w:tcBorders>
              <w:tl2br w:val="nil"/>
              <w:tr2bl w:val="nil"/>
            </w:tcBorders>
            <w:noWrap w:val="0"/>
            <w:vAlign w:val="center"/>
          </w:tcPr>
          <w:p w14:paraId="34DEB67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1.54</w:t>
            </w:r>
          </w:p>
        </w:tc>
      </w:tr>
      <w:tr w14:paraId="139AAD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7C0F0ED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1000</w:t>
            </w:r>
          </w:p>
        </w:tc>
        <w:tc>
          <w:tcPr>
            <w:tcW w:w="1466" w:type="dxa"/>
            <w:tcBorders>
              <w:tl2br w:val="nil"/>
              <w:tr2bl w:val="nil"/>
            </w:tcBorders>
            <w:noWrap w:val="0"/>
            <w:vAlign w:val="center"/>
          </w:tcPr>
          <w:p w14:paraId="2C7F529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7.513</w:t>
            </w:r>
          </w:p>
        </w:tc>
        <w:tc>
          <w:tcPr>
            <w:tcW w:w="1222" w:type="dxa"/>
            <w:tcBorders>
              <w:tl2br w:val="nil"/>
              <w:tr2bl w:val="nil"/>
            </w:tcBorders>
            <w:noWrap w:val="0"/>
            <w:vAlign w:val="center"/>
          </w:tcPr>
          <w:p w14:paraId="3D6654A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0.83</w:t>
            </w:r>
          </w:p>
        </w:tc>
        <w:tc>
          <w:tcPr>
            <w:tcW w:w="1466" w:type="dxa"/>
            <w:tcBorders>
              <w:tl2br w:val="nil"/>
              <w:tr2bl w:val="nil"/>
            </w:tcBorders>
            <w:noWrap w:val="0"/>
            <w:vAlign w:val="center"/>
          </w:tcPr>
          <w:p w14:paraId="71913B4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10.168</w:t>
            </w:r>
          </w:p>
        </w:tc>
        <w:tc>
          <w:tcPr>
            <w:tcW w:w="1222" w:type="dxa"/>
            <w:tcBorders>
              <w:tl2br w:val="nil"/>
              <w:tr2bl w:val="nil"/>
            </w:tcBorders>
            <w:noWrap w:val="0"/>
            <w:vAlign w:val="center"/>
          </w:tcPr>
          <w:p w14:paraId="3CBDB6A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1.13</w:t>
            </w:r>
          </w:p>
        </w:tc>
        <w:tc>
          <w:tcPr>
            <w:tcW w:w="1466" w:type="dxa"/>
            <w:tcBorders>
              <w:tl2br w:val="nil"/>
              <w:tr2bl w:val="nil"/>
            </w:tcBorders>
            <w:noWrap w:val="0"/>
            <w:vAlign w:val="center"/>
          </w:tcPr>
          <w:p w14:paraId="3E1E201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6.061</w:t>
            </w:r>
          </w:p>
        </w:tc>
        <w:tc>
          <w:tcPr>
            <w:tcW w:w="1223" w:type="dxa"/>
            <w:tcBorders>
              <w:tl2br w:val="nil"/>
              <w:tr2bl w:val="nil"/>
            </w:tcBorders>
            <w:noWrap w:val="0"/>
            <w:vAlign w:val="center"/>
          </w:tcPr>
          <w:p w14:paraId="54F158B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1.35</w:t>
            </w:r>
          </w:p>
        </w:tc>
      </w:tr>
      <w:tr w14:paraId="3F463C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76ADC02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1200</w:t>
            </w:r>
          </w:p>
        </w:tc>
        <w:tc>
          <w:tcPr>
            <w:tcW w:w="1466" w:type="dxa"/>
            <w:tcBorders>
              <w:tl2br w:val="nil"/>
              <w:tr2bl w:val="nil"/>
            </w:tcBorders>
            <w:noWrap w:val="0"/>
            <w:vAlign w:val="center"/>
          </w:tcPr>
          <w:p w14:paraId="7164A32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6.610</w:t>
            </w:r>
          </w:p>
        </w:tc>
        <w:tc>
          <w:tcPr>
            <w:tcW w:w="1222" w:type="dxa"/>
            <w:tcBorders>
              <w:tl2br w:val="nil"/>
              <w:tr2bl w:val="nil"/>
            </w:tcBorders>
            <w:noWrap w:val="0"/>
            <w:vAlign w:val="center"/>
          </w:tcPr>
          <w:p w14:paraId="6EBA029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0.73</w:t>
            </w:r>
          </w:p>
        </w:tc>
        <w:tc>
          <w:tcPr>
            <w:tcW w:w="1466" w:type="dxa"/>
            <w:tcBorders>
              <w:tl2br w:val="nil"/>
              <w:tr2bl w:val="nil"/>
            </w:tcBorders>
            <w:noWrap w:val="0"/>
            <w:vAlign w:val="center"/>
          </w:tcPr>
          <w:p w14:paraId="2E9E552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9.074</w:t>
            </w:r>
          </w:p>
        </w:tc>
        <w:tc>
          <w:tcPr>
            <w:tcW w:w="1222" w:type="dxa"/>
            <w:tcBorders>
              <w:tl2br w:val="nil"/>
              <w:tr2bl w:val="nil"/>
            </w:tcBorders>
            <w:noWrap w:val="0"/>
            <w:vAlign w:val="center"/>
          </w:tcPr>
          <w:p w14:paraId="56F4429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1.01</w:t>
            </w:r>
          </w:p>
        </w:tc>
        <w:tc>
          <w:tcPr>
            <w:tcW w:w="1466" w:type="dxa"/>
            <w:tcBorders>
              <w:tl2br w:val="nil"/>
              <w:tr2bl w:val="nil"/>
            </w:tcBorders>
            <w:noWrap w:val="0"/>
            <w:vAlign w:val="center"/>
          </w:tcPr>
          <w:p w14:paraId="154015F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4.604</w:t>
            </w:r>
          </w:p>
        </w:tc>
        <w:tc>
          <w:tcPr>
            <w:tcW w:w="1223" w:type="dxa"/>
            <w:tcBorders>
              <w:tl2br w:val="nil"/>
              <w:tr2bl w:val="nil"/>
            </w:tcBorders>
            <w:noWrap w:val="0"/>
            <w:vAlign w:val="center"/>
          </w:tcPr>
          <w:p w14:paraId="5ABC20F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1.02</w:t>
            </w:r>
          </w:p>
        </w:tc>
      </w:tr>
      <w:tr w14:paraId="6A5DA1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751D435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1400</w:t>
            </w:r>
          </w:p>
        </w:tc>
        <w:tc>
          <w:tcPr>
            <w:tcW w:w="1466" w:type="dxa"/>
            <w:tcBorders>
              <w:tl2br w:val="nil"/>
              <w:tr2bl w:val="nil"/>
            </w:tcBorders>
            <w:noWrap w:val="0"/>
            <w:vAlign w:val="center"/>
          </w:tcPr>
          <w:p w14:paraId="1375F6F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5.932</w:t>
            </w:r>
          </w:p>
        </w:tc>
        <w:tc>
          <w:tcPr>
            <w:tcW w:w="1222" w:type="dxa"/>
            <w:tcBorders>
              <w:tl2br w:val="nil"/>
              <w:tr2bl w:val="nil"/>
            </w:tcBorders>
            <w:noWrap w:val="0"/>
            <w:vAlign w:val="center"/>
          </w:tcPr>
          <w:p w14:paraId="594BD76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0.66</w:t>
            </w:r>
          </w:p>
        </w:tc>
        <w:tc>
          <w:tcPr>
            <w:tcW w:w="1466" w:type="dxa"/>
            <w:tcBorders>
              <w:tl2br w:val="nil"/>
              <w:tr2bl w:val="nil"/>
            </w:tcBorders>
            <w:noWrap w:val="0"/>
            <w:vAlign w:val="center"/>
          </w:tcPr>
          <w:p w14:paraId="7F2D425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8.605</w:t>
            </w:r>
          </w:p>
        </w:tc>
        <w:tc>
          <w:tcPr>
            <w:tcW w:w="1222" w:type="dxa"/>
            <w:tcBorders>
              <w:tl2br w:val="nil"/>
              <w:tr2bl w:val="nil"/>
            </w:tcBorders>
            <w:noWrap w:val="0"/>
            <w:vAlign w:val="center"/>
          </w:tcPr>
          <w:p w14:paraId="6527D32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0.96</w:t>
            </w:r>
          </w:p>
        </w:tc>
        <w:tc>
          <w:tcPr>
            <w:tcW w:w="1466" w:type="dxa"/>
            <w:tcBorders>
              <w:tl2br w:val="nil"/>
              <w:tr2bl w:val="nil"/>
            </w:tcBorders>
            <w:noWrap w:val="0"/>
            <w:vAlign w:val="center"/>
          </w:tcPr>
          <w:p w14:paraId="384CDF5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2.066</w:t>
            </w:r>
          </w:p>
        </w:tc>
        <w:tc>
          <w:tcPr>
            <w:tcW w:w="1223" w:type="dxa"/>
            <w:tcBorders>
              <w:tl2br w:val="nil"/>
              <w:tr2bl w:val="nil"/>
            </w:tcBorders>
            <w:noWrap w:val="0"/>
            <w:vAlign w:val="center"/>
          </w:tcPr>
          <w:p w14:paraId="0F9C865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0.46</w:t>
            </w:r>
          </w:p>
        </w:tc>
      </w:tr>
      <w:tr w14:paraId="10DBAC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6E6B2D9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1600</w:t>
            </w:r>
          </w:p>
        </w:tc>
        <w:tc>
          <w:tcPr>
            <w:tcW w:w="1466" w:type="dxa"/>
            <w:tcBorders>
              <w:tl2br w:val="nil"/>
              <w:tr2bl w:val="nil"/>
            </w:tcBorders>
            <w:noWrap w:val="0"/>
            <w:vAlign w:val="center"/>
          </w:tcPr>
          <w:p w14:paraId="491196F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5.401</w:t>
            </w:r>
          </w:p>
        </w:tc>
        <w:tc>
          <w:tcPr>
            <w:tcW w:w="1222" w:type="dxa"/>
            <w:tcBorders>
              <w:tl2br w:val="nil"/>
              <w:tr2bl w:val="nil"/>
            </w:tcBorders>
            <w:noWrap w:val="0"/>
            <w:vAlign w:val="center"/>
          </w:tcPr>
          <w:p w14:paraId="7BEC6E5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0.60</w:t>
            </w:r>
          </w:p>
        </w:tc>
        <w:tc>
          <w:tcPr>
            <w:tcW w:w="1466" w:type="dxa"/>
            <w:tcBorders>
              <w:tl2br w:val="nil"/>
              <w:tr2bl w:val="nil"/>
            </w:tcBorders>
            <w:noWrap w:val="0"/>
            <w:vAlign w:val="center"/>
          </w:tcPr>
          <w:p w14:paraId="003FA24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8.211</w:t>
            </w:r>
          </w:p>
        </w:tc>
        <w:tc>
          <w:tcPr>
            <w:tcW w:w="1222" w:type="dxa"/>
            <w:tcBorders>
              <w:tl2br w:val="nil"/>
              <w:tr2bl w:val="nil"/>
            </w:tcBorders>
            <w:noWrap w:val="0"/>
            <w:vAlign w:val="center"/>
          </w:tcPr>
          <w:p w14:paraId="6F6C68C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0.91</w:t>
            </w:r>
          </w:p>
        </w:tc>
        <w:tc>
          <w:tcPr>
            <w:tcW w:w="1466" w:type="dxa"/>
            <w:tcBorders>
              <w:tl2br w:val="nil"/>
              <w:tr2bl w:val="nil"/>
            </w:tcBorders>
            <w:noWrap w:val="0"/>
            <w:vAlign w:val="center"/>
          </w:tcPr>
          <w:p w14:paraId="1F11AFF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1.919</w:t>
            </w:r>
          </w:p>
        </w:tc>
        <w:tc>
          <w:tcPr>
            <w:tcW w:w="1223" w:type="dxa"/>
            <w:tcBorders>
              <w:tl2br w:val="nil"/>
              <w:tr2bl w:val="nil"/>
            </w:tcBorders>
            <w:noWrap w:val="0"/>
            <w:vAlign w:val="center"/>
          </w:tcPr>
          <w:p w14:paraId="05AE015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0.43</w:t>
            </w:r>
          </w:p>
        </w:tc>
      </w:tr>
      <w:tr w14:paraId="1BC257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3698DA4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1800</w:t>
            </w:r>
          </w:p>
        </w:tc>
        <w:tc>
          <w:tcPr>
            <w:tcW w:w="1466" w:type="dxa"/>
            <w:tcBorders>
              <w:tl2br w:val="nil"/>
              <w:tr2bl w:val="nil"/>
            </w:tcBorders>
            <w:noWrap w:val="0"/>
            <w:vAlign w:val="center"/>
          </w:tcPr>
          <w:p w14:paraId="5904536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4.973</w:t>
            </w:r>
          </w:p>
        </w:tc>
        <w:tc>
          <w:tcPr>
            <w:tcW w:w="1222" w:type="dxa"/>
            <w:tcBorders>
              <w:tl2br w:val="nil"/>
              <w:tr2bl w:val="nil"/>
            </w:tcBorders>
            <w:noWrap w:val="0"/>
            <w:vAlign w:val="center"/>
          </w:tcPr>
          <w:p w14:paraId="4194B84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0.55</w:t>
            </w:r>
          </w:p>
        </w:tc>
        <w:tc>
          <w:tcPr>
            <w:tcW w:w="1466" w:type="dxa"/>
            <w:tcBorders>
              <w:tl2br w:val="nil"/>
              <w:tr2bl w:val="nil"/>
            </w:tcBorders>
            <w:noWrap w:val="0"/>
            <w:vAlign w:val="center"/>
          </w:tcPr>
          <w:p w14:paraId="7A18E49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7.870</w:t>
            </w:r>
          </w:p>
        </w:tc>
        <w:tc>
          <w:tcPr>
            <w:tcW w:w="1222" w:type="dxa"/>
            <w:tcBorders>
              <w:tl2br w:val="nil"/>
              <w:tr2bl w:val="nil"/>
            </w:tcBorders>
            <w:noWrap w:val="0"/>
            <w:vAlign w:val="center"/>
          </w:tcPr>
          <w:p w14:paraId="06FCB93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0.87</w:t>
            </w:r>
          </w:p>
        </w:tc>
        <w:tc>
          <w:tcPr>
            <w:tcW w:w="1466" w:type="dxa"/>
            <w:tcBorders>
              <w:tl2br w:val="nil"/>
              <w:tr2bl w:val="nil"/>
            </w:tcBorders>
            <w:noWrap w:val="0"/>
            <w:vAlign w:val="center"/>
          </w:tcPr>
          <w:p w14:paraId="232D427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1.433</w:t>
            </w:r>
          </w:p>
        </w:tc>
        <w:tc>
          <w:tcPr>
            <w:tcW w:w="1223" w:type="dxa"/>
            <w:tcBorders>
              <w:tl2br w:val="nil"/>
              <w:tr2bl w:val="nil"/>
            </w:tcBorders>
            <w:noWrap w:val="0"/>
            <w:vAlign w:val="center"/>
          </w:tcPr>
          <w:p w14:paraId="09AA86B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0.32</w:t>
            </w:r>
          </w:p>
        </w:tc>
      </w:tr>
      <w:tr w14:paraId="1320AD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358DC5F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2000</w:t>
            </w:r>
          </w:p>
        </w:tc>
        <w:tc>
          <w:tcPr>
            <w:tcW w:w="1466" w:type="dxa"/>
            <w:tcBorders>
              <w:tl2br w:val="nil"/>
              <w:tr2bl w:val="nil"/>
            </w:tcBorders>
            <w:noWrap w:val="0"/>
            <w:vAlign w:val="center"/>
          </w:tcPr>
          <w:p w14:paraId="76FDE06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4.619</w:t>
            </w:r>
          </w:p>
        </w:tc>
        <w:tc>
          <w:tcPr>
            <w:tcW w:w="1222" w:type="dxa"/>
            <w:tcBorders>
              <w:tl2br w:val="nil"/>
              <w:tr2bl w:val="nil"/>
            </w:tcBorders>
            <w:noWrap w:val="0"/>
            <w:vAlign w:val="center"/>
          </w:tcPr>
          <w:p w14:paraId="103FA87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0.51</w:t>
            </w:r>
          </w:p>
        </w:tc>
        <w:tc>
          <w:tcPr>
            <w:tcW w:w="1466" w:type="dxa"/>
            <w:tcBorders>
              <w:tl2br w:val="nil"/>
              <w:tr2bl w:val="nil"/>
            </w:tcBorders>
            <w:noWrap w:val="0"/>
            <w:vAlign w:val="center"/>
          </w:tcPr>
          <w:p w14:paraId="7034673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7.565</w:t>
            </w:r>
          </w:p>
        </w:tc>
        <w:tc>
          <w:tcPr>
            <w:tcW w:w="1222" w:type="dxa"/>
            <w:tcBorders>
              <w:tl2br w:val="nil"/>
              <w:tr2bl w:val="nil"/>
            </w:tcBorders>
            <w:noWrap w:val="0"/>
            <w:vAlign w:val="center"/>
          </w:tcPr>
          <w:p w14:paraId="73E9ABA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0.84</w:t>
            </w:r>
          </w:p>
        </w:tc>
        <w:tc>
          <w:tcPr>
            <w:tcW w:w="1466" w:type="dxa"/>
            <w:tcBorders>
              <w:tl2br w:val="nil"/>
              <w:tr2bl w:val="nil"/>
            </w:tcBorders>
            <w:noWrap w:val="0"/>
            <w:vAlign w:val="center"/>
          </w:tcPr>
          <w:p w14:paraId="508823D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1.401</w:t>
            </w:r>
          </w:p>
        </w:tc>
        <w:tc>
          <w:tcPr>
            <w:tcW w:w="1223" w:type="dxa"/>
            <w:tcBorders>
              <w:tl2br w:val="nil"/>
              <w:tr2bl w:val="nil"/>
            </w:tcBorders>
            <w:noWrap w:val="0"/>
            <w:vAlign w:val="center"/>
          </w:tcPr>
          <w:p w14:paraId="0727002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0.31</w:t>
            </w:r>
          </w:p>
        </w:tc>
      </w:tr>
      <w:tr w14:paraId="69D587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2500F64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2500</w:t>
            </w:r>
          </w:p>
        </w:tc>
        <w:tc>
          <w:tcPr>
            <w:tcW w:w="1466" w:type="dxa"/>
            <w:tcBorders>
              <w:tl2br w:val="nil"/>
              <w:tr2bl w:val="nil"/>
            </w:tcBorders>
            <w:noWrap w:val="0"/>
            <w:vAlign w:val="center"/>
          </w:tcPr>
          <w:p w14:paraId="052BE95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3.950</w:t>
            </w:r>
          </w:p>
        </w:tc>
        <w:tc>
          <w:tcPr>
            <w:tcW w:w="1222" w:type="dxa"/>
            <w:tcBorders>
              <w:tl2br w:val="nil"/>
              <w:tr2bl w:val="nil"/>
            </w:tcBorders>
            <w:noWrap w:val="0"/>
            <w:vAlign w:val="center"/>
          </w:tcPr>
          <w:p w14:paraId="20802DD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0.44</w:t>
            </w:r>
          </w:p>
        </w:tc>
        <w:tc>
          <w:tcPr>
            <w:tcW w:w="1466" w:type="dxa"/>
            <w:tcBorders>
              <w:tl2br w:val="nil"/>
              <w:tr2bl w:val="nil"/>
            </w:tcBorders>
            <w:noWrap w:val="0"/>
            <w:vAlign w:val="center"/>
          </w:tcPr>
          <w:p w14:paraId="29E0000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6.918</w:t>
            </w:r>
          </w:p>
        </w:tc>
        <w:tc>
          <w:tcPr>
            <w:tcW w:w="1222" w:type="dxa"/>
            <w:tcBorders>
              <w:tl2br w:val="nil"/>
              <w:tr2bl w:val="nil"/>
            </w:tcBorders>
            <w:noWrap w:val="0"/>
            <w:vAlign w:val="center"/>
          </w:tcPr>
          <w:p w14:paraId="61F01E1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0.77</w:t>
            </w:r>
          </w:p>
        </w:tc>
        <w:tc>
          <w:tcPr>
            <w:tcW w:w="1466" w:type="dxa"/>
            <w:tcBorders>
              <w:tl2br w:val="nil"/>
              <w:tr2bl w:val="nil"/>
            </w:tcBorders>
            <w:noWrap w:val="0"/>
            <w:vAlign w:val="center"/>
          </w:tcPr>
          <w:p w14:paraId="590CBF0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1.102</w:t>
            </w:r>
          </w:p>
        </w:tc>
        <w:tc>
          <w:tcPr>
            <w:tcW w:w="1223" w:type="dxa"/>
            <w:tcBorders>
              <w:tl2br w:val="nil"/>
              <w:tr2bl w:val="nil"/>
            </w:tcBorders>
            <w:noWrap w:val="0"/>
            <w:vAlign w:val="center"/>
          </w:tcPr>
          <w:p w14:paraId="29DA995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0.24</w:t>
            </w:r>
          </w:p>
        </w:tc>
      </w:tr>
      <w:tr w14:paraId="49FB11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512F722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下风向最大浓度</w:t>
            </w:r>
          </w:p>
        </w:tc>
        <w:tc>
          <w:tcPr>
            <w:tcW w:w="1466" w:type="dxa"/>
            <w:tcBorders>
              <w:tl2br w:val="nil"/>
              <w:tr2bl w:val="nil"/>
            </w:tcBorders>
            <w:noWrap w:val="0"/>
            <w:vAlign w:val="center"/>
          </w:tcPr>
          <w:p w14:paraId="66907D6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33.041</w:t>
            </w:r>
          </w:p>
        </w:tc>
        <w:tc>
          <w:tcPr>
            <w:tcW w:w="1222" w:type="dxa"/>
            <w:tcBorders>
              <w:tl2br w:val="nil"/>
              <w:tr2bl w:val="nil"/>
            </w:tcBorders>
            <w:noWrap w:val="0"/>
            <w:vAlign w:val="center"/>
          </w:tcPr>
          <w:p w14:paraId="0FDE332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3.67</w:t>
            </w:r>
          </w:p>
        </w:tc>
        <w:tc>
          <w:tcPr>
            <w:tcW w:w="1466" w:type="dxa"/>
            <w:tcBorders>
              <w:tl2br w:val="nil"/>
              <w:tr2bl w:val="nil"/>
            </w:tcBorders>
            <w:noWrap w:val="0"/>
            <w:vAlign w:val="center"/>
          </w:tcPr>
          <w:p w14:paraId="497FC92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65.425</w:t>
            </w:r>
          </w:p>
        </w:tc>
        <w:tc>
          <w:tcPr>
            <w:tcW w:w="1222" w:type="dxa"/>
            <w:tcBorders>
              <w:tl2br w:val="nil"/>
              <w:tr2bl w:val="nil"/>
            </w:tcBorders>
            <w:noWrap w:val="0"/>
            <w:vAlign w:val="center"/>
          </w:tcPr>
          <w:p w14:paraId="2ACA343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7.27</w:t>
            </w:r>
          </w:p>
        </w:tc>
        <w:tc>
          <w:tcPr>
            <w:tcW w:w="1466" w:type="dxa"/>
            <w:tcBorders>
              <w:tl2br w:val="nil"/>
              <w:tr2bl w:val="nil"/>
            </w:tcBorders>
            <w:noWrap w:val="0"/>
            <w:vAlign w:val="center"/>
          </w:tcPr>
          <w:p w14:paraId="4E3FBA4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20.393</w:t>
            </w:r>
          </w:p>
        </w:tc>
        <w:tc>
          <w:tcPr>
            <w:tcW w:w="1223" w:type="dxa"/>
            <w:tcBorders>
              <w:tl2br w:val="nil"/>
              <w:tr2bl w:val="nil"/>
            </w:tcBorders>
            <w:noWrap w:val="0"/>
            <w:vAlign w:val="center"/>
          </w:tcPr>
          <w:p w14:paraId="4D69457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4.53</w:t>
            </w:r>
          </w:p>
        </w:tc>
      </w:tr>
      <w:tr w14:paraId="5AB9D3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4362133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下风向最大浓度出现距离</w:t>
            </w:r>
          </w:p>
        </w:tc>
        <w:tc>
          <w:tcPr>
            <w:tcW w:w="1466" w:type="dxa"/>
            <w:tcBorders>
              <w:tl2br w:val="nil"/>
              <w:tr2bl w:val="nil"/>
            </w:tcBorders>
            <w:noWrap w:val="0"/>
            <w:vAlign w:val="center"/>
          </w:tcPr>
          <w:p w14:paraId="66476FB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86.0</w:t>
            </w:r>
          </w:p>
        </w:tc>
        <w:tc>
          <w:tcPr>
            <w:tcW w:w="1222" w:type="dxa"/>
            <w:tcBorders>
              <w:tl2br w:val="nil"/>
              <w:tr2bl w:val="nil"/>
            </w:tcBorders>
            <w:noWrap w:val="0"/>
            <w:vAlign w:val="center"/>
          </w:tcPr>
          <w:p w14:paraId="60416A0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86.0</w:t>
            </w:r>
          </w:p>
        </w:tc>
        <w:tc>
          <w:tcPr>
            <w:tcW w:w="1466" w:type="dxa"/>
            <w:tcBorders>
              <w:tl2br w:val="nil"/>
              <w:tr2bl w:val="nil"/>
            </w:tcBorders>
            <w:noWrap w:val="0"/>
            <w:vAlign w:val="center"/>
          </w:tcPr>
          <w:p w14:paraId="08935A2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39.0</w:t>
            </w:r>
          </w:p>
        </w:tc>
        <w:tc>
          <w:tcPr>
            <w:tcW w:w="1222" w:type="dxa"/>
            <w:tcBorders>
              <w:tl2br w:val="nil"/>
              <w:tr2bl w:val="nil"/>
            </w:tcBorders>
            <w:noWrap w:val="0"/>
            <w:vAlign w:val="center"/>
          </w:tcPr>
          <w:p w14:paraId="0DB00C1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39.0</w:t>
            </w:r>
          </w:p>
        </w:tc>
        <w:tc>
          <w:tcPr>
            <w:tcW w:w="1466" w:type="dxa"/>
            <w:tcBorders>
              <w:tl2br w:val="nil"/>
              <w:tr2bl w:val="nil"/>
            </w:tcBorders>
            <w:noWrap w:val="0"/>
            <w:vAlign w:val="center"/>
          </w:tcPr>
          <w:p w14:paraId="214EBE0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377.0</w:t>
            </w:r>
          </w:p>
        </w:tc>
        <w:tc>
          <w:tcPr>
            <w:tcW w:w="1223" w:type="dxa"/>
            <w:tcBorders>
              <w:tl2br w:val="nil"/>
              <w:tr2bl w:val="nil"/>
            </w:tcBorders>
            <w:noWrap w:val="0"/>
            <w:vAlign w:val="center"/>
          </w:tcPr>
          <w:p w14:paraId="3501F06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377.0</w:t>
            </w:r>
          </w:p>
        </w:tc>
      </w:tr>
      <w:tr w14:paraId="65B8C8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2" w:type="dxa"/>
            <w:tcBorders>
              <w:tl2br w:val="nil"/>
              <w:tr2bl w:val="nil"/>
            </w:tcBorders>
            <w:noWrap w:val="0"/>
            <w:vAlign w:val="center"/>
          </w:tcPr>
          <w:p w14:paraId="0BA334A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D10%最远距离</w:t>
            </w:r>
          </w:p>
        </w:tc>
        <w:tc>
          <w:tcPr>
            <w:tcW w:w="1466" w:type="dxa"/>
            <w:tcBorders>
              <w:tl2br w:val="nil"/>
              <w:tr2bl w:val="nil"/>
            </w:tcBorders>
            <w:noWrap w:val="0"/>
            <w:vAlign w:val="center"/>
          </w:tcPr>
          <w:p w14:paraId="29631AF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w:t>
            </w:r>
          </w:p>
        </w:tc>
        <w:tc>
          <w:tcPr>
            <w:tcW w:w="1222" w:type="dxa"/>
            <w:tcBorders>
              <w:tl2br w:val="nil"/>
              <w:tr2bl w:val="nil"/>
            </w:tcBorders>
            <w:noWrap w:val="0"/>
            <w:vAlign w:val="center"/>
          </w:tcPr>
          <w:p w14:paraId="70ADD11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w:t>
            </w:r>
          </w:p>
        </w:tc>
        <w:tc>
          <w:tcPr>
            <w:tcW w:w="1466" w:type="dxa"/>
            <w:tcBorders>
              <w:tl2br w:val="nil"/>
              <w:tr2bl w:val="nil"/>
            </w:tcBorders>
            <w:noWrap w:val="0"/>
            <w:vAlign w:val="center"/>
          </w:tcPr>
          <w:p w14:paraId="5897CC9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w:t>
            </w:r>
          </w:p>
        </w:tc>
        <w:tc>
          <w:tcPr>
            <w:tcW w:w="1222" w:type="dxa"/>
            <w:tcBorders>
              <w:tl2br w:val="nil"/>
              <w:tr2bl w:val="nil"/>
            </w:tcBorders>
            <w:noWrap w:val="0"/>
            <w:vAlign w:val="center"/>
          </w:tcPr>
          <w:p w14:paraId="575A497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w:t>
            </w:r>
          </w:p>
        </w:tc>
        <w:tc>
          <w:tcPr>
            <w:tcW w:w="1466" w:type="dxa"/>
            <w:tcBorders>
              <w:tl2br w:val="nil"/>
              <w:tr2bl w:val="nil"/>
            </w:tcBorders>
            <w:noWrap w:val="0"/>
            <w:vAlign w:val="center"/>
          </w:tcPr>
          <w:p w14:paraId="2788F95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w:t>
            </w:r>
          </w:p>
        </w:tc>
        <w:tc>
          <w:tcPr>
            <w:tcW w:w="1223" w:type="dxa"/>
            <w:tcBorders>
              <w:tl2br w:val="nil"/>
              <w:tr2bl w:val="nil"/>
            </w:tcBorders>
            <w:noWrap w:val="0"/>
            <w:vAlign w:val="center"/>
          </w:tcPr>
          <w:p w14:paraId="1C62291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w:t>
            </w:r>
          </w:p>
        </w:tc>
      </w:tr>
    </w:tbl>
    <w:p w14:paraId="0DFB535B">
      <w:pPr>
        <w:ind w:firstLine="480"/>
        <w:rPr>
          <w:rFonts w:hint="eastAsia" w:ascii="Times New Roman" w:hAnsi="Times New Roman" w:cs="Times New Roman"/>
          <w:color w:val="auto"/>
          <w:highlight w:val="none"/>
          <w:lang w:val="en-US" w:eastAsia="zh-CN"/>
        </w:rPr>
      </w:pPr>
    </w:p>
    <w:p w14:paraId="14031468">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本项目根据预测结果：原矿</w:t>
      </w:r>
      <w:r>
        <w:rPr>
          <w:rFonts w:hint="eastAsia" w:cs="Times New Roman"/>
          <w:color w:val="auto"/>
          <w:highlight w:val="none"/>
          <w:lang w:val="en-US" w:eastAsia="zh-CN"/>
        </w:rPr>
        <w:t>堆存库无组织</w:t>
      </w:r>
      <w:r>
        <w:rPr>
          <w:rFonts w:hint="eastAsia" w:ascii="Times New Roman" w:hAnsi="Times New Roman" w:cs="Times New Roman"/>
          <w:color w:val="auto"/>
          <w:highlight w:val="none"/>
          <w:lang w:val="en-US" w:eastAsia="zh-CN"/>
        </w:rPr>
        <w:t>排放的颗粒物最大落地浓度为</w:t>
      </w:r>
      <w:r>
        <w:rPr>
          <w:rFonts w:hint="eastAsia" w:cs="Times New Roman"/>
          <w:color w:val="auto"/>
          <w:highlight w:val="none"/>
          <w:lang w:val="en-US" w:eastAsia="zh-CN"/>
        </w:rPr>
        <w:t>33.041</w:t>
      </w:r>
      <w:r>
        <w:rPr>
          <w:rFonts w:hint="eastAsia" w:ascii="Times New Roman" w:hAnsi="Times New Roman" w:cs="Times New Roman"/>
          <w:color w:val="auto"/>
          <w:highlight w:val="none"/>
          <w:lang w:val="en-US" w:eastAsia="zh-CN"/>
        </w:rPr>
        <w:t>μg/m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，最大落地浓度出现在距离</w:t>
      </w:r>
      <w:r>
        <w:rPr>
          <w:rFonts w:hint="eastAsia" w:cs="Times New Roman"/>
          <w:color w:val="auto"/>
          <w:highlight w:val="none"/>
          <w:lang w:val="en-US" w:eastAsia="zh-CN"/>
        </w:rPr>
        <w:t>原料堆存库86</w:t>
      </w:r>
      <w:r>
        <w:rPr>
          <w:rFonts w:hint="eastAsia" w:ascii="Times New Roman" w:hAnsi="Times New Roman" w:cs="Times New Roman"/>
          <w:color w:val="auto"/>
          <w:highlight w:val="none"/>
          <w:lang w:val="en-US" w:eastAsia="zh-CN"/>
        </w:rPr>
        <w:t>m处，最大浓度占标率为</w:t>
      </w:r>
      <w:r>
        <w:rPr>
          <w:rFonts w:hint="eastAsia" w:cs="Times New Roman"/>
          <w:color w:val="auto"/>
          <w:highlight w:val="none"/>
          <w:lang w:val="en-US" w:eastAsia="zh-CN"/>
        </w:rPr>
        <w:t>3.67</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筛分、</w:t>
      </w:r>
      <w:r>
        <w:rPr>
          <w:rFonts w:hint="eastAsia" w:ascii="Times New Roman" w:hAnsi="Times New Roman" w:cs="Times New Roman"/>
          <w:color w:val="auto"/>
          <w:highlight w:val="none"/>
          <w:lang w:val="en-US" w:eastAsia="zh-CN"/>
        </w:rPr>
        <w:t>破碎</w:t>
      </w:r>
      <w:r>
        <w:rPr>
          <w:rFonts w:hint="eastAsia" w:cs="Times New Roman"/>
          <w:color w:val="auto"/>
          <w:highlight w:val="none"/>
          <w:lang w:val="en-US" w:eastAsia="zh-CN"/>
        </w:rPr>
        <w:t>车间无组织</w:t>
      </w:r>
      <w:r>
        <w:rPr>
          <w:rFonts w:hint="eastAsia" w:ascii="Times New Roman" w:hAnsi="Times New Roman" w:cs="Times New Roman"/>
          <w:color w:val="auto"/>
          <w:highlight w:val="none"/>
          <w:lang w:val="en-US" w:eastAsia="zh-CN"/>
        </w:rPr>
        <w:t>排放的颗粒物最大落地浓度为</w:t>
      </w:r>
      <w:r>
        <w:rPr>
          <w:rFonts w:hint="eastAsia" w:cs="Times New Roman"/>
          <w:color w:val="auto"/>
          <w:highlight w:val="none"/>
          <w:lang w:val="en-US" w:eastAsia="zh-CN"/>
        </w:rPr>
        <w:t>65.425</w:t>
      </w:r>
      <w:r>
        <w:rPr>
          <w:rFonts w:hint="eastAsia" w:ascii="Times New Roman" w:hAnsi="Times New Roman" w:cs="Times New Roman"/>
          <w:color w:val="auto"/>
          <w:highlight w:val="none"/>
          <w:lang w:val="en-US" w:eastAsia="zh-CN"/>
        </w:rPr>
        <w:t>μg/m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，最大落地浓度出现在距离</w:t>
      </w:r>
      <w:r>
        <w:rPr>
          <w:rFonts w:hint="eastAsia" w:cs="Times New Roman"/>
          <w:color w:val="auto"/>
          <w:highlight w:val="none"/>
          <w:lang w:val="en-US" w:eastAsia="zh-CN"/>
        </w:rPr>
        <w:t>破碎车间39</w:t>
      </w:r>
      <w:r>
        <w:rPr>
          <w:rFonts w:hint="eastAsia" w:ascii="Times New Roman" w:hAnsi="Times New Roman" w:cs="Times New Roman"/>
          <w:color w:val="auto"/>
          <w:highlight w:val="none"/>
          <w:lang w:val="en-US" w:eastAsia="zh-CN"/>
        </w:rPr>
        <w:t>m处，最大浓度占标率为</w:t>
      </w:r>
      <w:r>
        <w:rPr>
          <w:rFonts w:hint="eastAsia" w:cs="Times New Roman"/>
          <w:color w:val="auto"/>
          <w:highlight w:val="none"/>
          <w:lang w:val="en-US" w:eastAsia="zh-CN"/>
        </w:rPr>
        <w:t>7.27</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DA001排气筒</w:t>
      </w:r>
      <w:r>
        <w:rPr>
          <w:rFonts w:hint="eastAsia" w:ascii="Times New Roman" w:hAnsi="Times New Roman" w:cs="Times New Roman"/>
          <w:color w:val="auto"/>
          <w:highlight w:val="none"/>
          <w:lang w:val="en-US" w:eastAsia="zh-CN"/>
        </w:rPr>
        <w:t>排放的颗粒物最大落地浓度为</w:t>
      </w:r>
      <w:r>
        <w:rPr>
          <w:rFonts w:hint="eastAsia" w:cs="Times New Roman"/>
          <w:color w:val="auto"/>
          <w:highlight w:val="none"/>
          <w:lang w:val="en-US" w:eastAsia="zh-CN"/>
        </w:rPr>
        <w:t>20.393</w:t>
      </w:r>
      <w:r>
        <w:rPr>
          <w:rFonts w:hint="eastAsia" w:ascii="Times New Roman" w:hAnsi="Times New Roman" w:cs="Times New Roman"/>
          <w:color w:val="auto"/>
          <w:highlight w:val="none"/>
          <w:lang w:val="en-US" w:eastAsia="zh-CN"/>
        </w:rPr>
        <w:t>μg/m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，最大落地浓度出现在距离</w:t>
      </w:r>
      <w:r>
        <w:rPr>
          <w:rFonts w:hint="eastAsia" w:cs="Times New Roman"/>
          <w:color w:val="auto"/>
          <w:highlight w:val="none"/>
          <w:lang w:val="en-US" w:eastAsia="zh-CN"/>
        </w:rPr>
        <w:t>377</w:t>
      </w:r>
      <w:r>
        <w:rPr>
          <w:rFonts w:hint="eastAsia" w:ascii="Times New Roman" w:hAnsi="Times New Roman" w:cs="Times New Roman"/>
          <w:color w:val="auto"/>
          <w:highlight w:val="none"/>
          <w:lang w:val="en-US" w:eastAsia="zh-CN"/>
        </w:rPr>
        <w:t>m处，最大浓度占标率为</w:t>
      </w:r>
      <w:r>
        <w:rPr>
          <w:rFonts w:hint="eastAsia" w:cs="Times New Roman"/>
          <w:color w:val="auto"/>
          <w:highlight w:val="none"/>
          <w:lang w:val="en-US" w:eastAsia="zh-CN"/>
        </w:rPr>
        <w:t>4.5</w:t>
      </w: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w:t>
      </w:r>
    </w:p>
    <w:p w14:paraId="6B2B4807">
      <w:pPr>
        <w:ind w:firstLine="480"/>
        <w:rPr>
          <w:rFonts w:hint="eastAsia" w:ascii="Times New Roman" w:hAnsi="Times New Roman" w:cs="Times New Roman"/>
          <w:color w:val="auto"/>
          <w:highlight w:val="none"/>
          <w:lang w:val="en-US" w:eastAsia="zh-CN"/>
        </w:rPr>
      </w:pPr>
      <w:r>
        <w:rPr>
          <w:rFonts w:hint="eastAsia" w:eastAsia="宋体" w:cs="Times New Roman"/>
          <w:color w:val="auto"/>
          <w:spacing w:val="3"/>
          <w:highlight w:val="none"/>
          <w:lang w:val="en-US" w:eastAsia="zh-CN"/>
        </w:rPr>
        <w:t>综上分析，本项目排放的废气污染物</w:t>
      </w:r>
      <w:r>
        <w:rPr>
          <w:rFonts w:hint="eastAsia" w:ascii="Times New Roman" w:hAnsi="Times New Roman" w:eastAsia="宋体" w:cs="Times New Roman"/>
          <w:color w:val="auto"/>
          <w:spacing w:val="3"/>
          <w:highlight w:val="none"/>
        </w:rPr>
        <w:t>满足</w:t>
      </w:r>
      <w:r>
        <w:rPr>
          <w:rFonts w:hint="default" w:ascii="Times New Roman" w:hAnsi="Times New Roman" w:eastAsia="宋体" w:cs="Times New Roman"/>
          <w:color w:val="auto"/>
          <w:spacing w:val="3"/>
          <w:highlight w:val="none"/>
        </w:rPr>
        <w:t>《环境空气质量标准》（GB3095-2012）</w:t>
      </w:r>
      <w:r>
        <w:rPr>
          <w:rFonts w:hint="eastAsia" w:ascii="Times New Roman" w:hAnsi="Times New Roman" w:eastAsia="宋体" w:cs="Times New Roman"/>
          <w:color w:val="auto"/>
          <w:spacing w:val="3"/>
          <w:highlight w:val="none"/>
        </w:rPr>
        <w:t>及修改单</w:t>
      </w:r>
      <w:r>
        <w:rPr>
          <w:rFonts w:hint="default" w:ascii="Times New Roman" w:hAnsi="Times New Roman" w:eastAsia="宋体" w:cs="Times New Roman"/>
          <w:color w:val="auto"/>
          <w:spacing w:val="3"/>
          <w:highlight w:val="none"/>
        </w:rPr>
        <w:t>中二级标准浓度限值</w:t>
      </w:r>
      <w:r>
        <w:rPr>
          <w:rFonts w:hint="eastAsia" w:eastAsia="宋体" w:cs="Times New Roman"/>
          <w:color w:val="auto"/>
          <w:spacing w:val="3"/>
          <w:highlight w:val="none"/>
          <w:lang w:eastAsia="zh-CN"/>
        </w:rPr>
        <w:t>，</w:t>
      </w:r>
      <w:r>
        <w:rPr>
          <w:rFonts w:hint="eastAsia" w:ascii="Times New Roman" w:hAnsi="Times New Roman" w:cs="Times New Roman"/>
          <w:color w:val="auto"/>
          <w:highlight w:val="none"/>
          <w:lang w:val="en-US" w:eastAsia="zh-CN"/>
        </w:rPr>
        <w:t>由此可见，本项目建设对环境空气影响较小。</w:t>
      </w:r>
    </w:p>
    <w:p w14:paraId="7259709B">
      <w:pPr>
        <w:pStyle w:val="6"/>
        <w:rPr>
          <w:color w:val="auto"/>
          <w:highlight w:val="none"/>
        </w:rPr>
      </w:pPr>
      <w:r>
        <w:rPr>
          <w:rFonts w:hint="eastAsia"/>
          <w:color w:val="auto"/>
          <w:highlight w:val="none"/>
          <w:lang w:val="en-US" w:eastAsia="zh-CN"/>
        </w:rPr>
        <w:t xml:space="preserve"> 污染物排放量核算</w:t>
      </w:r>
    </w:p>
    <w:p w14:paraId="57778069">
      <w:pPr>
        <w:ind w:firstLine="480"/>
        <w:rPr>
          <w:rFonts w:hint="eastAsia"/>
          <w:color w:val="auto"/>
          <w:highlight w:val="none"/>
          <w:lang w:eastAsia="zh-CN"/>
        </w:rPr>
      </w:pPr>
      <w:r>
        <w:rPr>
          <w:rFonts w:hint="eastAsia"/>
          <w:color w:val="auto"/>
          <w:highlight w:val="none"/>
        </w:rPr>
        <w:t>本项目大气污染物有组织排放量核算表见表</w:t>
      </w:r>
      <w:r>
        <w:rPr>
          <w:rFonts w:hint="eastAsia"/>
          <w:color w:val="auto"/>
          <w:highlight w:val="none"/>
          <w:lang w:val="en-US" w:eastAsia="zh-CN"/>
        </w:rPr>
        <w:t>5.2-9</w:t>
      </w:r>
      <w:r>
        <w:rPr>
          <w:rFonts w:hint="eastAsia"/>
          <w:color w:val="auto"/>
          <w:highlight w:val="none"/>
          <w:lang w:eastAsia="zh-CN"/>
        </w:rPr>
        <w:t>。</w:t>
      </w:r>
    </w:p>
    <w:p w14:paraId="1340E8BC">
      <w:pPr>
        <w:pStyle w:val="199"/>
        <w:spacing w:before="12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cs="Times New Roman"/>
          <w:color w:val="auto"/>
          <w:sz w:val="24"/>
          <w:highlight w:val="none"/>
          <w:lang w:val="en-US" w:eastAsia="zh-CN"/>
        </w:rPr>
        <w:t>5.2-9</w:t>
      </w:r>
      <w:r>
        <w:rPr>
          <w:rFonts w:hint="eastAsia" w:ascii="Times New Roman" w:hAnsi="Times New Roman" w:cs="Times New Roman"/>
          <w:color w:val="auto"/>
          <w:sz w:val="24"/>
          <w:highlight w:val="none"/>
        </w:rPr>
        <w:t xml:space="preserve">    大气污染物有组织排放量核算表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63"/>
        <w:gridCol w:w="1137"/>
        <w:gridCol w:w="2601"/>
        <w:gridCol w:w="1951"/>
        <w:gridCol w:w="1838"/>
      </w:tblGrid>
      <w:tr w14:paraId="13AAC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tcBorders>
              <w:tl2br w:val="nil"/>
              <w:tr2bl w:val="nil"/>
            </w:tcBorders>
            <w:noWrap w:val="0"/>
            <w:vAlign w:val="center"/>
          </w:tcPr>
          <w:p w14:paraId="279FD9F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序号</w:t>
            </w:r>
          </w:p>
        </w:tc>
        <w:tc>
          <w:tcPr>
            <w:tcW w:w="1463" w:type="dxa"/>
            <w:tcBorders>
              <w:tl2br w:val="nil"/>
              <w:tr2bl w:val="nil"/>
            </w:tcBorders>
            <w:noWrap w:val="0"/>
            <w:vAlign w:val="center"/>
          </w:tcPr>
          <w:p w14:paraId="2E56B97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排放口编号</w:t>
            </w:r>
          </w:p>
        </w:tc>
        <w:tc>
          <w:tcPr>
            <w:tcW w:w="1137" w:type="dxa"/>
            <w:tcBorders>
              <w:tl2br w:val="nil"/>
              <w:tr2bl w:val="nil"/>
            </w:tcBorders>
            <w:noWrap w:val="0"/>
            <w:vAlign w:val="center"/>
          </w:tcPr>
          <w:p w14:paraId="2C07557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污染物</w:t>
            </w:r>
          </w:p>
        </w:tc>
        <w:tc>
          <w:tcPr>
            <w:tcW w:w="2601" w:type="dxa"/>
            <w:tcBorders>
              <w:tl2br w:val="nil"/>
              <w:tr2bl w:val="nil"/>
            </w:tcBorders>
            <w:noWrap w:val="0"/>
            <w:vAlign w:val="center"/>
          </w:tcPr>
          <w:p w14:paraId="5FEFF60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核算排放浓度（mg/m</w:t>
            </w:r>
            <w:r>
              <w:rPr>
                <w:rFonts w:hint="eastAsia" w:ascii="Times New Roman" w:hAnsi="Times New Roman" w:cs="Times New Roman"/>
                <w:color w:val="auto"/>
                <w:kern w:val="0"/>
                <w:highlight w:val="none"/>
                <w:vertAlign w:val="superscript"/>
                <w:lang w:val="en-US" w:eastAsia="zh-CN"/>
              </w:rPr>
              <w:t>3</w:t>
            </w:r>
            <w:r>
              <w:rPr>
                <w:rFonts w:hint="eastAsia" w:ascii="Times New Roman" w:hAnsi="Times New Roman" w:cs="Times New Roman"/>
                <w:color w:val="auto"/>
                <w:kern w:val="0"/>
                <w:highlight w:val="none"/>
                <w:lang w:val="en-US" w:eastAsia="zh-CN"/>
              </w:rPr>
              <w:t>）</w:t>
            </w:r>
          </w:p>
        </w:tc>
        <w:tc>
          <w:tcPr>
            <w:tcW w:w="1951" w:type="dxa"/>
            <w:tcBorders>
              <w:tl2br w:val="nil"/>
              <w:tr2bl w:val="nil"/>
            </w:tcBorders>
            <w:noWrap w:val="0"/>
            <w:vAlign w:val="center"/>
          </w:tcPr>
          <w:p w14:paraId="2E3E9F6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核算排放速率（kg/h）</w:t>
            </w:r>
          </w:p>
        </w:tc>
        <w:tc>
          <w:tcPr>
            <w:tcW w:w="1838" w:type="dxa"/>
            <w:tcBorders>
              <w:tl2br w:val="nil"/>
              <w:tr2bl w:val="nil"/>
            </w:tcBorders>
            <w:noWrap w:val="0"/>
            <w:vAlign w:val="center"/>
          </w:tcPr>
          <w:p w14:paraId="64F7476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核算年排放量（t/a）</w:t>
            </w:r>
          </w:p>
        </w:tc>
      </w:tr>
      <w:tr w14:paraId="7ED93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3" w:type="dxa"/>
            <w:gridSpan w:val="6"/>
            <w:tcBorders>
              <w:tl2br w:val="nil"/>
              <w:tr2bl w:val="nil"/>
            </w:tcBorders>
            <w:noWrap w:val="0"/>
            <w:vAlign w:val="center"/>
          </w:tcPr>
          <w:p w14:paraId="15D104A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一般排放口</w:t>
            </w:r>
          </w:p>
        </w:tc>
      </w:tr>
      <w:tr w14:paraId="2BE50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tcBorders>
              <w:tl2br w:val="nil"/>
              <w:tr2bl w:val="nil"/>
            </w:tcBorders>
            <w:noWrap w:val="0"/>
            <w:vAlign w:val="center"/>
          </w:tcPr>
          <w:p w14:paraId="02DB59A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w:t>
            </w:r>
          </w:p>
        </w:tc>
        <w:tc>
          <w:tcPr>
            <w:tcW w:w="1463" w:type="dxa"/>
            <w:tcBorders>
              <w:tl2br w:val="nil"/>
              <w:tr2bl w:val="nil"/>
            </w:tcBorders>
            <w:noWrap w:val="0"/>
            <w:vAlign w:val="center"/>
          </w:tcPr>
          <w:p w14:paraId="5E799BA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DA001</w:t>
            </w:r>
          </w:p>
        </w:tc>
        <w:tc>
          <w:tcPr>
            <w:tcW w:w="1137" w:type="dxa"/>
            <w:tcBorders>
              <w:tl2br w:val="nil"/>
              <w:tr2bl w:val="nil"/>
            </w:tcBorders>
            <w:noWrap w:val="0"/>
            <w:vAlign w:val="center"/>
          </w:tcPr>
          <w:p w14:paraId="326FA8C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颗粒物</w:t>
            </w:r>
          </w:p>
        </w:tc>
        <w:tc>
          <w:tcPr>
            <w:tcW w:w="2601" w:type="dxa"/>
            <w:tcBorders>
              <w:tl2br w:val="nil"/>
              <w:tr2bl w:val="nil"/>
            </w:tcBorders>
            <w:noWrap w:val="0"/>
            <w:vAlign w:val="center"/>
          </w:tcPr>
          <w:p w14:paraId="5FD8C77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7.0</w:t>
            </w:r>
          </w:p>
        </w:tc>
        <w:tc>
          <w:tcPr>
            <w:tcW w:w="1951" w:type="dxa"/>
            <w:tcBorders>
              <w:tl2br w:val="nil"/>
              <w:tr2bl w:val="nil"/>
            </w:tcBorders>
            <w:noWrap w:val="0"/>
            <w:vAlign w:val="center"/>
          </w:tcPr>
          <w:p w14:paraId="317B8F6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0.014</w:t>
            </w:r>
          </w:p>
        </w:tc>
        <w:tc>
          <w:tcPr>
            <w:tcW w:w="1838" w:type="dxa"/>
            <w:tcBorders>
              <w:tl2br w:val="nil"/>
              <w:tr2bl w:val="nil"/>
            </w:tcBorders>
            <w:noWrap w:val="0"/>
            <w:vAlign w:val="center"/>
          </w:tcPr>
          <w:p w14:paraId="2ACC6D9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0.034</w:t>
            </w:r>
          </w:p>
        </w:tc>
      </w:tr>
      <w:tr w14:paraId="32933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6" w:type="dxa"/>
            <w:gridSpan w:val="2"/>
            <w:tcBorders>
              <w:tl2br w:val="nil"/>
              <w:tr2bl w:val="nil"/>
            </w:tcBorders>
            <w:noWrap w:val="0"/>
            <w:vAlign w:val="center"/>
          </w:tcPr>
          <w:p w14:paraId="532DA59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一般排放口合计</w:t>
            </w:r>
          </w:p>
        </w:tc>
        <w:tc>
          <w:tcPr>
            <w:tcW w:w="5689" w:type="dxa"/>
            <w:gridSpan w:val="3"/>
            <w:tcBorders>
              <w:tl2br w:val="nil"/>
              <w:tr2bl w:val="nil"/>
            </w:tcBorders>
            <w:noWrap w:val="0"/>
            <w:vAlign w:val="center"/>
          </w:tcPr>
          <w:p w14:paraId="06067D3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颗粒物</w:t>
            </w:r>
          </w:p>
        </w:tc>
        <w:tc>
          <w:tcPr>
            <w:tcW w:w="1838" w:type="dxa"/>
            <w:tcBorders>
              <w:tl2br w:val="nil"/>
              <w:tr2bl w:val="nil"/>
            </w:tcBorders>
            <w:noWrap w:val="0"/>
            <w:vAlign w:val="center"/>
          </w:tcPr>
          <w:p w14:paraId="407DA6AA">
            <w:pPr>
              <w:pStyle w:val="245"/>
              <w:keepNext w:val="0"/>
              <w:keepLines w:val="0"/>
              <w:pageBreakBefore w:val="0"/>
              <w:widowControl w:val="0"/>
              <w:kinsoku/>
              <w:wordWrap/>
              <w:overflowPunct/>
              <w:topLinePunct/>
              <w:autoSpaceDE w:val="0"/>
              <w:autoSpaceDN/>
              <w:bidi w:val="0"/>
              <w:adjustRightInd/>
              <w:snapToGrid/>
              <w:spacing w:line="240" w:lineRule="auto"/>
              <w:ind w:firstLine="0" w:firstLineChars="0"/>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0.034</w:t>
            </w:r>
          </w:p>
        </w:tc>
      </w:tr>
      <w:tr w14:paraId="52B7B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3" w:type="dxa"/>
            <w:gridSpan w:val="6"/>
            <w:tcBorders>
              <w:tl2br w:val="nil"/>
              <w:tr2bl w:val="nil"/>
            </w:tcBorders>
            <w:noWrap w:val="0"/>
            <w:vAlign w:val="center"/>
          </w:tcPr>
          <w:p w14:paraId="17A262E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有组织排放总计</w:t>
            </w:r>
          </w:p>
        </w:tc>
      </w:tr>
      <w:tr w14:paraId="5B00D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6" w:type="dxa"/>
            <w:gridSpan w:val="2"/>
            <w:tcBorders>
              <w:tl2br w:val="nil"/>
              <w:tr2bl w:val="nil"/>
            </w:tcBorders>
            <w:noWrap w:val="0"/>
            <w:vAlign w:val="center"/>
          </w:tcPr>
          <w:p w14:paraId="70072DA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有组织排放总计</w:t>
            </w:r>
          </w:p>
        </w:tc>
        <w:tc>
          <w:tcPr>
            <w:tcW w:w="5689" w:type="dxa"/>
            <w:gridSpan w:val="3"/>
            <w:tcBorders>
              <w:tl2br w:val="nil"/>
              <w:tr2bl w:val="nil"/>
            </w:tcBorders>
            <w:noWrap w:val="0"/>
            <w:vAlign w:val="center"/>
          </w:tcPr>
          <w:p w14:paraId="3137AB7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颗粒物</w:t>
            </w:r>
          </w:p>
        </w:tc>
        <w:tc>
          <w:tcPr>
            <w:tcW w:w="1838" w:type="dxa"/>
            <w:tcBorders>
              <w:tl2br w:val="nil"/>
              <w:tr2bl w:val="nil"/>
            </w:tcBorders>
            <w:noWrap w:val="0"/>
            <w:vAlign w:val="center"/>
          </w:tcPr>
          <w:p w14:paraId="6C624270">
            <w:pPr>
              <w:pStyle w:val="245"/>
              <w:keepNext w:val="0"/>
              <w:keepLines w:val="0"/>
              <w:pageBreakBefore w:val="0"/>
              <w:widowControl w:val="0"/>
              <w:kinsoku/>
              <w:wordWrap/>
              <w:overflowPunct/>
              <w:topLinePunct/>
              <w:autoSpaceDE w:val="0"/>
              <w:autoSpaceDN/>
              <w:bidi w:val="0"/>
              <w:adjustRightInd/>
              <w:snapToGrid/>
              <w:spacing w:line="240" w:lineRule="auto"/>
              <w:ind w:firstLine="0" w:firstLineChars="0"/>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0.034</w:t>
            </w:r>
          </w:p>
        </w:tc>
      </w:tr>
    </w:tbl>
    <w:p w14:paraId="13043C5B">
      <w:pPr>
        <w:ind w:firstLine="480"/>
        <w:rPr>
          <w:rFonts w:hint="eastAsia"/>
          <w:color w:val="auto"/>
          <w:highlight w:val="none"/>
          <w:lang w:val="en-US" w:eastAsia="zh-CN"/>
        </w:rPr>
      </w:pPr>
      <w:r>
        <w:rPr>
          <w:rFonts w:hint="eastAsia"/>
          <w:color w:val="auto"/>
          <w:highlight w:val="none"/>
          <w:lang w:eastAsia="zh-CN"/>
        </w:rPr>
        <w:t>大气污染物无组织排放量核算见表</w:t>
      </w:r>
      <w:r>
        <w:rPr>
          <w:rFonts w:hint="eastAsia"/>
          <w:color w:val="auto"/>
          <w:highlight w:val="none"/>
          <w:lang w:val="en-US" w:eastAsia="zh-CN"/>
        </w:rPr>
        <w:t>5.2-10。</w:t>
      </w:r>
    </w:p>
    <w:p w14:paraId="663F828D">
      <w:pPr>
        <w:pStyle w:val="199"/>
        <w:spacing w:before="12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cs="Times New Roman"/>
          <w:color w:val="auto"/>
          <w:sz w:val="24"/>
          <w:highlight w:val="none"/>
          <w:lang w:val="en-US" w:eastAsia="zh-CN"/>
        </w:rPr>
        <w:t xml:space="preserve">5.2-10 </w:t>
      </w:r>
      <w:r>
        <w:rPr>
          <w:rFonts w:hint="eastAsia" w:ascii="Times New Roman" w:hAnsi="Times New Roman" w:cs="Times New Roman"/>
          <w:color w:val="auto"/>
          <w:sz w:val="24"/>
          <w:highlight w:val="none"/>
        </w:rPr>
        <w:t xml:space="preserve"> 大气污染物无组织排放量核算表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725"/>
        <w:gridCol w:w="575"/>
        <w:gridCol w:w="1233"/>
        <w:gridCol w:w="4227"/>
        <w:gridCol w:w="1426"/>
        <w:gridCol w:w="1077"/>
      </w:tblGrid>
      <w:tr w14:paraId="79ED3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tcBorders>
              <w:tl2br w:val="nil"/>
              <w:tr2bl w:val="nil"/>
            </w:tcBorders>
            <w:noWrap w:val="0"/>
            <w:vAlign w:val="center"/>
          </w:tcPr>
          <w:p w14:paraId="3883454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序号</w:t>
            </w:r>
          </w:p>
        </w:tc>
        <w:tc>
          <w:tcPr>
            <w:tcW w:w="0" w:type="auto"/>
            <w:vMerge w:val="restart"/>
            <w:tcBorders>
              <w:tl2br w:val="nil"/>
              <w:tr2bl w:val="nil"/>
            </w:tcBorders>
            <w:noWrap w:val="0"/>
            <w:vAlign w:val="center"/>
          </w:tcPr>
          <w:p w14:paraId="2D5E6EF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产污环节</w:t>
            </w:r>
          </w:p>
        </w:tc>
        <w:tc>
          <w:tcPr>
            <w:tcW w:w="0" w:type="auto"/>
            <w:vMerge w:val="restart"/>
            <w:tcBorders>
              <w:tl2br w:val="nil"/>
              <w:tr2bl w:val="nil"/>
            </w:tcBorders>
            <w:noWrap w:val="0"/>
            <w:vAlign w:val="center"/>
          </w:tcPr>
          <w:p w14:paraId="7DE3B14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污染物</w:t>
            </w:r>
          </w:p>
        </w:tc>
        <w:tc>
          <w:tcPr>
            <w:tcW w:w="0" w:type="auto"/>
            <w:vMerge w:val="restart"/>
            <w:tcBorders>
              <w:tl2br w:val="nil"/>
              <w:tr2bl w:val="nil"/>
            </w:tcBorders>
            <w:noWrap w:val="0"/>
            <w:vAlign w:val="center"/>
          </w:tcPr>
          <w:p w14:paraId="2647F94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主要污染防治</w:t>
            </w:r>
          </w:p>
          <w:p w14:paraId="37D5B24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措施</w:t>
            </w:r>
          </w:p>
        </w:tc>
        <w:tc>
          <w:tcPr>
            <w:tcW w:w="0" w:type="auto"/>
            <w:gridSpan w:val="2"/>
            <w:tcBorders>
              <w:tl2br w:val="nil"/>
              <w:tr2bl w:val="nil"/>
            </w:tcBorders>
            <w:noWrap w:val="0"/>
            <w:vAlign w:val="center"/>
          </w:tcPr>
          <w:p w14:paraId="524C44D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国家或地方污染物排放标准</w:t>
            </w:r>
          </w:p>
        </w:tc>
        <w:tc>
          <w:tcPr>
            <w:tcW w:w="0" w:type="auto"/>
            <w:vMerge w:val="restart"/>
            <w:tcBorders>
              <w:tl2br w:val="nil"/>
              <w:tr2bl w:val="nil"/>
            </w:tcBorders>
            <w:noWrap w:val="0"/>
            <w:vAlign w:val="center"/>
          </w:tcPr>
          <w:p w14:paraId="4F5BB67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年排放量（t/a）</w:t>
            </w:r>
          </w:p>
        </w:tc>
      </w:tr>
      <w:tr w14:paraId="2ED1B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noWrap w:val="0"/>
            <w:vAlign w:val="center"/>
          </w:tcPr>
          <w:p w14:paraId="03C024F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p>
        </w:tc>
        <w:tc>
          <w:tcPr>
            <w:tcW w:w="0" w:type="auto"/>
            <w:vMerge w:val="continue"/>
            <w:tcBorders>
              <w:tl2br w:val="nil"/>
              <w:tr2bl w:val="nil"/>
            </w:tcBorders>
            <w:noWrap w:val="0"/>
            <w:vAlign w:val="center"/>
          </w:tcPr>
          <w:p w14:paraId="1AC6B3E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p>
        </w:tc>
        <w:tc>
          <w:tcPr>
            <w:tcW w:w="0" w:type="auto"/>
            <w:vMerge w:val="continue"/>
            <w:tcBorders>
              <w:tl2br w:val="nil"/>
              <w:tr2bl w:val="nil"/>
            </w:tcBorders>
            <w:noWrap w:val="0"/>
            <w:vAlign w:val="center"/>
          </w:tcPr>
          <w:p w14:paraId="02A8286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p>
        </w:tc>
        <w:tc>
          <w:tcPr>
            <w:tcW w:w="0" w:type="auto"/>
            <w:vMerge w:val="continue"/>
            <w:tcBorders>
              <w:tl2br w:val="nil"/>
              <w:tr2bl w:val="nil"/>
            </w:tcBorders>
            <w:noWrap w:val="0"/>
            <w:vAlign w:val="center"/>
          </w:tcPr>
          <w:p w14:paraId="3BA29F7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p>
        </w:tc>
        <w:tc>
          <w:tcPr>
            <w:tcW w:w="0" w:type="auto"/>
            <w:tcBorders>
              <w:tl2br w:val="nil"/>
              <w:tr2bl w:val="nil"/>
            </w:tcBorders>
            <w:noWrap w:val="0"/>
            <w:vAlign w:val="center"/>
          </w:tcPr>
          <w:p w14:paraId="1D16E98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标准名称</w:t>
            </w:r>
          </w:p>
        </w:tc>
        <w:tc>
          <w:tcPr>
            <w:tcW w:w="0" w:type="auto"/>
            <w:tcBorders>
              <w:tl2br w:val="nil"/>
              <w:tr2bl w:val="nil"/>
            </w:tcBorders>
            <w:noWrap w:val="0"/>
            <w:vAlign w:val="center"/>
          </w:tcPr>
          <w:p w14:paraId="2BD3C6A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浓度限值（mg/m</w:t>
            </w:r>
            <w:r>
              <w:rPr>
                <w:rFonts w:hint="eastAsia" w:ascii="Times New Roman" w:hAnsi="Times New Roman" w:cs="Times New Roman"/>
                <w:color w:val="auto"/>
                <w:kern w:val="0"/>
                <w:highlight w:val="none"/>
                <w:vertAlign w:val="superscript"/>
                <w:lang w:val="en-US" w:eastAsia="zh-CN"/>
              </w:rPr>
              <w:t>3</w:t>
            </w:r>
            <w:r>
              <w:rPr>
                <w:rFonts w:hint="eastAsia" w:ascii="Times New Roman" w:hAnsi="Times New Roman" w:cs="Times New Roman"/>
                <w:color w:val="auto"/>
                <w:kern w:val="0"/>
                <w:highlight w:val="none"/>
                <w:lang w:val="en-US" w:eastAsia="zh-CN"/>
              </w:rPr>
              <w:t>）</w:t>
            </w:r>
          </w:p>
        </w:tc>
        <w:tc>
          <w:tcPr>
            <w:tcW w:w="0" w:type="auto"/>
            <w:vMerge w:val="continue"/>
            <w:tcBorders>
              <w:tl2br w:val="nil"/>
              <w:tr2bl w:val="nil"/>
            </w:tcBorders>
            <w:noWrap w:val="0"/>
            <w:vAlign w:val="center"/>
          </w:tcPr>
          <w:p w14:paraId="0AB7CA4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p>
        </w:tc>
      </w:tr>
      <w:tr w14:paraId="4A870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tcBorders>
              <w:tl2br w:val="nil"/>
              <w:tr2bl w:val="nil"/>
            </w:tcBorders>
            <w:noWrap w:val="0"/>
            <w:vAlign w:val="center"/>
          </w:tcPr>
          <w:p w14:paraId="3C8CC70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w:t>
            </w:r>
          </w:p>
        </w:tc>
        <w:tc>
          <w:tcPr>
            <w:tcW w:w="0" w:type="auto"/>
            <w:tcBorders>
              <w:tl2br w:val="nil"/>
              <w:tr2bl w:val="nil"/>
            </w:tcBorders>
            <w:noWrap w:val="0"/>
            <w:vAlign w:val="center"/>
          </w:tcPr>
          <w:p w14:paraId="25C28BC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原矿堆存</w:t>
            </w:r>
            <w:r>
              <w:rPr>
                <w:rFonts w:hint="eastAsia" w:cs="Times New Roman"/>
                <w:color w:val="auto"/>
                <w:kern w:val="0"/>
                <w:highlight w:val="none"/>
                <w:lang w:val="en-US" w:eastAsia="zh-CN"/>
              </w:rPr>
              <w:t>库</w:t>
            </w:r>
          </w:p>
        </w:tc>
        <w:tc>
          <w:tcPr>
            <w:tcW w:w="0" w:type="auto"/>
            <w:tcBorders>
              <w:tl2br w:val="nil"/>
              <w:tr2bl w:val="nil"/>
            </w:tcBorders>
            <w:noWrap w:val="0"/>
            <w:vAlign w:val="center"/>
          </w:tcPr>
          <w:p w14:paraId="02C1738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颗粒物</w:t>
            </w:r>
          </w:p>
        </w:tc>
        <w:tc>
          <w:tcPr>
            <w:tcW w:w="0" w:type="auto"/>
            <w:tcBorders>
              <w:tl2br w:val="nil"/>
              <w:tr2bl w:val="nil"/>
            </w:tcBorders>
            <w:noWrap w:val="0"/>
            <w:vAlign w:val="center"/>
          </w:tcPr>
          <w:p w14:paraId="45614A7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sz w:val="21"/>
                <w:szCs w:val="21"/>
                <w:highlight w:val="none"/>
                <w:lang w:val="en-US" w:eastAsia="zh-CN"/>
              </w:rPr>
              <w:t>全封闭库房，洒水抑尘</w:t>
            </w:r>
          </w:p>
        </w:tc>
        <w:tc>
          <w:tcPr>
            <w:tcW w:w="0" w:type="auto"/>
            <w:vMerge w:val="restart"/>
            <w:tcBorders>
              <w:tl2br w:val="nil"/>
              <w:tr2bl w:val="nil"/>
            </w:tcBorders>
            <w:noWrap w:val="0"/>
            <w:vAlign w:val="center"/>
          </w:tcPr>
          <w:p w14:paraId="1C9FE3E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《大气污染物综合排放标准》（GB16297-1996）表2中新污染源大气污染物排放限值的要求</w:t>
            </w:r>
          </w:p>
        </w:tc>
        <w:tc>
          <w:tcPr>
            <w:tcW w:w="0" w:type="auto"/>
            <w:tcBorders>
              <w:tl2br w:val="nil"/>
              <w:tr2bl w:val="nil"/>
            </w:tcBorders>
            <w:noWrap w:val="0"/>
            <w:vAlign w:val="center"/>
          </w:tcPr>
          <w:p w14:paraId="72553F3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1.0</w:t>
            </w:r>
          </w:p>
        </w:tc>
        <w:tc>
          <w:tcPr>
            <w:tcW w:w="0" w:type="auto"/>
            <w:tcBorders>
              <w:tl2br w:val="nil"/>
              <w:tr2bl w:val="nil"/>
            </w:tcBorders>
            <w:noWrap w:val="0"/>
            <w:vAlign w:val="center"/>
          </w:tcPr>
          <w:p w14:paraId="216923E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0.3</w:t>
            </w:r>
          </w:p>
        </w:tc>
      </w:tr>
      <w:tr w14:paraId="0F4D5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3B72719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2</w:t>
            </w:r>
          </w:p>
        </w:tc>
        <w:tc>
          <w:tcPr>
            <w:tcW w:w="0" w:type="auto"/>
            <w:tcBorders>
              <w:tl2br w:val="nil"/>
              <w:tr2bl w:val="nil"/>
            </w:tcBorders>
            <w:noWrap w:val="0"/>
            <w:vAlign w:val="center"/>
          </w:tcPr>
          <w:p w14:paraId="344406E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破碎车间</w:t>
            </w:r>
          </w:p>
        </w:tc>
        <w:tc>
          <w:tcPr>
            <w:tcW w:w="0" w:type="auto"/>
            <w:tcBorders>
              <w:tl2br w:val="nil"/>
              <w:tr2bl w:val="nil"/>
            </w:tcBorders>
            <w:noWrap w:val="0"/>
            <w:vAlign w:val="center"/>
          </w:tcPr>
          <w:p w14:paraId="7A2F50CE">
            <w:pPr>
              <w:pStyle w:val="245"/>
              <w:keepNext w:val="0"/>
              <w:keepLines w:val="0"/>
              <w:pageBreakBefore w:val="0"/>
              <w:widowControl w:val="0"/>
              <w:kinsoku/>
              <w:wordWrap/>
              <w:overflowPunct/>
              <w:topLinePunct/>
              <w:autoSpaceDE w:val="0"/>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2"/>
                <w:highlight w:val="none"/>
                <w:lang w:val="en-US" w:eastAsia="zh-CN" w:bidi="ar-SA"/>
              </w:rPr>
            </w:pPr>
            <w:r>
              <w:rPr>
                <w:rFonts w:hint="eastAsia" w:cs="Times New Roman"/>
                <w:color w:val="auto"/>
                <w:kern w:val="0"/>
                <w:highlight w:val="none"/>
                <w:lang w:val="en-US" w:eastAsia="zh-CN"/>
              </w:rPr>
              <w:t>颗粒物</w:t>
            </w:r>
          </w:p>
        </w:tc>
        <w:tc>
          <w:tcPr>
            <w:tcW w:w="0" w:type="auto"/>
            <w:tcBorders>
              <w:tl2br w:val="nil"/>
              <w:tr2bl w:val="nil"/>
            </w:tcBorders>
            <w:noWrap w:val="0"/>
            <w:vAlign w:val="center"/>
          </w:tcPr>
          <w:p w14:paraId="51F0F76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洒水抑尘</w:t>
            </w:r>
            <w:r>
              <w:rPr>
                <w:rFonts w:hint="eastAsia" w:cs="Times New Roman"/>
                <w:color w:val="auto"/>
                <w:kern w:val="0"/>
                <w:highlight w:val="none"/>
                <w:lang w:val="en-US" w:eastAsia="zh-CN"/>
              </w:rPr>
              <w:t>，</w:t>
            </w:r>
          </w:p>
          <w:p w14:paraId="0EBF183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集气罩收集</w:t>
            </w:r>
          </w:p>
        </w:tc>
        <w:tc>
          <w:tcPr>
            <w:tcW w:w="0" w:type="auto"/>
            <w:vMerge w:val="continue"/>
            <w:tcBorders>
              <w:tl2br w:val="nil"/>
              <w:tr2bl w:val="nil"/>
            </w:tcBorders>
            <w:noWrap w:val="0"/>
            <w:vAlign w:val="center"/>
          </w:tcPr>
          <w:p w14:paraId="091D662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p>
        </w:tc>
        <w:tc>
          <w:tcPr>
            <w:tcW w:w="0" w:type="auto"/>
            <w:tcBorders>
              <w:tl2br w:val="nil"/>
              <w:tr2bl w:val="nil"/>
            </w:tcBorders>
            <w:noWrap w:val="0"/>
            <w:vAlign w:val="center"/>
          </w:tcPr>
          <w:p w14:paraId="310C1CB8">
            <w:pPr>
              <w:pStyle w:val="245"/>
              <w:keepNext w:val="0"/>
              <w:keepLines w:val="0"/>
              <w:pageBreakBefore w:val="0"/>
              <w:widowControl w:val="0"/>
              <w:kinsoku/>
              <w:wordWrap/>
              <w:overflowPunct/>
              <w:topLinePunct/>
              <w:autoSpaceDE w:val="0"/>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2"/>
                <w:highlight w:val="none"/>
                <w:lang w:val="en-US" w:eastAsia="zh-CN" w:bidi="ar-SA"/>
              </w:rPr>
            </w:pPr>
            <w:r>
              <w:rPr>
                <w:rFonts w:hint="eastAsia" w:ascii="Times New Roman" w:hAnsi="Times New Roman" w:cs="Times New Roman"/>
                <w:color w:val="auto"/>
                <w:kern w:val="0"/>
                <w:highlight w:val="none"/>
                <w:lang w:val="en-US" w:eastAsia="zh-CN"/>
              </w:rPr>
              <w:t>1.0</w:t>
            </w:r>
          </w:p>
        </w:tc>
        <w:tc>
          <w:tcPr>
            <w:tcW w:w="0" w:type="auto"/>
            <w:tcBorders>
              <w:tl2br w:val="nil"/>
              <w:tr2bl w:val="nil"/>
            </w:tcBorders>
            <w:noWrap w:val="0"/>
            <w:vAlign w:val="center"/>
          </w:tcPr>
          <w:p w14:paraId="18CECBB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0.375</w:t>
            </w:r>
          </w:p>
        </w:tc>
      </w:tr>
      <w:tr w14:paraId="50F7F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7"/>
            <w:tcBorders>
              <w:tl2br w:val="nil"/>
              <w:tr2bl w:val="nil"/>
            </w:tcBorders>
            <w:noWrap w:val="0"/>
            <w:vAlign w:val="center"/>
          </w:tcPr>
          <w:p w14:paraId="5485E62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无组织排放总计</w:t>
            </w:r>
          </w:p>
        </w:tc>
      </w:tr>
      <w:tr w14:paraId="354C2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gridSpan w:val="3"/>
            <w:tcBorders>
              <w:tl2br w:val="nil"/>
              <w:tr2bl w:val="nil"/>
            </w:tcBorders>
            <w:noWrap w:val="0"/>
            <w:vAlign w:val="center"/>
          </w:tcPr>
          <w:p w14:paraId="1231D53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无组织排放总计</w:t>
            </w:r>
          </w:p>
        </w:tc>
        <w:tc>
          <w:tcPr>
            <w:tcW w:w="0" w:type="auto"/>
            <w:gridSpan w:val="2"/>
            <w:tcBorders>
              <w:tl2br w:val="nil"/>
              <w:tr2bl w:val="nil"/>
            </w:tcBorders>
            <w:noWrap w:val="0"/>
            <w:vAlign w:val="center"/>
          </w:tcPr>
          <w:p w14:paraId="6E1C896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颗粒物</w:t>
            </w:r>
          </w:p>
        </w:tc>
        <w:tc>
          <w:tcPr>
            <w:tcW w:w="0" w:type="auto"/>
            <w:gridSpan w:val="2"/>
            <w:tcBorders>
              <w:tl2br w:val="nil"/>
              <w:tr2bl w:val="nil"/>
            </w:tcBorders>
            <w:noWrap w:val="0"/>
            <w:vAlign w:val="center"/>
          </w:tcPr>
          <w:p w14:paraId="5CA45FA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0.675</w:t>
            </w:r>
          </w:p>
        </w:tc>
      </w:tr>
    </w:tbl>
    <w:p w14:paraId="0625D85E">
      <w:pPr>
        <w:ind w:firstLine="480"/>
        <w:rPr>
          <w:rFonts w:hint="eastAsia"/>
          <w:color w:val="auto"/>
          <w:highlight w:val="none"/>
          <w:lang w:val="en-US" w:eastAsia="zh-CN"/>
        </w:rPr>
      </w:pPr>
      <w:r>
        <w:rPr>
          <w:rFonts w:hint="eastAsia"/>
          <w:color w:val="auto"/>
          <w:highlight w:val="none"/>
          <w:lang w:val="en-US" w:eastAsia="zh-CN"/>
        </w:rPr>
        <w:t>本项目</w:t>
      </w:r>
      <w:r>
        <w:rPr>
          <w:rFonts w:hint="default"/>
          <w:color w:val="auto"/>
          <w:highlight w:val="none"/>
          <w:lang w:val="en-US" w:eastAsia="zh-CN"/>
        </w:rPr>
        <w:t>大气污染物年排放量核算表</w:t>
      </w:r>
      <w:r>
        <w:rPr>
          <w:rFonts w:hint="eastAsia"/>
          <w:color w:val="auto"/>
          <w:highlight w:val="none"/>
          <w:lang w:val="en-US" w:eastAsia="zh-CN"/>
        </w:rPr>
        <w:t>5.2-11。</w:t>
      </w:r>
    </w:p>
    <w:p w14:paraId="7287FDB0">
      <w:pPr>
        <w:pStyle w:val="199"/>
        <w:spacing w:before="12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cs="Times New Roman"/>
          <w:color w:val="auto"/>
          <w:sz w:val="24"/>
          <w:highlight w:val="none"/>
          <w:lang w:val="en-US" w:eastAsia="zh-CN"/>
        </w:rPr>
        <w:t>5.2-11</w:t>
      </w:r>
      <w:r>
        <w:rPr>
          <w:rFonts w:hint="eastAsia" w:ascii="Times New Roman" w:hAnsi="Times New Roman" w:cs="Times New Roman"/>
          <w:color w:val="auto"/>
          <w:sz w:val="24"/>
          <w:highlight w:val="none"/>
        </w:rPr>
        <w:t xml:space="preserve">   大气污染物年排放量核算表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54"/>
        <w:gridCol w:w="3254"/>
        <w:gridCol w:w="3255"/>
      </w:tblGrid>
      <w:tr w14:paraId="3A97D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54" w:type="dxa"/>
            <w:tcBorders>
              <w:tl2br w:val="nil"/>
              <w:tr2bl w:val="nil"/>
            </w:tcBorders>
            <w:noWrap w:val="0"/>
            <w:vAlign w:val="center"/>
          </w:tcPr>
          <w:p w14:paraId="3474278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序号</w:t>
            </w:r>
          </w:p>
        </w:tc>
        <w:tc>
          <w:tcPr>
            <w:tcW w:w="3254" w:type="dxa"/>
            <w:tcBorders>
              <w:tl2br w:val="nil"/>
              <w:tr2bl w:val="nil"/>
            </w:tcBorders>
            <w:noWrap w:val="0"/>
            <w:vAlign w:val="center"/>
          </w:tcPr>
          <w:p w14:paraId="3395865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污染物</w:t>
            </w:r>
          </w:p>
        </w:tc>
        <w:tc>
          <w:tcPr>
            <w:tcW w:w="3255" w:type="dxa"/>
            <w:tcBorders>
              <w:tl2br w:val="nil"/>
              <w:tr2bl w:val="nil"/>
            </w:tcBorders>
            <w:noWrap w:val="0"/>
            <w:vAlign w:val="center"/>
          </w:tcPr>
          <w:p w14:paraId="4B13669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年排放量/（t/a）</w:t>
            </w:r>
          </w:p>
        </w:tc>
      </w:tr>
      <w:tr w14:paraId="10BAD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54" w:type="dxa"/>
            <w:tcBorders>
              <w:tl2br w:val="nil"/>
              <w:tr2bl w:val="nil"/>
            </w:tcBorders>
            <w:noWrap w:val="0"/>
            <w:vAlign w:val="center"/>
          </w:tcPr>
          <w:p w14:paraId="31F65B9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w:t>
            </w:r>
          </w:p>
        </w:tc>
        <w:tc>
          <w:tcPr>
            <w:tcW w:w="3254" w:type="dxa"/>
            <w:tcBorders>
              <w:tl2br w:val="nil"/>
              <w:tr2bl w:val="nil"/>
            </w:tcBorders>
            <w:noWrap w:val="0"/>
            <w:vAlign w:val="center"/>
          </w:tcPr>
          <w:p w14:paraId="5E46C4A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颗粒物</w:t>
            </w:r>
          </w:p>
        </w:tc>
        <w:tc>
          <w:tcPr>
            <w:tcW w:w="3255" w:type="dxa"/>
            <w:tcBorders>
              <w:tl2br w:val="nil"/>
              <w:tr2bl w:val="nil"/>
            </w:tcBorders>
            <w:noWrap w:val="0"/>
            <w:vAlign w:val="center"/>
          </w:tcPr>
          <w:p w14:paraId="4ED85F6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0.709</w:t>
            </w:r>
          </w:p>
        </w:tc>
      </w:tr>
    </w:tbl>
    <w:p w14:paraId="385D6C68">
      <w:pPr>
        <w:ind w:firstLine="480"/>
        <w:rPr>
          <w:rFonts w:hint="eastAsia"/>
          <w:color w:val="auto"/>
          <w:highlight w:val="none"/>
          <w:lang w:val="en-US" w:eastAsia="zh-CN"/>
        </w:rPr>
      </w:pPr>
      <w:r>
        <w:rPr>
          <w:rFonts w:hint="eastAsia"/>
          <w:color w:val="auto"/>
          <w:highlight w:val="none"/>
          <w:lang w:val="en-US" w:eastAsia="zh-CN"/>
        </w:rPr>
        <w:t>本项目污染源非正常条件下排放量核算见表5.2-12。</w:t>
      </w:r>
    </w:p>
    <w:p w14:paraId="107EF079">
      <w:pPr>
        <w:pStyle w:val="199"/>
        <w:keepNext w:val="0"/>
        <w:keepLines w:val="0"/>
        <w:pageBreakBefore/>
        <w:widowControl w:val="0"/>
        <w:kinsoku/>
        <w:wordWrap/>
        <w:overflowPunct/>
        <w:topLinePunct w:val="0"/>
        <w:autoSpaceDE/>
        <w:autoSpaceDN/>
        <w:bidi w:val="0"/>
        <w:adjustRightInd/>
        <w:snapToGrid/>
        <w:spacing w:before="120"/>
        <w:textAlignment w:val="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ascii="Times New Roman" w:hAnsi="Times New Roman" w:cs="Times New Roman"/>
          <w:color w:val="auto"/>
          <w:sz w:val="24"/>
          <w:highlight w:val="none"/>
          <w:lang w:val="en-US" w:eastAsia="zh-CN"/>
        </w:rPr>
        <w:t>5.2-12</w:t>
      </w:r>
      <w:r>
        <w:rPr>
          <w:rFonts w:hint="eastAsia" w:ascii="Times New Roman" w:hAnsi="Times New Roman" w:cs="Times New Roman"/>
          <w:color w:val="auto"/>
          <w:sz w:val="24"/>
          <w:highlight w:val="none"/>
        </w:rPr>
        <w:t xml:space="preserve">  污染源非正常</w:t>
      </w:r>
      <w:r>
        <w:rPr>
          <w:rFonts w:hint="eastAsia" w:ascii="Times New Roman" w:hAnsi="Times New Roman" w:cs="Times New Roman"/>
          <w:color w:val="auto"/>
          <w:sz w:val="24"/>
          <w:highlight w:val="none"/>
          <w:lang w:val="en-US" w:eastAsia="zh-CN"/>
        </w:rPr>
        <w:t>条件下污染物</w:t>
      </w:r>
      <w:r>
        <w:rPr>
          <w:rFonts w:hint="eastAsia" w:ascii="Times New Roman" w:hAnsi="Times New Roman" w:cs="Times New Roman"/>
          <w:color w:val="auto"/>
          <w:sz w:val="24"/>
          <w:highlight w:val="none"/>
        </w:rPr>
        <w:t>排放量核算表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837"/>
        <w:gridCol w:w="808"/>
        <w:gridCol w:w="502"/>
        <w:gridCol w:w="1387"/>
        <w:gridCol w:w="1191"/>
        <w:gridCol w:w="647"/>
        <w:gridCol w:w="541"/>
        <w:gridCol w:w="3386"/>
      </w:tblGrid>
      <w:tr w14:paraId="3F5A4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015625E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序号</w:t>
            </w:r>
          </w:p>
        </w:tc>
        <w:tc>
          <w:tcPr>
            <w:tcW w:w="0" w:type="auto"/>
            <w:tcBorders>
              <w:tl2br w:val="nil"/>
              <w:tr2bl w:val="nil"/>
            </w:tcBorders>
            <w:noWrap w:val="0"/>
            <w:vAlign w:val="center"/>
          </w:tcPr>
          <w:p w14:paraId="0EEA459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污染源</w:t>
            </w:r>
          </w:p>
        </w:tc>
        <w:tc>
          <w:tcPr>
            <w:tcW w:w="0" w:type="auto"/>
            <w:tcBorders>
              <w:tl2br w:val="nil"/>
              <w:tr2bl w:val="nil"/>
            </w:tcBorders>
            <w:noWrap w:val="0"/>
            <w:vAlign w:val="center"/>
          </w:tcPr>
          <w:p w14:paraId="12E5D99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非正常排放原因</w:t>
            </w:r>
          </w:p>
        </w:tc>
        <w:tc>
          <w:tcPr>
            <w:tcW w:w="0" w:type="auto"/>
            <w:tcBorders>
              <w:tl2br w:val="nil"/>
              <w:tr2bl w:val="nil"/>
            </w:tcBorders>
            <w:noWrap w:val="0"/>
            <w:vAlign w:val="center"/>
          </w:tcPr>
          <w:p w14:paraId="3BBD7A5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污染物</w:t>
            </w:r>
          </w:p>
        </w:tc>
        <w:tc>
          <w:tcPr>
            <w:tcW w:w="0" w:type="auto"/>
            <w:tcBorders>
              <w:tl2br w:val="nil"/>
              <w:tr2bl w:val="nil"/>
            </w:tcBorders>
            <w:noWrap w:val="0"/>
            <w:vAlign w:val="center"/>
          </w:tcPr>
          <w:p w14:paraId="71AADF6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非正常排放浓度/（mg/m</w:t>
            </w:r>
            <w:r>
              <w:rPr>
                <w:rFonts w:hint="eastAsia" w:ascii="Times New Roman" w:hAnsi="Times New Roman" w:cs="Times New Roman"/>
                <w:color w:val="auto"/>
                <w:kern w:val="0"/>
                <w:highlight w:val="none"/>
                <w:vertAlign w:val="superscript"/>
                <w:lang w:val="en-US" w:eastAsia="zh-CN"/>
              </w:rPr>
              <w:t>3</w:t>
            </w:r>
            <w:r>
              <w:rPr>
                <w:rFonts w:hint="eastAsia" w:ascii="Times New Roman" w:hAnsi="Times New Roman" w:cs="Times New Roman"/>
                <w:color w:val="auto"/>
                <w:kern w:val="0"/>
                <w:highlight w:val="none"/>
                <w:lang w:val="en-US" w:eastAsia="zh-CN"/>
              </w:rPr>
              <w:t>）</w:t>
            </w:r>
          </w:p>
        </w:tc>
        <w:tc>
          <w:tcPr>
            <w:tcW w:w="0" w:type="auto"/>
            <w:tcBorders>
              <w:tl2br w:val="nil"/>
              <w:tr2bl w:val="nil"/>
            </w:tcBorders>
            <w:noWrap w:val="0"/>
            <w:vAlign w:val="center"/>
          </w:tcPr>
          <w:p w14:paraId="06D6F9A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非正常排放速率（kg/h）</w:t>
            </w:r>
          </w:p>
        </w:tc>
        <w:tc>
          <w:tcPr>
            <w:tcW w:w="0" w:type="auto"/>
            <w:tcBorders>
              <w:tl2br w:val="nil"/>
              <w:tr2bl w:val="nil"/>
            </w:tcBorders>
            <w:noWrap w:val="0"/>
            <w:vAlign w:val="center"/>
          </w:tcPr>
          <w:p w14:paraId="5A23600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单次持续时间/h</w:t>
            </w:r>
          </w:p>
        </w:tc>
        <w:tc>
          <w:tcPr>
            <w:tcW w:w="0" w:type="auto"/>
            <w:tcBorders>
              <w:tl2br w:val="nil"/>
              <w:tr2bl w:val="nil"/>
            </w:tcBorders>
            <w:noWrap w:val="0"/>
            <w:vAlign w:val="center"/>
          </w:tcPr>
          <w:p w14:paraId="1F52BB9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发生频率</w:t>
            </w:r>
          </w:p>
        </w:tc>
        <w:tc>
          <w:tcPr>
            <w:tcW w:w="0" w:type="auto"/>
            <w:tcBorders>
              <w:tl2br w:val="nil"/>
              <w:tr2bl w:val="nil"/>
            </w:tcBorders>
            <w:noWrap w:val="0"/>
            <w:vAlign w:val="center"/>
          </w:tcPr>
          <w:p w14:paraId="3DAD938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应对</w:t>
            </w:r>
          </w:p>
          <w:p w14:paraId="1E21700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措施</w:t>
            </w:r>
          </w:p>
        </w:tc>
      </w:tr>
      <w:tr w14:paraId="59523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noWrap w:val="0"/>
            <w:vAlign w:val="center"/>
          </w:tcPr>
          <w:p w14:paraId="7744778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w:t>
            </w:r>
          </w:p>
        </w:tc>
        <w:tc>
          <w:tcPr>
            <w:tcW w:w="0" w:type="auto"/>
            <w:tcBorders>
              <w:tl2br w:val="nil"/>
              <w:tr2bl w:val="nil"/>
            </w:tcBorders>
            <w:noWrap w:val="0"/>
            <w:vAlign w:val="center"/>
          </w:tcPr>
          <w:p w14:paraId="1328EBA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DA001</w:t>
            </w:r>
          </w:p>
        </w:tc>
        <w:tc>
          <w:tcPr>
            <w:tcW w:w="0" w:type="auto"/>
            <w:tcBorders>
              <w:tl2br w:val="nil"/>
              <w:tr2bl w:val="nil"/>
            </w:tcBorders>
            <w:noWrap w:val="0"/>
            <w:vAlign w:val="center"/>
          </w:tcPr>
          <w:p w14:paraId="5C7E038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环保设施运行异常或停电</w:t>
            </w:r>
          </w:p>
        </w:tc>
        <w:tc>
          <w:tcPr>
            <w:tcW w:w="0" w:type="auto"/>
            <w:tcBorders>
              <w:tl2br w:val="nil"/>
              <w:tr2bl w:val="nil"/>
            </w:tcBorders>
            <w:noWrap w:val="0"/>
            <w:vAlign w:val="center"/>
          </w:tcPr>
          <w:p w14:paraId="1756DAD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颗粒物</w:t>
            </w:r>
          </w:p>
        </w:tc>
        <w:tc>
          <w:tcPr>
            <w:tcW w:w="0" w:type="auto"/>
            <w:tcBorders>
              <w:tl2br w:val="nil"/>
              <w:tr2bl w:val="nil"/>
            </w:tcBorders>
            <w:noWrap w:val="0"/>
            <w:vAlign w:val="center"/>
          </w:tcPr>
          <w:p w14:paraId="3D13A2F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350</w:t>
            </w:r>
          </w:p>
        </w:tc>
        <w:tc>
          <w:tcPr>
            <w:tcW w:w="0" w:type="auto"/>
            <w:tcBorders>
              <w:tl2br w:val="nil"/>
              <w:tr2bl w:val="nil"/>
            </w:tcBorders>
            <w:noWrap w:val="0"/>
            <w:vAlign w:val="center"/>
          </w:tcPr>
          <w:p w14:paraId="20CC12E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default"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0.7</w:t>
            </w:r>
          </w:p>
        </w:tc>
        <w:tc>
          <w:tcPr>
            <w:tcW w:w="0" w:type="auto"/>
            <w:tcBorders>
              <w:tl2br w:val="nil"/>
              <w:tr2bl w:val="nil"/>
            </w:tcBorders>
            <w:noWrap w:val="0"/>
            <w:vAlign w:val="center"/>
          </w:tcPr>
          <w:p w14:paraId="2003A8A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1h</w:t>
            </w:r>
          </w:p>
        </w:tc>
        <w:tc>
          <w:tcPr>
            <w:tcW w:w="0" w:type="auto"/>
            <w:tcBorders>
              <w:tl2br w:val="nil"/>
              <w:tr2bl w:val="nil"/>
            </w:tcBorders>
            <w:noWrap w:val="0"/>
            <w:vAlign w:val="center"/>
          </w:tcPr>
          <w:p w14:paraId="44E9C77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r>
              <w:rPr>
                <w:rFonts w:hint="eastAsia" w:cs="Times New Roman"/>
                <w:color w:val="auto"/>
                <w:kern w:val="0"/>
                <w:highlight w:val="none"/>
                <w:lang w:val="en-US" w:eastAsia="zh-CN"/>
              </w:rPr>
              <w:t>2</w:t>
            </w:r>
            <w:r>
              <w:rPr>
                <w:rFonts w:hint="eastAsia" w:ascii="Times New Roman" w:hAnsi="Times New Roman" w:cs="Times New Roman"/>
                <w:color w:val="auto"/>
                <w:kern w:val="0"/>
                <w:highlight w:val="none"/>
                <w:lang w:val="en-US" w:eastAsia="zh-CN"/>
              </w:rPr>
              <w:t>次/年</w:t>
            </w:r>
          </w:p>
        </w:tc>
        <w:tc>
          <w:tcPr>
            <w:tcW w:w="0" w:type="auto"/>
            <w:tcBorders>
              <w:tl2br w:val="nil"/>
              <w:tr2bl w:val="nil"/>
            </w:tcBorders>
            <w:noWrap w:val="0"/>
            <w:vAlign w:val="center"/>
          </w:tcPr>
          <w:p w14:paraId="30507A6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采用双路供电并加强日常对除尘器及布袋的维护，避免非正常排放的发生</w:t>
            </w:r>
            <w:r>
              <w:rPr>
                <w:rFonts w:hint="eastAsia" w:cs="Times New Roman"/>
                <w:color w:val="auto"/>
                <w:kern w:val="0"/>
                <w:highlight w:val="none"/>
                <w:lang w:val="en-US" w:eastAsia="zh-CN"/>
              </w:rPr>
              <w:t>，环保设备在出现故障情况后在1小时时间内完后更换、修理，若不能完成，应及时停止生产。</w:t>
            </w:r>
          </w:p>
          <w:p w14:paraId="622C4C2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highlight w:val="none"/>
                <w:lang w:val="en-US" w:eastAsia="zh-CN"/>
              </w:rPr>
            </w:pPr>
          </w:p>
        </w:tc>
      </w:tr>
    </w:tbl>
    <w:p w14:paraId="2AFFCF94">
      <w:pPr>
        <w:pStyle w:val="6"/>
        <w:rPr>
          <w:color w:val="auto"/>
          <w:highlight w:val="none"/>
        </w:rPr>
      </w:pPr>
      <w:r>
        <w:rPr>
          <w:rFonts w:hint="eastAsia"/>
          <w:color w:val="auto"/>
          <w:highlight w:val="none"/>
          <w:lang w:val="en-US" w:eastAsia="zh-CN"/>
        </w:rPr>
        <w:t xml:space="preserve"> </w:t>
      </w:r>
      <w:r>
        <w:rPr>
          <w:rFonts w:hint="eastAsia"/>
          <w:color w:val="auto"/>
          <w:highlight w:val="none"/>
        </w:rPr>
        <w:t>大气环境影响评价自查表</w:t>
      </w:r>
    </w:p>
    <w:p w14:paraId="29646C52">
      <w:pPr>
        <w:ind w:firstLine="480"/>
        <w:rPr>
          <w:color w:val="auto"/>
          <w:highlight w:val="none"/>
        </w:rPr>
      </w:pPr>
      <w:r>
        <w:rPr>
          <w:rFonts w:hint="eastAsia"/>
          <w:color w:val="auto"/>
          <w:highlight w:val="none"/>
        </w:rPr>
        <w:t>本次大气环境影响评价完成后，对大气环境影响评价主要内容与结论进行自查，详见表5.2-</w:t>
      </w:r>
      <w:r>
        <w:rPr>
          <w:rFonts w:hint="eastAsia"/>
          <w:color w:val="auto"/>
          <w:highlight w:val="none"/>
          <w:lang w:val="en-US" w:eastAsia="zh-CN"/>
        </w:rPr>
        <w:t>13</w:t>
      </w:r>
      <w:r>
        <w:rPr>
          <w:rFonts w:hint="eastAsia"/>
          <w:color w:val="auto"/>
          <w:highlight w:val="none"/>
        </w:rPr>
        <w:t>。</w:t>
      </w:r>
    </w:p>
    <w:p w14:paraId="37D40679">
      <w:pPr>
        <w:pStyle w:val="199"/>
        <w:keepNext w:val="0"/>
        <w:keepLines w:val="0"/>
        <w:pageBreakBefore/>
        <w:widowControl w:val="0"/>
        <w:kinsoku/>
        <w:wordWrap/>
        <w:overflowPunct/>
        <w:topLinePunct w:val="0"/>
        <w:autoSpaceDE/>
        <w:autoSpaceDN/>
        <w:bidi w:val="0"/>
        <w:adjustRightInd/>
        <w:snapToGrid/>
        <w:spacing w:before="120"/>
        <w:textAlignment w:val="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表5.2-</w:t>
      </w:r>
      <w:r>
        <w:rPr>
          <w:rFonts w:hint="eastAsia" w:cs="Times New Roman"/>
          <w:color w:val="auto"/>
          <w:sz w:val="24"/>
          <w:highlight w:val="none"/>
          <w:lang w:val="en-US" w:eastAsia="zh-CN"/>
        </w:rPr>
        <w:t>13</w:t>
      </w:r>
      <w:r>
        <w:rPr>
          <w:rFonts w:hint="eastAsia" w:ascii="Times New Roman" w:hAnsi="Times New Roman" w:cs="Times New Roman"/>
          <w:color w:val="auto"/>
          <w:sz w:val="24"/>
          <w:highlight w:val="none"/>
        </w:rPr>
        <w:t xml:space="preserve">  大气环境影响评价自查表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00"/>
        <w:gridCol w:w="1348"/>
        <w:gridCol w:w="1177"/>
        <w:gridCol w:w="917"/>
        <w:gridCol w:w="489"/>
        <w:gridCol w:w="489"/>
        <w:gridCol w:w="488"/>
        <w:gridCol w:w="745"/>
        <w:gridCol w:w="720"/>
        <w:gridCol w:w="777"/>
        <w:gridCol w:w="641"/>
        <w:gridCol w:w="767"/>
        <w:gridCol w:w="505"/>
      </w:tblGrid>
      <w:tr w14:paraId="71D296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gridSpan w:val="2"/>
            <w:noWrap w:val="0"/>
            <w:vAlign w:val="center"/>
          </w:tcPr>
          <w:p w14:paraId="503ECC1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工作内容</w:t>
            </w:r>
          </w:p>
        </w:tc>
        <w:tc>
          <w:tcPr>
            <w:tcW w:w="0" w:type="auto"/>
            <w:gridSpan w:val="11"/>
            <w:noWrap w:val="0"/>
            <w:vAlign w:val="center"/>
          </w:tcPr>
          <w:p w14:paraId="250A997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自查项目</w:t>
            </w:r>
          </w:p>
        </w:tc>
      </w:tr>
      <w:tr w14:paraId="3FFAF2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restart"/>
            <w:noWrap w:val="0"/>
            <w:vAlign w:val="center"/>
          </w:tcPr>
          <w:p w14:paraId="55B58BC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评价等级与范围</w:t>
            </w:r>
          </w:p>
        </w:tc>
        <w:tc>
          <w:tcPr>
            <w:tcW w:w="0" w:type="auto"/>
            <w:noWrap w:val="0"/>
            <w:vAlign w:val="center"/>
          </w:tcPr>
          <w:p w14:paraId="31EB891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评价等级</w:t>
            </w:r>
          </w:p>
        </w:tc>
        <w:tc>
          <w:tcPr>
            <w:tcW w:w="0" w:type="auto"/>
            <w:gridSpan w:val="5"/>
            <w:noWrap w:val="0"/>
            <w:vAlign w:val="center"/>
          </w:tcPr>
          <w:p w14:paraId="253153D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一级</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4"/>
            <w:noWrap w:val="0"/>
            <w:vAlign w:val="center"/>
          </w:tcPr>
          <w:p w14:paraId="5C2B361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二级☑</w:t>
            </w:r>
          </w:p>
        </w:tc>
        <w:tc>
          <w:tcPr>
            <w:tcW w:w="0" w:type="auto"/>
            <w:gridSpan w:val="2"/>
            <w:noWrap w:val="0"/>
            <w:vAlign w:val="center"/>
          </w:tcPr>
          <w:p w14:paraId="3100CAA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三级□</w:t>
            </w:r>
          </w:p>
        </w:tc>
      </w:tr>
      <w:tr w14:paraId="1515D3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56CCD0C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1451870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评价范围</w:t>
            </w:r>
          </w:p>
        </w:tc>
        <w:tc>
          <w:tcPr>
            <w:tcW w:w="0" w:type="auto"/>
            <w:gridSpan w:val="5"/>
            <w:noWrap w:val="0"/>
            <w:vAlign w:val="center"/>
          </w:tcPr>
          <w:p w14:paraId="344763E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边长=50km□</w:t>
            </w:r>
          </w:p>
        </w:tc>
        <w:tc>
          <w:tcPr>
            <w:tcW w:w="0" w:type="auto"/>
            <w:gridSpan w:val="4"/>
            <w:noWrap w:val="0"/>
            <w:vAlign w:val="center"/>
          </w:tcPr>
          <w:p w14:paraId="0B6BA10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边长=5~50km</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2"/>
            <w:noWrap w:val="0"/>
            <w:vAlign w:val="center"/>
          </w:tcPr>
          <w:p w14:paraId="03BEFEC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边长=5km☑</w:t>
            </w:r>
          </w:p>
        </w:tc>
      </w:tr>
      <w:tr w14:paraId="0084E0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restart"/>
            <w:noWrap w:val="0"/>
            <w:vAlign w:val="center"/>
          </w:tcPr>
          <w:p w14:paraId="3277072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评价因子</w:t>
            </w:r>
          </w:p>
        </w:tc>
        <w:tc>
          <w:tcPr>
            <w:tcW w:w="0" w:type="auto"/>
            <w:noWrap w:val="0"/>
            <w:vAlign w:val="center"/>
          </w:tcPr>
          <w:p w14:paraId="609D88A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SO</w:t>
            </w:r>
            <w:r>
              <w:rPr>
                <w:rFonts w:hint="eastAsia" w:ascii="Times New Roman" w:hAnsi="Times New Roman" w:cs="Times New Roman"/>
                <w:color w:val="auto"/>
                <w:kern w:val="0"/>
                <w:sz w:val="18"/>
                <w:szCs w:val="18"/>
                <w:highlight w:val="none"/>
                <w:vertAlign w:val="subscript"/>
                <w:lang w:val="en-US" w:eastAsia="zh-CN"/>
              </w:rPr>
              <w:t>2</w:t>
            </w:r>
            <w:r>
              <w:rPr>
                <w:rFonts w:hint="eastAsia" w:ascii="Times New Roman" w:hAnsi="Times New Roman" w:cs="Times New Roman"/>
                <w:color w:val="auto"/>
                <w:kern w:val="0"/>
                <w:sz w:val="18"/>
                <w:szCs w:val="18"/>
                <w:highlight w:val="none"/>
                <w:lang w:val="en-US" w:eastAsia="zh-CN"/>
              </w:rPr>
              <w:t>+NOx排放量</w:t>
            </w:r>
          </w:p>
        </w:tc>
        <w:tc>
          <w:tcPr>
            <w:tcW w:w="0" w:type="auto"/>
            <w:gridSpan w:val="2"/>
            <w:noWrap w:val="0"/>
            <w:vAlign w:val="center"/>
          </w:tcPr>
          <w:p w14:paraId="3C61E13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≥2000t/a□</w:t>
            </w:r>
          </w:p>
        </w:tc>
        <w:tc>
          <w:tcPr>
            <w:tcW w:w="0" w:type="auto"/>
            <w:gridSpan w:val="5"/>
            <w:noWrap w:val="0"/>
            <w:vAlign w:val="center"/>
          </w:tcPr>
          <w:p w14:paraId="3FC3C9A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500~2000t/a□</w:t>
            </w:r>
          </w:p>
        </w:tc>
        <w:tc>
          <w:tcPr>
            <w:tcW w:w="0" w:type="auto"/>
            <w:gridSpan w:val="4"/>
            <w:noWrap w:val="0"/>
            <w:vAlign w:val="center"/>
          </w:tcPr>
          <w:p w14:paraId="2448758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&lt;500t/a</w:t>
            </w:r>
            <w:r>
              <w:rPr>
                <w:rFonts w:hint="eastAsia" w:ascii="Times New Roman" w:hAnsi="Times New Roman" w:cs="Times New Roman"/>
                <w:color w:val="auto"/>
                <w:kern w:val="0"/>
                <w:sz w:val="18"/>
                <w:szCs w:val="18"/>
                <w:highlight w:val="none"/>
                <w:lang w:val="en-US" w:eastAsia="zh-CN"/>
              </w:rPr>
              <w:sym w:font="Wingdings 2" w:char="F052"/>
            </w:r>
          </w:p>
        </w:tc>
      </w:tr>
      <w:tr w14:paraId="3E4B58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20A18A2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6B30BC5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w:t>
            </w:r>
          </w:p>
          <w:p w14:paraId="6A7087B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因子</w:t>
            </w:r>
          </w:p>
        </w:tc>
        <w:tc>
          <w:tcPr>
            <w:tcW w:w="0" w:type="auto"/>
            <w:gridSpan w:val="7"/>
            <w:noWrap w:val="0"/>
            <w:vAlign w:val="center"/>
          </w:tcPr>
          <w:p w14:paraId="38A6D89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其他污染物（TSP）</w:t>
            </w:r>
          </w:p>
        </w:tc>
        <w:tc>
          <w:tcPr>
            <w:tcW w:w="0" w:type="auto"/>
            <w:gridSpan w:val="4"/>
            <w:noWrap w:val="0"/>
            <w:vAlign w:val="center"/>
          </w:tcPr>
          <w:p w14:paraId="0864FB5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r>
      <w:tr w14:paraId="7ACE44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noWrap w:val="0"/>
            <w:vAlign w:val="center"/>
          </w:tcPr>
          <w:p w14:paraId="517187B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评价标准</w:t>
            </w:r>
          </w:p>
        </w:tc>
        <w:tc>
          <w:tcPr>
            <w:tcW w:w="0" w:type="auto"/>
            <w:noWrap w:val="0"/>
            <w:vAlign w:val="center"/>
          </w:tcPr>
          <w:p w14:paraId="3DDF433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评价标准</w:t>
            </w:r>
          </w:p>
        </w:tc>
        <w:tc>
          <w:tcPr>
            <w:tcW w:w="0" w:type="auto"/>
            <w:gridSpan w:val="4"/>
            <w:noWrap w:val="0"/>
            <w:vAlign w:val="center"/>
          </w:tcPr>
          <w:p w14:paraId="48076D2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国家标准</w:t>
            </w:r>
            <w:r>
              <w:rPr>
                <w:rFonts w:hint="eastAsia" w:ascii="Times New Roman" w:hAnsi="Times New Roman" w:cs="Times New Roman"/>
                <w:color w:val="auto"/>
                <w:kern w:val="0"/>
                <w:sz w:val="18"/>
                <w:szCs w:val="18"/>
                <w:highlight w:val="none"/>
                <w:lang w:val="en-US" w:eastAsia="zh-CN"/>
              </w:rPr>
              <w:sym w:font="Wingdings 2" w:char="F052"/>
            </w:r>
          </w:p>
        </w:tc>
        <w:tc>
          <w:tcPr>
            <w:tcW w:w="0" w:type="auto"/>
            <w:gridSpan w:val="3"/>
            <w:noWrap w:val="0"/>
            <w:vAlign w:val="center"/>
          </w:tcPr>
          <w:p w14:paraId="39ECF92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地方标准□</w:t>
            </w:r>
          </w:p>
        </w:tc>
        <w:tc>
          <w:tcPr>
            <w:tcW w:w="0" w:type="auto"/>
            <w:gridSpan w:val="2"/>
            <w:noWrap w:val="0"/>
            <w:vAlign w:val="center"/>
          </w:tcPr>
          <w:p w14:paraId="1DF3AA8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附录D</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2"/>
            <w:noWrap w:val="0"/>
            <w:vAlign w:val="center"/>
          </w:tcPr>
          <w:p w14:paraId="3135370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其他标准</w:t>
            </w:r>
            <w:r>
              <w:rPr>
                <w:rFonts w:hint="eastAsia" w:ascii="Times New Roman" w:hAnsi="Times New Roman" w:cs="Times New Roman"/>
                <w:color w:val="auto"/>
                <w:kern w:val="0"/>
                <w:sz w:val="18"/>
                <w:szCs w:val="18"/>
                <w:highlight w:val="none"/>
                <w:lang w:val="en-US" w:eastAsia="zh-CN"/>
              </w:rPr>
              <w:sym w:font="Wingdings 2" w:char="00A3"/>
            </w:r>
          </w:p>
        </w:tc>
      </w:tr>
      <w:tr w14:paraId="5019EC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restart"/>
            <w:noWrap w:val="0"/>
            <w:vAlign w:val="center"/>
          </w:tcPr>
          <w:p w14:paraId="12194DA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现状评价</w:t>
            </w:r>
          </w:p>
        </w:tc>
        <w:tc>
          <w:tcPr>
            <w:tcW w:w="0" w:type="auto"/>
            <w:noWrap w:val="0"/>
            <w:vAlign w:val="center"/>
          </w:tcPr>
          <w:p w14:paraId="0988ED0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评价功能区</w:t>
            </w:r>
          </w:p>
        </w:tc>
        <w:tc>
          <w:tcPr>
            <w:tcW w:w="0" w:type="auto"/>
            <w:gridSpan w:val="5"/>
            <w:noWrap w:val="0"/>
            <w:vAlign w:val="center"/>
          </w:tcPr>
          <w:p w14:paraId="79F14BD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一类口</w:t>
            </w:r>
          </w:p>
        </w:tc>
        <w:tc>
          <w:tcPr>
            <w:tcW w:w="0" w:type="auto"/>
            <w:gridSpan w:val="4"/>
            <w:noWrap w:val="0"/>
            <w:vAlign w:val="center"/>
          </w:tcPr>
          <w:p w14:paraId="71A573A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二类区</w:t>
            </w:r>
            <w:r>
              <w:rPr>
                <w:rFonts w:hint="eastAsia" w:ascii="Times New Roman" w:hAnsi="Times New Roman" w:cs="Times New Roman"/>
                <w:color w:val="auto"/>
                <w:kern w:val="0"/>
                <w:sz w:val="18"/>
                <w:szCs w:val="18"/>
                <w:highlight w:val="none"/>
                <w:lang w:val="en-US" w:eastAsia="zh-CN"/>
              </w:rPr>
              <w:sym w:font="Wingdings 2" w:char="F052"/>
            </w:r>
          </w:p>
        </w:tc>
        <w:tc>
          <w:tcPr>
            <w:tcW w:w="0" w:type="auto"/>
            <w:gridSpan w:val="2"/>
            <w:noWrap w:val="0"/>
            <w:vAlign w:val="center"/>
          </w:tcPr>
          <w:p w14:paraId="1AED140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一类区和二类区□</w:t>
            </w:r>
          </w:p>
        </w:tc>
      </w:tr>
      <w:tr w14:paraId="3555C3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00FD166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5EAF36E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评价基准年</w:t>
            </w:r>
          </w:p>
        </w:tc>
        <w:tc>
          <w:tcPr>
            <w:tcW w:w="0" w:type="auto"/>
            <w:gridSpan w:val="11"/>
            <w:noWrap w:val="0"/>
            <w:vAlign w:val="center"/>
          </w:tcPr>
          <w:p w14:paraId="1FB1D05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（2023）年</w:t>
            </w:r>
          </w:p>
        </w:tc>
      </w:tr>
      <w:tr w14:paraId="549ACE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701196A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2EC3A80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环境空气质量现状调查数据来源</w:t>
            </w:r>
          </w:p>
        </w:tc>
        <w:tc>
          <w:tcPr>
            <w:tcW w:w="0" w:type="auto"/>
            <w:gridSpan w:val="5"/>
            <w:noWrap w:val="0"/>
            <w:vAlign w:val="center"/>
          </w:tcPr>
          <w:p w14:paraId="1C0D451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长期例行监测标准□</w:t>
            </w:r>
          </w:p>
        </w:tc>
        <w:tc>
          <w:tcPr>
            <w:tcW w:w="0" w:type="auto"/>
            <w:gridSpan w:val="4"/>
            <w:noWrap w:val="0"/>
            <w:vAlign w:val="center"/>
          </w:tcPr>
          <w:p w14:paraId="455D628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主管部门发布的数据标准</w:t>
            </w:r>
            <w:r>
              <w:rPr>
                <w:rFonts w:hint="eastAsia" w:ascii="Times New Roman" w:hAnsi="Times New Roman" w:cs="Times New Roman"/>
                <w:color w:val="auto"/>
                <w:kern w:val="0"/>
                <w:sz w:val="18"/>
                <w:szCs w:val="18"/>
                <w:highlight w:val="none"/>
                <w:lang w:val="en-US" w:eastAsia="zh-CN"/>
              </w:rPr>
              <w:sym w:font="Wingdings 2" w:char="F052"/>
            </w:r>
          </w:p>
        </w:tc>
        <w:tc>
          <w:tcPr>
            <w:tcW w:w="0" w:type="auto"/>
            <w:gridSpan w:val="2"/>
            <w:noWrap w:val="0"/>
            <w:vAlign w:val="center"/>
          </w:tcPr>
          <w:p w14:paraId="77F543C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现状补充标准</w:t>
            </w:r>
            <w:r>
              <w:rPr>
                <w:rFonts w:hint="eastAsia" w:ascii="Times New Roman" w:hAnsi="Times New Roman" w:cs="Times New Roman"/>
                <w:color w:val="auto"/>
                <w:kern w:val="0"/>
                <w:sz w:val="18"/>
                <w:szCs w:val="18"/>
                <w:highlight w:val="none"/>
                <w:lang w:val="en-US" w:eastAsia="zh-CN"/>
              </w:rPr>
              <w:sym w:font="Wingdings 2" w:char="F052"/>
            </w:r>
          </w:p>
        </w:tc>
      </w:tr>
      <w:tr w14:paraId="5F48C8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1349564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1A4E220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现状评价</w:t>
            </w:r>
          </w:p>
        </w:tc>
        <w:tc>
          <w:tcPr>
            <w:tcW w:w="0" w:type="auto"/>
            <w:gridSpan w:val="7"/>
            <w:noWrap w:val="0"/>
            <w:vAlign w:val="center"/>
          </w:tcPr>
          <w:p w14:paraId="3C254ED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达标区</w:t>
            </w:r>
            <w:r>
              <w:rPr>
                <w:rFonts w:hint="eastAsia" w:ascii="Times New Roman" w:hAnsi="Times New Roman" w:cs="Times New Roman"/>
                <w:color w:val="auto"/>
                <w:kern w:val="0"/>
                <w:sz w:val="18"/>
                <w:szCs w:val="18"/>
                <w:highlight w:val="none"/>
                <w:lang w:val="en-US" w:eastAsia="zh-CN"/>
              </w:rPr>
              <w:sym w:font="Wingdings 2" w:char="F052"/>
            </w:r>
          </w:p>
        </w:tc>
        <w:tc>
          <w:tcPr>
            <w:tcW w:w="0" w:type="auto"/>
            <w:gridSpan w:val="4"/>
            <w:noWrap w:val="0"/>
            <w:vAlign w:val="center"/>
          </w:tcPr>
          <w:p w14:paraId="5CFE8B8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不达标区□</w:t>
            </w:r>
          </w:p>
        </w:tc>
      </w:tr>
      <w:tr w14:paraId="63A527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noWrap w:val="0"/>
            <w:vAlign w:val="center"/>
          </w:tcPr>
          <w:p w14:paraId="249541C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污染源调查</w:t>
            </w:r>
          </w:p>
        </w:tc>
        <w:tc>
          <w:tcPr>
            <w:tcW w:w="0" w:type="auto"/>
            <w:noWrap w:val="0"/>
            <w:vAlign w:val="center"/>
          </w:tcPr>
          <w:p w14:paraId="1FA7DBB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调查内容</w:t>
            </w:r>
          </w:p>
        </w:tc>
        <w:tc>
          <w:tcPr>
            <w:tcW w:w="0" w:type="auto"/>
            <w:gridSpan w:val="4"/>
            <w:noWrap w:val="0"/>
            <w:vAlign w:val="center"/>
          </w:tcPr>
          <w:p w14:paraId="38EB7C9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本项目正常排放源</w:t>
            </w:r>
            <w:r>
              <w:rPr>
                <w:rFonts w:hint="eastAsia" w:ascii="Times New Roman" w:hAnsi="Times New Roman" w:cs="Times New Roman"/>
                <w:color w:val="auto"/>
                <w:kern w:val="0"/>
                <w:sz w:val="18"/>
                <w:szCs w:val="18"/>
                <w:highlight w:val="none"/>
                <w:lang w:val="en-US" w:eastAsia="zh-CN"/>
              </w:rPr>
              <w:sym w:font="Wingdings 2" w:char="0052"/>
            </w:r>
            <w:r>
              <w:rPr>
                <w:rFonts w:hint="eastAsia" w:ascii="Times New Roman" w:hAnsi="Times New Roman" w:cs="Times New Roman"/>
                <w:color w:val="auto"/>
                <w:kern w:val="0"/>
                <w:sz w:val="18"/>
                <w:szCs w:val="18"/>
                <w:highlight w:val="none"/>
                <w:lang w:val="en-US" w:eastAsia="zh-CN"/>
              </w:rPr>
              <w:br w:type="textWrapping"/>
            </w:r>
            <w:r>
              <w:rPr>
                <w:rFonts w:hint="eastAsia" w:ascii="Times New Roman" w:hAnsi="Times New Roman" w:cs="Times New Roman"/>
                <w:color w:val="auto"/>
                <w:kern w:val="0"/>
                <w:sz w:val="18"/>
                <w:szCs w:val="18"/>
                <w:highlight w:val="none"/>
                <w:lang w:val="en-US" w:eastAsia="zh-CN"/>
              </w:rPr>
              <w:t>本项目非正常排放源</w:t>
            </w:r>
            <w:r>
              <w:rPr>
                <w:rFonts w:hint="eastAsia" w:ascii="Times New Roman" w:hAnsi="Times New Roman" w:cs="Times New Roman"/>
                <w:color w:val="auto"/>
                <w:kern w:val="0"/>
                <w:sz w:val="18"/>
                <w:szCs w:val="18"/>
                <w:highlight w:val="none"/>
                <w:lang w:val="en-US" w:eastAsia="zh-CN"/>
              </w:rPr>
              <w:sym w:font="Wingdings 2" w:char="0052"/>
            </w:r>
            <w:r>
              <w:rPr>
                <w:rFonts w:hint="eastAsia" w:ascii="Times New Roman" w:hAnsi="Times New Roman" w:cs="Times New Roman"/>
                <w:color w:val="auto"/>
                <w:kern w:val="0"/>
                <w:sz w:val="18"/>
                <w:szCs w:val="18"/>
                <w:highlight w:val="none"/>
                <w:lang w:val="en-US" w:eastAsia="zh-CN"/>
              </w:rPr>
              <w:br w:type="textWrapping"/>
            </w:r>
            <w:r>
              <w:rPr>
                <w:rFonts w:hint="eastAsia" w:ascii="Times New Roman" w:hAnsi="Times New Roman" w:cs="Times New Roman"/>
                <w:color w:val="auto"/>
                <w:kern w:val="0"/>
                <w:sz w:val="18"/>
                <w:szCs w:val="18"/>
                <w:highlight w:val="none"/>
                <w:lang w:val="en-US" w:eastAsia="zh-CN"/>
              </w:rPr>
              <w:t>现有污染源□</w:t>
            </w:r>
          </w:p>
        </w:tc>
        <w:tc>
          <w:tcPr>
            <w:tcW w:w="0" w:type="auto"/>
            <w:gridSpan w:val="3"/>
            <w:noWrap w:val="0"/>
            <w:vAlign w:val="center"/>
          </w:tcPr>
          <w:p w14:paraId="079692B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拟替代的污染源□</w:t>
            </w:r>
          </w:p>
        </w:tc>
        <w:tc>
          <w:tcPr>
            <w:tcW w:w="0" w:type="auto"/>
            <w:gridSpan w:val="2"/>
            <w:noWrap w:val="0"/>
            <w:vAlign w:val="center"/>
          </w:tcPr>
          <w:p w14:paraId="18F304C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其他在建、拟建项目污染源</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2"/>
            <w:noWrap w:val="0"/>
            <w:vAlign w:val="center"/>
          </w:tcPr>
          <w:p w14:paraId="263187A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区域污染源□</w:t>
            </w:r>
          </w:p>
        </w:tc>
      </w:tr>
      <w:tr w14:paraId="1E5FFC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restart"/>
            <w:noWrap w:val="0"/>
            <w:vAlign w:val="center"/>
          </w:tcPr>
          <w:p w14:paraId="12E2FD6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大气环境影响预测与评价</w:t>
            </w:r>
          </w:p>
        </w:tc>
        <w:tc>
          <w:tcPr>
            <w:tcW w:w="0" w:type="auto"/>
            <w:noWrap w:val="0"/>
            <w:vAlign w:val="center"/>
          </w:tcPr>
          <w:p w14:paraId="50AFB86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预测模型</w:t>
            </w:r>
          </w:p>
        </w:tc>
        <w:tc>
          <w:tcPr>
            <w:tcW w:w="0" w:type="auto"/>
            <w:noWrap w:val="0"/>
            <w:vAlign w:val="center"/>
          </w:tcPr>
          <w:p w14:paraId="6AE1526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AERMOD</w:t>
            </w:r>
            <w:r>
              <w:rPr>
                <w:rFonts w:hint="eastAsia" w:ascii="Times New Roman" w:hAnsi="Times New Roman" w:cs="Times New Roman"/>
                <w:color w:val="auto"/>
                <w:kern w:val="0"/>
                <w:sz w:val="18"/>
                <w:szCs w:val="18"/>
                <w:highlight w:val="none"/>
                <w:lang w:val="en-US" w:eastAsia="zh-CN"/>
              </w:rPr>
              <w:sym w:font="Wingdings 2" w:char="00A3"/>
            </w:r>
          </w:p>
        </w:tc>
        <w:tc>
          <w:tcPr>
            <w:tcW w:w="0" w:type="auto"/>
            <w:noWrap w:val="0"/>
            <w:vAlign w:val="center"/>
          </w:tcPr>
          <w:p w14:paraId="007417C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ADMS□</w:t>
            </w:r>
          </w:p>
        </w:tc>
        <w:tc>
          <w:tcPr>
            <w:tcW w:w="0" w:type="auto"/>
            <w:gridSpan w:val="3"/>
            <w:noWrap w:val="0"/>
            <w:vAlign w:val="center"/>
          </w:tcPr>
          <w:p w14:paraId="2E2A5F7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AUSTAL2000□</w:t>
            </w:r>
          </w:p>
        </w:tc>
        <w:tc>
          <w:tcPr>
            <w:tcW w:w="0" w:type="auto"/>
            <w:gridSpan w:val="2"/>
            <w:noWrap w:val="0"/>
            <w:vAlign w:val="center"/>
          </w:tcPr>
          <w:p w14:paraId="5C8FE76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EDMS/AEDT□</w:t>
            </w:r>
          </w:p>
        </w:tc>
        <w:tc>
          <w:tcPr>
            <w:tcW w:w="0" w:type="auto"/>
            <w:gridSpan w:val="2"/>
            <w:noWrap w:val="0"/>
            <w:vAlign w:val="center"/>
          </w:tcPr>
          <w:p w14:paraId="72110B9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CALPUFF□</w:t>
            </w:r>
          </w:p>
        </w:tc>
        <w:tc>
          <w:tcPr>
            <w:tcW w:w="0" w:type="auto"/>
            <w:noWrap w:val="0"/>
            <w:vAlign w:val="center"/>
          </w:tcPr>
          <w:p w14:paraId="72B970F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网格模型□</w:t>
            </w:r>
          </w:p>
        </w:tc>
        <w:tc>
          <w:tcPr>
            <w:tcW w:w="0" w:type="auto"/>
            <w:noWrap w:val="0"/>
            <w:vAlign w:val="center"/>
          </w:tcPr>
          <w:p w14:paraId="15E5356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其他</w:t>
            </w:r>
            <w:r>
              <w:rPr>
                <w:rFonts w:hint="eastAsia" w:cs="Times New Roman"/>
                <w:color w:val="auto"/>
                <w:kern w:val="0"/>
                <w:sz w:val="18"/>
                <w:szCs w:val="18"/>
                <w:highlight w:val="none"/>
                <w:lang w:val="en-US" w:eastAsia="zh-CN"/>
              </w:rPr>
              <w:t>☑</w:t>
            </w:r>
          </w:p>
        </w:tc>
      </w:tr>
      <w:tr w14:paraId="3C4B46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723954E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43C1D9A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预测范围</w:t>
            </w:r>
          </w:p>
        </w:tc>
        <w:tc>
          <w:tcPr>
            <w:tcW w:w="0" w:type="auto"/>
            <w:gridSpan w:val="5"/>
            <w:noWrap w:val="0"/>
            <w:vAlign w:val="center"/>
          </w:tcPr>
          <w:p w14:paraId="2C2245A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边长≥50km□</w:t>
            </w:r>
          </w:p>
        </w:tc>
        <w:tc>
          <w:tcPr>
            <w:tcW w:w="0" w:type="auto"/>
            <w:gridSpan w:val="4"/>
            <w:noWrap w:val="0"/>
            <w:vAlign w:val="center"/>
          </w:tcPr>
          <w:p w14:paraId="3C44E3E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边长5~50km</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2"/>
            <w:noWrap w:val="0"/>
            <w:vAlign w:val="center"/>
          </w:tcPr>
          <w:p w14:paraId="17D7609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边长=5km☑</w:t>
            </w:r>
          </w:p>
        </w:tc>
      </w:tr>
      <w:tr w14:paraId="274293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320969B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7C743FC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预测因子</w:t>
            </w:r>
          </w:p>
        </w:tc>
        <w:tc>
          <w:tcPr>
            <w:tcW w:w="0" w:type="auto"/>
            <w:gridSpan w:val="7"/>
            <w:noWrap w:val="0"/>
            <w:vAlign w:val="center"/>
          </w:tcPr>
          <w:p w14:paraId="784CE6E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预测因子（PM</w:t>
            </w:r>
            <w:r>
              <w:rPr>
                <w:rFonts w:hint="eastAsia" w:ascii="Times New Roman" w:hAnsi="Times New Roman" w:cs="Times New Roman"/>
                <w:color w:val="auto"/>
                <w:kern w:val="0"/>
                <w:sz w:val="18"/>
                <w:szCs w:val="18"/>
                <w:highlight w:val="none"/>
                <w:vertAlign w:val="subscript"/>
                <w:lang w:val="en-US" w:eastAsia="zh-CN"/>
              </w:rPr>
              <w:t>10</w:t>
            </w:r>
            <w:r>
              <w:rPr>
                <w:rFonts w:hint="eastAsia" w:ascii="Times New Roman" w:hAnsi="Times New Roman" w:cs="Times New Roman"/>
                <w:color w:val="auto"/>
                <w:kern w:val="0"/>
                <w:sz w:val="18"/>
                <w:szCs w:val="18"/>
                <w:highlight w:val="none"/>
                <w:lang w:val="en-US" w:eastAsia="zh-CN"/>
              </w:rPr>
              <w:t>、TSP）</w:t>
            </w:r>
          </w:p>
        </w:tc>
        <w:tc>
          <w:tcPr>
            <w:tcW w:w="0" w:type="auto"/>
            <w:gridSpan w:val="4"/>
            <w:noWrap w:val="0"/>
            <w:vAlign w:val="center"/>
          </w:tcPr>
          <w:p w14:paraId="433D30E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包括二次PM</w:t>
            </w:r>
            <w:r>
              <w:rPr>
                <w:rFonts w:hint="eastAsia" w:ascii="Times New Roman" w:hAnsi="Times New Roman" w:cs="Times New Roman"/>
                <w:color w:val="auto"/>
                <w:kern w:val="0"/>
                <w:sz w:val="18"/>
                <w:szCs w:val="18"/>
                <w:highlight w:val="none"/>
                <w:vertAlign w:val="subscript"/>
                <w:lang w:val="en-US" w:eastAsia="zh-CN"/>
              </w:rPr>
              <w:t>2.5</w:t>
            </w:r>
            <w:r>
              <w:rPr>
                <w:rFonts w:hint="eastAsia" w:ascii="Times New Roman" w:hAnsi="Times New Roman" w:cs="Times New Roman"/>
                <w:color w:val="auto"/>
                <w:kern w:val="0"/>
                <w:sz w:val="18"/>
                <w:szCs w:val="18"/>
                <w:highlight w:val="none"/>
                <w:lang w:val="en-US" w:eastAsia="zh-CN"/>
              </w:rPr>
              <w:t>□</w:t>
            </w:r>
            <w:r>
              <w:rPr>
                <w:rFonts w:hint="eastAsia" w:ascii="Times New Roman" w:hAnsi="Times New Roman" w:cs="Times New Roman"/>
                <w:color w:val="auto"/>
                <w:kern w:val="0"/>
                <w:sz w:val="18"/>
                <w:szCs w:val="18"/>
                <w:highlight w:val="none"/>
                <w:lang w:val="en-US" w:eastAsia="zh-CN"/>
              </w:rPr>
              <w:br w:type="textWrapping"/>
            </w:r>
            <w:r>
              <w:rPr>
                <w:rFonts w:hint="eastAsia" w:ascii="Times New Roman" w:hAnsi="Times New Roman" w:cs="Times New Roman"/>
                <w:color w:val="auto"/>
                <w:kern w:val="0"/>
                <w:sz w:val="18"/>
                <w:szCs w:val="18"/>
                <w:highlight w:val="none"/>
                <w:lang w:val="en-US" w:eastAsia="zh-CN"/>
              </w:rPr>
              <w:t>不包括二次PM</w:t>
            </w:r>
            <w:r>
              <w:rPr>
                <w:rFonts w:hint="eastAsia" w:ascii="Times New Roman" w:hAnsi="Times New Roman" w:cs="Times New Roman"/>
                <w:color w:val="auto"/>
                <w:kern w:val="0"/>
                <w:sz w:val="18"/>
                <w:szCs w:val="18"/>
                <w:highlight w:val="none"/>
                <w:vertAlign w:val="subscript"/>
                <w:lang w:val="en-US" w:eastAsia="zh-CN"/>
              </w:rPr>
              <w:t>2.5</w:t>
            </w:r>
            <w:r>
              <w:rPr>
                <w:rFonts w:hint="eastAsia" w:ascii="Times New Roman" w:hAnsi="Times New Roman" w:cs="Times New Roman"/>
                <w:color w:val="auto"/>
                <w:kern w:val="0"/>
                <w:sz w:val="18"/>
                <w:szCs w:val="18"/>
                <w:highlight w:val="none"/>
                <w:lang w:val="en-US" w:eastAsia="zh-CN"/>
              </w:rPr>
              <w:sym w:font="Wingdings 2" w:char="F052"/>
            </w:r>
          </w:p>
        </w:tc>
      </w:tr>
      <w:tr w14:paraId="4E8A19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5787E97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199AC59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正常排放短期浓度贡献值</w:t>
            </w:r>
          </w:p>
        </w:tc>
        <w:tc>
          <w:tcPr>
            <w:tcW w:w="0" w:type="auto"/>
            <w:gridSpan w:val="7"/>
            <w:noWrap w:val="0"/>
            <w:vAlign w:val="center"/>
          </w:tcPr>
          <w:p w14:paraId="5568B09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C本项目最大占标率≤100%</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4"/>
            <w:noWrap w:val="0"/>
            <w:vAlign w:val="center"/>
          </w:tcPr>
          <w:p w14:paraId="264DFC1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C本项目最大占标率&gt;100%□</w:t>
            </w:r>
          </w:p>
        </w:tc>
      </w:tr>
      <w:tr w14:paraId="0C4D31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0ECF88A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vMerge w:val="restart"/>
            <w:noWrap w:val="0"/>
            <w:vAlign w:val="center"/>
          </w:tcPr>
          <w:p w14:paraId="56EEA4C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正常排放年均浓度贡献值</w:t>
            </w:r>
          </w:p>
        </w:tc>
        <w:tc>
          <w:tcPr>
            <w:tcW w:w="0" w:type="auto"/>
            <w:gridSpan w:val="2"/>
            <w:noWrap w:val="0"/>
            <w:vAlign w:val="center"/>
          </w:tcPr>
          <w:p w14:paraId="1BB0253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一类区</w:t>
            </w:r>
          </w:p>
        </w:tc>
        <w:tc>
          <w:tcPr>
            <w:tcW w:w="0" w:type="auto"/>
            <w:gridSpan w:val="5"/>
            <w:noWrap w:val="0"/>
            <w:vAlign w:val="center"/>
          </w:tcPr>
          <w:p w14:paraId="060EFB6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C本项目最大占标率≤10%□</w:t>
            </w:r>
          </w:p>
        </w:tc>
        <w:tc>
          <w:tcPr>
            <w:tcW w:w="0" w:type="auto"/>
            <w:gridSpan w:val="4"/>
            <w:noWrap w:val="0"/>
            <w:vAlign w:val="center"/>
          </w:tcPr>
          <w:p w14:paraId="34B7262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C本项目最大占标率&gt;10%□</w:t>
            </w:r>
          </w:p>
        </w:tc>
      </w:tr>
      <w:tr w14:paraId="1706D1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7B5FC58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vMerge w:val="continue"/>
            <w:noWrap w:val="0"/>
            <w:vAlign w:val="center"/>
          </w:tcPr>
          <w:p w14:paraId="4F1F1C2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gridSpan w:val="2"/>
            <w:noWrap w:val="0"/>
            <w:vAlign w:val="center"/>
          </w:tcPr>
          <w:p w14:paraId="71A70B3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二类区</w:t>
            </w:r>
          </w:p>
        </w:tc>
        <w:tc>
          <w:tcPr>
            <w:tcW w:w="0" w:type="auto"/>
            <w:gridSpan w:val="5"/>
            <w:noWrap w:val="0"/>
            <w:vAlign w:val="center"/>
          </w:tcPr>
          <w:p w14:paraId="1F3EE85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C本项目最大占标率≤30%</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4"/>
            <w:noWrap w:val="0"/>
            <w:vAlign w:val="center"/>
          </w:tcPr>
          <w:p w14:paraId="20789F8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C本项目最大占标率&gt;30%□</w:t>
            </w:r>
          </w:p>
        </w:tc>
      </w:tr>
      <w:tr w14:paraId="67EF86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2EF4EBA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2461971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非正常1h浓度贡献值</w:t>
            </w:r>
          </w:p>
        </w:tc>
        <w:tc>
          <w:tcPr>
            <w:tcW w:w="0" w:type="auto"/>
            <w:gridSpan w:val="4"/>
            <w:noWrap w:val="0"/>
            <w:vAlign w:val="center"/>
          </w:tcPr>
          <w:p w14:paraId="2287B08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非正常持续时长</w:t>
            </w:r>
            <w:r>
              <w:rPr>
                <w:rFonts w:hint="eastAsia" w:ascii="Times New Roman" w:hAnsi="Times New Roman" w:cs="Times New Roman"/>
                <w:color w:val="auto"/>
                <w:kern w:val="0"/>
                <w:sz w:val="18"/>
                <w:szCs w:val="18"/>
                <w:highlight w:val="none"/>
                <w:lang w:val="en-US" w:eastAsia="zh-CN"/>
              </w:rPr>
              <w:br w:type="textWrapping"/>
            </w:r>
            <w:r>
              <w:rPr>
                <w:rFonts w:hint="eastAsia" w:ascii="Times New Roman" w:hAnsi="Times New Roman" w:cs="Times New Roman"/>
                <w:color w:val="auto"/>
                <w:kern w:val="0"/>
                <w:sz w:val="18"/>
                <w:szCs w:val="18"/>
                <w:highlight w:val="none"/>
                <w:lang w:val="en-US" w:eastAsia="zh-CN"/>
              </w:rPr>
              <w:t>（1）h</w:t>
            </w:r>
          </w:p>
        </w:tc>
        <w:tc>
          <w:tcPr>
            <w:tcW w:w="0" w:type="auto"/>
            <w:gridSpan w:val="5"/>
            <w:noWrap w:val="0"/>
            <w:vAlign w:val="center"/>
          </w:tcPr>
          <w:p w14:paraId="289DC2D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C非正常占标率≤100%</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2"/>
            <w:noWrap w:val="0"/>
            <w:vAlign w:val="center"/>
          </w:tcPr>
          <w:p w14:paraId="063B917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C非正常占标率&gt;100%□</w:t>
            </w:r>
          </w:p>
        </w:tc>
      </w:tr>
      <w:tr w14:paraId="375AFD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35FF0DC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54EA1DE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保证率日平均浓度和年平均浓度叠加值</w:t>
            </w:r>
          </w:p>
        </w:tc>
        <w:tc>
          <w:tcPr>
            <w:tcW w:w="0" w:type="auto"/>
            <w:gridSpan w:val="7"/>
            <w:noWrap w:val="0"/>
            <w:vAlign w:val="center"/>
          </w:tcPr>
          <w:p w14:paraId="7DD75E8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C叠加达标</w:t>
            </w:r>
            <w:r>
              <w:rPr>
                <w:rFonts w:hint="eastAsia" w:ascii="Times New Roman" w:hAnsi="Times New Roman" w:cs="Times New Roman"/>
                <w:color w:val="auto"/>
                <w:kern w:val="0"/>
                <w:sz w:val="18"/>
                <w:szCs w:val="18"/>
                <w:highlight w:val="none"/>
                <w:lang w:val="en-US" w:eastAsia="zh-CN"/>
              </w:rPr>
              <w:sym w:font="Wingdings 2" w:char="00A3"/>
            </w:r>
          </w:p>
        </w:tc>
        <w:tc>
          <w:tcPr>
            <w:tcW w:w="0" w:type="auto"/>
            <w:gridSpan w:val="4"/>
            <w:noWrap w:val="0"/>
            <w:vAlign w:val="center"/>
          </w:tcPr>
          <w:p w14:paraId="2A86CF6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C叠加不达标□</w:t>
            </w:r>
          </w:p>
        </w:tc>
      </w:tr>
      <w:tr w14:paraId="0E2260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251D1BA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2CBAD66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区域环境质量的整体变化情况</w:t>
            </w:r>
          </w:p>
        </w:tc>
        <w:tc>
          <w:tcPr>
            <w:tcW w:w="0" w:type="auto"/>
            <w:gridSpan w:val="7"/>
            <w:noWrap w:val="0"/>
            <w:vAlign w:val="center"/>
          </w:tcPr>
          <w:p w14:paraId="5A549B6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k≤-20%□</w:t>
            </w:r>
          </w:p>
        </w:tc>
        <w:tc>
          <w:tcPr>
            <w:tcW w:w="0" w:type="auto"/>
            <w:gridSpan w:val="4"/>
            <w:noWrap w:val="0"/>
            <w:vAlign w:val="center"/>
          </w:tcPr>
          <w:p w14:paraId="5CB4B74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k&gt;-20%□</w:t>
            </w:r>
          </w:p>
        </w:tc>
      </w:tr>
      <w:tr w14:paraId="74CDAE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restart"/>
            <w:noWrap w:val="0"/>
            <w:vAlign w:val="center"/>
          </w:tcPr>
          <w:p w14:paraId="47EB5FB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环境监测计划</w:t>
            </w:r>
          </w:p>
        </w:tc>
        <w:tc>
          <w:tcPr>
            <w:tcW w:w="0" w:type="auto"/>
            <w:noWrap w:val="0"/>
            <w:vAlign w:val="center"/>
          </w:tcPr>
          <w:p w14:paraId="066FE2E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污染源监测</w:t>
            </w:r>
          </w:p>
        </w:tc>
        <w:tc>
          <w:tcPr>
            <w:tcW w:w="0" w:type="auto"/>
            <w:gridSpan w:val="5"/>
            <w:noWrap w:val="0"/>
            <w:vAlign w:val="center"/>
          </w:tcPr>
          <w:p w14:paraId="62BF806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监测因子（颗粒物、氟化物）</w:t>
            </w:r>
          </w:p>
        </w:tc>
        <w:tc>
          <w:tcPr>
            <w:tcW w:w="0" w:type="auto"/>
            <w:gridSpan w:val="4"/>
            <w:noWrap w:val="0"/>
            <w:vAlign w:val="center"/>
          </w:tcPr>
          <w:p w14:paraId="798B239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有组织废气监测</w:t>
            </w:r>
            <w:r>
              <w:rPr>
                <w:rFonts w:hint="eastAsia" w:ascii="Times New Roman" w:hAnsi="Times New Roman" w:cs="Times New Roman"/>
                <w:color w:val="auto"/>
                <w:kern w:val="0"/>
                <w:sz w:val="18"/>
                <w:szCs w:val="18"/>
                <w:highlight w:val="none"/>
                <w:lang w:val="en-US" w:eastAsia="zh-CN"/>
              </w:rPr>
              <w:sym w:font="Wingdings 2" w:char="F052"/>
            </w:r>
            <w:r>
              <w:rPr>
                <w:rFonts w:hint="eastAsia" w:ascii="Times New Roman" w:hAnsi="Times New Roman" w:cs="Times New Roman"/>
                <w:color w:val="auto"/>
                <w:kern w:val="0"/>
                <w:sz w:val="18"/>
                <w:szCs w:val="18"/>
                <w:highlight w:val="none"/>
                <w:lang w:val="en-US" w:eastAsia="zh-CN"/>
              </w:rPr>
              <w:br w:type="textWrapping"/>
            </w:r>
            <w:r>
              <w:rPr>
                <w:rFonts w:hint="eastAsia" w:ascii="Times New Roman" w:hAnsi="Times New Roman" w:cs="Times New Roman"/>
                <w:color w:val="auto"/>
                <w:kern w:val="0"/>
                <w:sz w:val="18"/>
                <w:szCs w:val="18"/>
                <w:highlight w:val="none"/>
                <w:lang w:val="en-US" w:eastAsia="zh-CN"/>
              </w:rPr>
              <w:t>无组织废气监测</w:t>
            </w:r>
            <w:r>
              <w:rPr>
                <w:rFonts w:hint="eastAsia" w:ascii="Times New Roman" w:hAnsi="Times New Roman" w:cs="Times New Roman"/>
                <w:color w:val="auto"/>
                <w:kern w:val="0"/>
                <w:sz w:val="18"/>
                <w:szCs w:val="18"/>
                <w:highlight w:val="none"/>
                <w:lang w:val="en-US" w:eastAsia="zh-CN"/>
              </w:rPr>
              <w:sym w:font="Wingdings 2" w:char="F052"/>
            </w:r>
          </w:p>
        </w:tc>
        <w:tc>
          <w:tcPr>
            <w:tcW w:w="0" w:type="auto"/>
            <w:gridSpan w:val="2"/>
            <w:noWrap w:val="0"/>
            <w:vAlign w:val="center"/>
          </w:tcPr>
          <w:p w14:paraId="28EEC50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无监测□</w:t>
            </w:r>
          </w:p>
        </w:tc>
      </w:tr>
      <w:tr w14:paraId="5A1D25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1AF8328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3DB34D3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环境质量监测</w:t>
            </w:r>
          </w:p>
        </w:tc>
        <w:tc>
          <w:tcPr>
            <w:tcW w:w="0" w:type="auto"/>
            <w:gridSpan w:val="5"/>
            <w:noWrap w:val="0"/>
            <w:vAlign w:val="center"/>
          </w:tcPr>
          <w:p w14:paraId="30CBC5D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监测因子（ ）</w:t>
            </w:r>
          </w:p>
        </w:tc>
        <w:tc>
          <w:tcPr>
            <w:tcW w:w="0" w:type="auto"/>
            <w:gridSpan w:val="4"/>
            <w:noWrap w:val="0"/>
            <w:vAlign w:val="center"/>
          </w:tcPr>
          <w:p w14:paraId="5E23BC3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监测点位数（ ）</w:t>
            </w:r>
          </w:p>
        </w:tc>
        <w:tc>
          <w:tcPr>
            <w:tcW w:w="0" w:type="auto"/>
            <w:gridSpan w:val="2"/>
            <w:noWrap w:val="0"/>
            <w:vAlign w:val="center"/>
          </w:tcPr>
          <w:p w14:paraId="202FC0B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无监测☑</w:t>
            </w:r>
          </w:p>
        </w:tc>
      </w:tr>
      <w:tr w14:paraId="2F7917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restart"/>
            <w:noWrap w:val="0"/>
            <w:vAlign w:val="center"/>
          </w:tcPr>
          <w:p w14:paraId="19F9562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评价结论</w:t>
            </w:r>
          </w:p>
        </w:tc>
        <w:tc>
          <w:tcPr>
            <w:tcW w:w="0" w:type="auto"/>
            <w:noWrap w:val="0"/>
            <w:vAlign w:val="center"/>
          </w:tcPr>
          <w:p w14:paraId="2A7704C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环境影响</w:t>
            </w:r>
          </w:p>
        </w:tc>
        <w:tc>
          <w:tcPr>
            <w:tcW w:w="0" w:type="auto"/>
            <w:gridSpan w:val="11"/>
            <w:noWrap w:val="0"/>
            <w:vAlign w:val="center"/>
          </w:tcPr>
          <w:p w14:paraId="3615152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 xml:space="preserve">可以接受 </w:t>
            </w:r>
            <w:r>
              <w:rPr>
                <w:rFonts w:hint="eastAsia" w:ascii="Times New Roman" w:hAnsi="Times New Roman" w:cs="Times New Roman"/>
                <w:color w:val="auto"/>
                <w:kern w:val="0"/>
                <w:sz w:val="18"/>
                <w:szCs w:val="18"/>
                <w:highlight w:val="none"/>
                <w:lang w:val="en-US" w:eastAsia="zh-CN"/>
              </w:rPr>
              <w:sym w:font="Wingdings 2" w:char="F052"/>
            </w:r>
            <w:r>
              <w:rPr>
                <w:rFonts w:hint="eastAsia" w:ascii="Times New Roman" w:hAnsi="Times New Roman" w:cs="Times New Roman"/>
                <w:color w:val="auto"/>
                <w:kern w:val="0"/>
                <w:sz w:val="18"/>
                <w:szCs w:val="18"/>
                <w:highlight w:val="none"/>
                <w:lang w:val="en-US" w:eastAsia="zh-CN"/>
              </w:rPr>
              <w:t xml:space="preserve">             不可以接受 □</w:t>
            </w:r>
          </w:p>
        </w:tc>
      </w:tr>
      <w:tr w14:paraId="5248B4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7986B85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319FD35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大气环境防护距离</w:t>
            </w:r>
          </w:p>
        </w:tc>
        <w:tc>
          <w:tcPr>
            <w:tcW w:w="0" w:type="auto"/>
            <w:gridSpan w:val="11"/>
            <w:noWrap w:val="0"/>
            <w:vAlign w:val="center"/>
          </w:tcPr>
          <w:p w14:paraId="448372D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距（    )厂界最远（    ）m</w:t>
            </w:r>
          </w:p>
        </w:tc>
      </w:tr>
      <w:tr w14:paraId="66D881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vMerge w:val="continue"/>
            <w:noWrap w:val="0"/>
            <w:vAlign w:val="center"/>
          </w:tcPr>
          <w:p w14:paraId="7DE8BFC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p>
        </w:tc>
        <w:tc>
          <w:tcPr>
            <w:tcW w:w="0" w:type="auto"/>
            <w:noWrap w:val="0"/>
            <w:vAlign w:val="center"/>
          </w:tcPr>
          <w:p w14:paraId="0F390B1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污染源年排放量</w:t>
            </w:r>
          </w:p>
        </w:tc>
        <w:tc>
          <w:tcPr>
            <w:tcW w:w="0" w:type="auto"/>
            <w:gridSpan w:val="3"/>
            <w:noWrap w:val="0"/>
            <w:vAlign w:val="center"/>
          </w:tcPr>
          <w:p w14:paraId="45B83AB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SO</w:t>
            </w:r>
            <w:r>
              <w:rPr>
                <w:rFonts w:hint="eastAsia" w:ascii="Times New Roman" w:hAnsi="Times New Roman" w:cs="Times New Roman"/>
                <w:color w:val="auto"/>
                <w:kern w:val="0"/>
                <w:sz w:val="18"/>
                <w:szCs w:val="18"/>
                <w:highlight w:val="none"/>
                <w:vertAlign w:val="subscript"/>
                <w:lang w:val="en-US" w:eastAsia="zh-CN"/>
              </w:rPr>
              <w:t>2</w:t>
            </w:r>
            <w:r>
              <w:rPr>
                <w:rFonts w:hint="eastAsia" w:ascii="Times New Roman" w:hAnsi="Times New Roman" w:cs="Times New Roman"/>
                <w:color w:val="auto"/>
                <w:kern w:val="0"/>
                <w:sz w:val="18"/>
                <w:szCs w:val="18"/>
                <w:highlight w:val="none"/>
                <w:lang w:val="en-US" w:eastAsia="zh-CN"/>
              </w:rPr>
              <w:t>:( )t/a</w:t>
            </w:r>
          </w:p>
        </w:tc>
        <w:tc>
          <w:tcPr>
            <w:tcW w:w="0" w:type="auto"/>
            <w:gridSpan w:val="3"/>
            <w:noWrap w:val="0"/>
            <w:vAlign w:val="center"/>
          </w:tcPr>
          <w:p w14:paraId="4D40DA8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NOx:( )t/a</w:t>
            </w:r>
          </w:p>
        </w:tc>
        <w:tc>
          <w:tcPr>
            <w:tcW w:w="0" w:type="auto"/>
            <w:gridSpan w:val="2"/>
            <w:noWrap w:val="0"/>
            <w:vAlign w:val="center"/>
          </w:tcPr>
          <w:p w14:paraId="7A8BB0F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颗粒物:(</w:t>
            </w:r>
            <w:r>
              <w:rPr>
                <w:rFonts w:hint="eastAsia" w:cs="Times New Roman"/>
                <w:color w:val="auto"/>
                <w:kern w:val="0"/>
                <w:sz w:val="18"/>
                <w:szCs w:val="18"/>
                <w:highlight w:val="none"/>
                <w:lang w:val="en-US" w:eastAsia="zh-CN"/>
              </w:rPr>
              <w:t>0.709</w:t>
            </w:r>
            <w:r>
              <w:rPr>
                <w:rFonts w:hint="eastAsia" w:ascii="Times New Roman" w:hAnsi="Times New Roman" w:cs="Times New Roman"/>
                <w:color w:val="auto"/>
                <w:kern w:val="0"/>
                <w:sz w:val="18"/>
                <w:szCs w:val="18"/>
                <w:highlight w:val="none"/>
                <w:lang w:val="en-US" w:eastAsia="zh-CN"/>
              </w:rPr>
              <w:t>)t/a</w:t>
            </w:r>
          </w:p>
        </w:tc>
        <w:tc>
          <w:tcPr>
            <w:tcW w:w="0" w:type="auto"/>
            <w:gridSpan w:val="3"/>
            <w:noWrap w:val="0"/>
            <w:vAlign w:val="center"/>
          </w:tcPr>
          <w:p w14:paraId="62E9E26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VOCs:()t/a</w:t>
            </w:r>
          </w:p>
        </w:tc>
      </w:tr>
      <w:tr w14:paraId="62182D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0" w:type="auto"/>
            <w:gridSpan w:val="13"/>
            <w:noWrap w:val="0"/>
            <w:vAlign w:val="center"/>
          </w:tcPr>
          <w:p w14:paraId="075ABAC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注：“□”，填“√”；“（  ）”为内容填写项</w:t>
            </w:r>
          </w:p>
        </w:tc>
      </w:tr>
    </w:tbl>
    <w:p w14:paraId="497324B9">
      <w:pPr>
        <w:pStyle w:val="4"/>
        <w:keepNext/>
        <w:keepLines/>
        <w:pageBreakBefore/>
        <w:widowControl w:val="0"/>
        <w:kinsoku/>
        <w:wordWrap/>
        <w:overflowPunct/>
        <w:topLinePunct w:val="0"/>
        <w:autoSpaceDE/>
        <w:autoSpaceDN/>
        <w:bidi w:val="0"/>
        <w:adjustRightInd w:val="0"/>
        <w:snapToGrid w:val="0"/>
        <w:spacing w:before="120" w:after="120"/>
        <w:textAlignment w:val="auto"/>
        <w:rPr>
          <w:color w:val="auto"/>
          <w:highlight w:val="none"/>
        </w:rPr>
      </w:pPr>
      <w:bookmarkStart w:id="149" w:name="_Toc31210"/>
      <w:r>
        <w:rPr>
          <w:rFonts w:hint="eastAsia"/>
          <w:color w:val="auto"/>
          <w:highlight w:val="none"/>
        </w:rPr>
        <w:t>地下水环境影响</w:t>
      </w:r>
      <w:bookmarkEnd w:id="149"/>
    </w:p>
    <w:p w14:paraId="369B69D4">
      <w:pPr>
        <w:rPr>
          <w:color w:val="auto"/>
          <w:highlight w:val="none"/>
        </w:rPr>
      </w:pPr>
      <w:r>
        <w:rPr>
          <w:rFonts w:hint="eastAsia"/>
          <w:color w:val="auto"/>
          <w:highlight w:val="none"/>
          <w:lang w:val="en-US" w:eastAsia="zh-CN"/>
        </w:rPr>
        <w:t>根据前述“2.4.2地表水环境影响评价”章节的分析，根据《环境影响评价技术导则 地下水环境》（HJ610-2016）附录A地下水环境影响评价行业分类表，本项目行业类别为“J非金属矿采选及制品制造-57石棉及其他非金属矿采选”，属于编制环境影响报告书项目，地下水环境影响评价类别为</w:t>
      </w:r>
      <w:r>
        <w:rPr>
          <w:rFonts w:hint="eastAsia"/>
          <w:color w:val="auto"/>
          <w:highlight w:val="none"/>
          <w:lang w:val="en-US" w:eastAsia="zh-CN"/>
        </w:rPr>
        <w:fldChar w:fldCharType="begin"/>
      </w:r>
      <w:r>
        <w:rPr>
          <w:rFonts w:hint="eastAsia"/>
          <w:color w:val="auto"/>
          <w:highlight w:val="none"/>
          <w:lang w:val="en-US" w:eastAsia="zh-CN"/>
        </w:rPr>
        <w:instrText xml:space="preserve"> = 3 \* ROMAN </w:instrText>
      </w:r>
      <w:r>
        <w:rPr>
          <w:rFonts w:hint="eastAsia"/>
          <w:color w:val="auto"/>
          <w:highlight w:val="none"/>
          <w:lang w:val="en-US" w:eastAsia="zh-CN"/>
        </w:rPr>
        <w:fldChar w:fldCharType="separate"/>
      </w:r>
      <w:r>
        <w:rPr>
          <w:rFonts w:hint="eastAsia"/>
          <w:color w:val="auto"/>
          <w:highlight w:val="none"/>
          <w:lang w:val="en-US" w:eastAsia="zh-CN"/>
        </w:rPr>
        <w:t>III</w:t>
      </w:r>
      <w:r>
        <w:rPr>
          <w:rFonts w:hint="eastAsia"/>
          <w:color w:val="auto"/>
          <w:highlight w:val="none"/>
          <w:lang w:val="en-US" w:eastAsia="zh-CN"/>
        </w:rPr>
        <w:fldChar w:fldCharType="end"/>
      </w:r>
      <w:r>
        <w:rPr>
          <w:rFonts w:hint="eastAsia"/>
          <w:color w:val="auto"/>
          <w:highlight w:val="none"/>
          <w:lang w:val="en-US" w:eastAsia="zh-CN"/>
        </w:rPr>
        <w:t>类。地下水环境敏感程度为“不敏感”，故本项目地下水环境评价等级为三级。</w:t>
      </w:r>
    </w:p>
    <w:p w14:paraId="366D7B93">
      <w:pPr>
        <w:pStyle w:val="5"/>
        <w:rPr>
          <w:color w:val="auto"/>
          <w:highlight w:val="none"/>
        </w:rPr>
      </w:pPr>
      <w:bookmarkStart w:id="150" w:name="_Toc56771188"/>
      <w:r>
        <w:rPr>
          <w:rFonts w:hint="eastAsia"/>
          <w:color w:val="auto"/>
          <w:highlight w:val="none"/>
        </w:rPr>
        <w:t>环境水文地质条件</w:t>
      </w:r>
      <w:bookmarkEnd w:id="150"/>
    </w:p>
    <w:p w14:paraId="5339C220">
      <w:pPr>
        <w:pStyle w:val="6"/>
        <w:rPr>
          <w:color w:val="auto"/>
          <w:highlight w:val="none"/>
        </w:rPr>
      </w:pPr>
      <w:r>
        <w:rPr>
          <w:rFonts w:hint="eastAsia"/>
          <w:color w:val="auto"/>
          <w:highlight w:val="none"/>
          <w:lang w:val="en-US" w:eastAsia="zh-CN"/>
        </w:rPr>
        <w:t xml:space="preserve"> </w:t>
      </w:r>
      <w:r>
        <w:rPr>
          <w:rFonts w:hint="eastAsia"/>
          <w:color w:val="auto"/>
          <w:highlight w:val="none"/>
        </w:rPr>
        <w:t>区域地质</w:t>
      </w:r>
    </w:p>
    <w:p w14:paraId="69E77374">
      <w:pPr>
        <w:rPr>
          <w:color w:val="auto"/>
          <w:highlight w:val="none"/>
        </w:rPr>
      </w:pPr>
      <w:r>
        <w:rPr>
          <w:color w:val="auto"/>
          <w:highlight w:val="none"/>
        </w:rPr>
        <w:t>从华北地区区域地层看。区内老地层零星出露，中生界上侏罗统为一套由酸性到碱性的火山熔岩及火山碎屑岩，所占比例颇大；上侏罗统—下白垩统巴彦花群为盆地型含煤碎屑岩巨厚沉积。第三系红层及第四系地层广泛分布；风成沙发育。</w:t>
      </w:r>
    </w:p>
    <w:p w14:paraId="2F444CDA">
      <w:pPr>
        <w:rPr>
          <w:color w:val="auto"/>
          <w:highlight w:val="none"/>
        </w:rPr>
      </w:pPr>
      <w:r>
        <w:rPr>
          <w:color w:val="auto"/>
          <w:highlight w:val="none"/>
        </w:rPr>
        <w:t>（1）地层</w:t>
      </w:r>
    </w:p>
    <w:p w14:paraId="2C771D76">
      <w:pPr>
        <w:rPr>
          <w:color w:val="auto"/>
          <w:highlight w:val="none"/>
        </w:rPr>
      </w:pPr>
      <w:r>
        <w:rPr>
          <w:color w:val="auto"/>
          <w:highlight w:val="none"/>
        </w:rPr>
        <w:t>1、太古界乌拉山群（Arwl）</w:t>
      </w:r>
    </w:p>
    <w:p w14:paraId="070E8D22">
      <w:pPr>
        <w:rPr>
          <w:color w:val="auto"/>
          <w:highlight w:val="none"/>
        </w:rPr>
      </w:pPr>
      <w:r>
        <w:rPr>
          <w:color w:val="auto"/>
          <w:highlight w:val="none"/>
        </w:rPr>
        <w:t>零星分布于区域西部双脑包上营子。其岩性为灰黄色柘榴子石黑云母角闪斜长片麻岩、混合岩。其间被安山斑岩脉穿插。厚度大于274米，与上复地层二迭系下统三面井组(P1S)为断层接触。</w:t>
      </w:r>
    </w:p>
    <w:p w14:paraId="5C2FF69A">
      <w:pPr>
        <w:rPr>
          <w:color w:val="auto"/>
          <w:highlight w:val="none"/>
        </w:rPr>
      </w:pPr>
      <w:r>
        <w:rPr>
          <w:color w:val="auto"/>
          <w:highlight w:val="none"/>
        </w:rPr>
        <w:t>2、古生界（Pz）</w:t>
      </w:r>
    </w:p>
    <w:p w14:paraId="5F8ED87E">
      <w:pPr>
        <w:rPr>
          <w:color w:val="auto"/>
          <w:highlight w:val="none"/>
        </w:rPr>
      </w:pPr>
      <w:r>
        <w:rPr>
          <w:color w:val="auto"/>
          <w:highlight w:val="none"/>
        </w:rPr>
        <w:t>二迭系下统三面井组（P1S)</w:t>
      </w:r>
    </w:p>
    <w:p w14:paraId="045A29AC">
      <w:pPr>
        <w:rPr>
          <w:color w:val="auto"/>
          <w:highlight w:val="none"/>
        </w:rPr>
      </w:pPr>
      <w:r>
        <w:rPr>
          <w:color w:val="auto"/>
          <w:highlight w:val="none"/>
        </w:rPr>
        <w:t>主要分布于区域西部蔡家营子，双脑包一带。岩性为深灰色、灰绿色、土黄色粉砂质-细砂质应层凝灰岩、夹岩晶屑凝灰岩和结晶的生物灰岩透镜体，底部有42米左石英岩。厚度大于618米。</w:t>
      </w:r>
    </w:p>
    <w:p w14:paraId="2C1F3EA8">
      <w:pPr>
        <w:rPr>
          <w:color w:val="auto"/>
          <w:highlight w:val="none"/>
        </w:rPr>
      </w:pPr>
      <w:r>
        <w:rPr>
          <w:color w:val="auto"/>
          <w:highlight w:val="none"/>
        </w:rPr>
        <w:t>3、中生界（Mz）</w:t>
      </w:r>
    </w:p>
    <w:p w14:paraId="3F78D0A0">
      <w:pPr>
        <w:rPr>
          <w:color w:val="auto"/>
          <w:highlight w:val="none"/>
        </w:rPr>
      </w:pPr>
      <w:r>
        <w:rPr>
          <w:color w:val="auto"/>
          <w:highlight w:val="none"/>
        </w:rPr>
        <w:t>①中下侏罗统巴彦敖包群（J1-2by)</w:t>
      </w:r>
    </w:p>
    <w:p w14:paraId="4DD34782">
      <w:pPr>
        <w:rPr>
          <w:color w:val="auto"/>
          <w:highlight w:val="none"/>
        </w:rPr>
      </w:pPr>
      <w:r>
        <w:rPr>
          <w:color w:val="auto"/>
          <w:highlight w:val="none"/>
        </w:rPr>
        <w:t>仅分布于区域东南边界煤窑沟附近。岩性为青灰色、灰黑包含砾砂岩、石英砂岩夹砂质碳质板岩及薄煤层。由于后期被黑云斜长花岗岩侵入，地层受了热液变质作用的影响而且显示轻微变质。厚度829米，下限不清，上限与张家口组不整合接触。</w:t>
      </w:r>
    </w:p>
    <w:p w14:paraId="2FF22609">
      <w:pPr>
        <w:rPr>
          <w:color w:val="auto"/>
          <w:highlight w:val="none"/>
        </w:rPr>
      </w:pPr>
      <w:r>
        <w:rPr>
          <w:color w:val="auto"/>
          <w:highlight w:val="none"/>
        </w:rPr>
        <w:t>②上保罗统(J3)</w:t>
      </w:r>
    </w:p>
    <w:p w14:paraId="1F73EF97">
      <w:pPr>
        <w:rPr>
          <w:color w:val="auto"/>
          <w:highlight w:val="none"/>
        </w:rPr>
      </w:pPr>
      <w:r>
        <w:rPr>
          <w:color w:val="auto"/>
          <w:highlight w:val="none"/>
        </w:rPr>
        <w:t>a、张家口组1(J32)</w:t>
      </w:r>
    </w:p>
    <w:p w14:paraId="44A5A815">
      <w:pPr>
        <w:rPr>
          <w:color w:val="auto"/>
          <w:highlight w:val="none"/>
        </w:rPr>
      </w:pPr>
      <w:r>
        <w:rPr>
          <w:color w:val="auto"/>
          <w:highlight w:val="none"/>
        </w:rPr>
        <w:t>分布范围较广，主要分布于区域西部和西南部，其他地区亦有小面积出露。其岩性下部为灰紫色流纹岩夹灰紫色粗而斑岩及石英粗面斑岩，中部为紫灰色石英粗面斑岩、粗面质岩屑晶屑凝灰岩；上部为灰紫色流纹岩。厚度大于3430米。</w:t>
      </w:r>
    </w:p>
    <w:p w14:paraId="4FD66D53">
      <w:pPr>
        <w:rPr>
          <w:color w:val="auto"/>
          <w:highlight w:val="none"/>
        </w:rPr>
      </w:pPr>
      <w:r>
        <w:rPr>
          <w:color w:val="auto"/>
          <w:highlight w:val="none"/>
        </w:rPr>
        <w:t>b、水泉组（J3)</w:t>
      </w:r>
    </w:p>
    <w:p w14:paraId="4B8F220B">
      <w:pPr>
        <w:rPr>
          <w:color w:val="auto"/>
          <w:highlight w:val="none"/>
        </w:rPr>
      </w:pPr>
      <w:r>
        <w:rPr>
          <w:color w:val="auto"/>
          <w:highlight w:val="none"/>
        </w:rPr>
        <w:t>主要分布于东榆村沟、石板沟、南营盘、喇嘛沟等地。岩性为灰白色岩屑晶屑凝灰岩、凝灰质砂砾岩、夹薄层泥岩、局部夹油页岩。山露厚度360米与下伏地层张家口组不整合接触，可上复地层多伦组呈连继沉积。</w:t>
      </w:r>
    </w:p>
    <w:p w14:paraId="460CDFCD">
      <w:pPr>
        <w:rPr>
          <w:color w:val="auto"/>
          <w:highlight w:val="none"/>
        </w:rPr>
      </w:pPr>
      <w:r>
        <w:rPr>
          <w:color w:val="auto"/>
          <w:highlight w:val="none"/>
        </w:rPr>
        <w:t>c、多伦组(J3d1)</w:t>
      </w:r>
    </w:p>
    <w:p w14:paraId="22CB6865">
      <w:pPr>
        <w:rPr>
          <w:color w:val="auto"/>
          <w:highlight w:val="none"/>
        </w:rPr>
      </w:pPr>
      <w:r>
        <w:rPr>
          <w:color w:val="auto"/>
          <w:highlight w:val="none"/>
        </w:rPr>
        <w:t>分布范围广，主要分布于区域的中部和南部。岩性为灰黑色致密块状玄武岩、灰紫色气孔状玄武岩，局部夹凝灰质砂砾岩、粉砂岩、砂质泥岩、页岩。厚度大于758米。</w:t>
      </w:r>
    </w:p>
    <w:p w14:paraId="3ACCF65F">
      <w:pPr>
        <w:rPr>
          <w:color w:val="auto"/>
          <w:highlight w:val="none"/>
        </w:rPr>
      </w:pPr>
      <w:r>
        <w:rPr>
          <w:color w:val="auto"/>
          <w:highlight w:val="none"/>
        </w:rPr>
        <w:t>d、三道沟组(J3sd)</w:t>
      </w:r>
    </w:p>
    <w:p w14:paraId="340E2923">
      <w:pPr>
        <w:rPr>
          <w:color w:val="auto"/>
          <w:highlight w:val="none"/>
        </w:rPr>
      </w:pPr>
      <w:r>
        <w:rPr>
          <w:color w:val="auto"/>
          <w:highlight w:val="none"/>
        </w:rPr>
        <w:t>零星分布于三道沟公社的平房、大狐狸山、大骆驼山、大北沟公社花塘沟等地。岩性为灰色略带紫色流纹岩、石泡流纹岩、暗绿色松脂珍珠岩、灰白色角砾状凝灰岩及浮石。厚度大于187米，于下伏多伦组呈不整合接触。</w:t>
      </w:r>
    </w:p>
    <w:p w14:paraId="3972954A">
      <w:pPr>
        <w:rPr>
          <w:color w:val="auto"/>
          <w:highlight w:val="none"/>
        </w:rPr>
      </w:pPr>
      <w:r>
        <w:rPr>
          <w:color w:val="auto"/>
          <w:highlight w:val="none"/>
        </w:rPr>
        <w:t>③巴彦花群(J3—K1b2n)</w:t>
      </w:r>
    </w:p>
    <w:p w14:paraId="00A93AEC">
      <w:pPr>
        <w:rPr>
          <w:color w:val="auto"/>
          <w:highlight w:val="none"/>
        </w:rPr>
      </w:pPr>
      <w:r>
        <w:rPr>
          <w:color w:val="auto"/>
          <w:highlight w:val="none"/>
        </w:rPr>
        <w:t>为一套湖相盆地型碎屑岩，地表未见出露，主要分布于多伦断陷盆地和煤窑沟西盆地中。其岩性上部为灰色和灰黑色泥岩、砂质泥岩、砂岩、和褐煤互层。下部为灰、灰白色含砾粗砂岩、砂质泥岩夹煤线，厚度大于500米。与上第三系上新统呈不整合接触，下伏多伦组呈不整合接触。</w:t>
      </w:r>
    </w:p>
    <w:p w14:paraId="2423142F">
      <w:pPr>
        <w:rPr>
          <w:color w:val="auto"/>
          <w:highlight w:val="none"/>
        </w:rPr>
      </w:pPr>
      <w:r>
        <w:rPr>
          <w:color w:val="auto"/>
          <w:highlight w:val="none"/>
        </w:rPr>
        <w:t>4、新生界（KZ）</w:t>
      </w:r>
    </w:p>
    <w:p w14:paraId="5EA3BB72">
      <w:pPr>
        <w:rPr>
          <w:color w:val="auto"/>
          <w:highlight w:val="none"/>
        </w:rPr>
      </w:pPr>
      <w:r>
        <w:rPr>
          <w:color w:val="auto"/>
          <w:highlight w:val="none"/>
        </w:rPr>
        <w:t>①第三系上新统(N2)</w:t>
      </w:r>
    </w:p>
    <w:p w14:paraId="4A765004">
      <w:pPr>
        <w:rPr>
          <w:color w:val="auto"/>
          <w:highlight w:val="none"/>
        </w:rPr>
      </w:pPr>
      <w:r>
        <w:rPr>
          <w:color w:val="auto"/>
          <w:highlight w:val="none"/>
        </w:rPr>
        <w:t>广泛分布于黑山咀—大河门复式向斜盆地中，地表仅在盆窑梁、敖包泉子及山前地带地表零星出露。岩性为砖红色泥岩和含砾泥岩厚度大于100米，上限与中下更新统为平行不整合，下限与侏罗系火山熔岩呈不整合接触。</w:t>
      </w:r>
    </w:p>
    <w:p w14:paraId="4099B0AD">
      <w:pPr>
        <w:rPr>
          <w:color w:val="auto"/>
          <w:highlight w:val="none"/>
        </w:rPr>
      </w:pPr>
      <w:r>
        <w:rPr>
          <w:color w:val="auto"/>
          <w:highlight w:val="none"/>
        </w:rPr>
        <w:t>②第四系中下更新统(Q1-2a1+P1)</w:t>
      </w:r>
    </w:p>
    <w:p w14:paraId="2246B5D3">
      <w:pPr>
        <w:rPr>
          <w:color w:val="auto"/>
          <w:highlight w:val="none"/>
        </w:rPr>
      </w:pPr>
      <w:r>
        <w:rPr>
          <w:color w:val="auto"/>
          <w:highlight w:val="none"/>
        </w:rPr>
        <w:t>主要分布于西大仓、盆窑沟长虫坝一带，构成丘陵边缘的残留高平台。岩性上部为灰白色砂砾石、含砾粗砂、下部为黄绿色的粉细砂。厚度大于65米与下伏地层上新统为不整合接触。</w:t>
      </w:r>
    </w:p>
    <w:p w14:paraId="627CA6BE">
      <w:pPr>
        <w:rPr>
          <w:color w:val="auto"/>
          <w:highlight w:val="none"/>
        </w:rPr>
      </w:pPr>
      <w:r>
        <w:rPr>
          <w:color w:val="auto"/>
          <w:highlight w:val="none"/>
        </w:rPr>
        <w:t>③第四系上更新统(Q3a1+P1)</w:t>
      </w:r>
    </w:p>
    <w:p w14:paraId="42105322">
      <w:pPr>
        <w:rPr>
          <w:color w:val="auto"/>
          <w:highlight w:val="none"/>
        </w:rPr>
      </w:pPr>
      <w:r>
        <w:rPr>
          <w:color w:val="auto"/>
          <w:highlight w:val="none"/>
        </w:rPr>
        <w:t>广泛分布于河谷平原及沟谷洼地内，岩性为灰白色、灰色、灰绿色粉细砂、砂砾石、砂碎石及粘砂土。厚度大于146来，与下伏中下更新统地层呈平行不整合接触。</w:t>
      </w:r>
    </w:p>
    <w:p w14:paraId="7D727645">
      <w:pPr>
        <w:rPr>
          <w:color w:val="auto"/>
          <w:highlight w:val="none"/>
        </w:rPr>
      </w:pPr>
      <w:r>
        <w:rPr>
          <w:color w:val="auto"/>
          <w:highlight w:val="none"/>
        </w:rPr>
        <w:t>④第四系全新统(Q4)</w:t>
      </w:r>
    </w:p>
    <w:p w14:paraId="4D9D5879">
      <w:pPr>
        <w:rPr>
          <w:color w:val="auto"/>
          <w:highlight w:val="none"/>
        </w:rPr>
      </w:pPr>
      <w:r>
        <w:rPr>
          <w:color w:val="auto"/>
          <w:highlight w:val="none"/>
        </w:rPr>
        <w:t>一般分布于现代河谷洼地中根据成因类型划分下列四种</w:t>
      </w:r>
      <w:r>
        <w:rPr>
          <w:rFonts w:hint="eastAsia"/>
          <w:color w:val="auto"/>
          <w:highlight w:val="none"/>
          <w:lang w:eastAsia="zh-CN"/>
        </w:rPr>
        <w:t>：</w:t>
      </w:r>
      <w:r>
        <w:rPr>
          <w:color w:val="auto"/>
          <w:highlight w:val="none"/>
        </w:rPr>
        <w:t>a、冲积洪积层（Q4a1+P1）主要分布于小河子、羊肠河、吐里根河等现代河谷洼地中。岩性为中细砂、砂砾石。厚度大于10米。</w:t>
      </w:r>
    </w:p>
    <w:p w14:paraId="58B92B17">
      <w:pPr>
        <w:rPr>
          <w:color w:val="auto"/>
          <w:highlight w:val="none"/>
        </w:rPr>
      </w:pPr>
      <w:r>
        <w:rPr>
          <w:color w:val="auto"/>
          <w:highlight w:val="none"/>
        </w:rPr>
        <w:t>b、冲积层(Q4a1)</w:t>
      </w:r>
    </w:p>
    <w:p w14:paraId="5651AA8A">
      <w:pPr>
        <w:rPr>
          <w:color w:val="auto"/>
          <w:highlight w:val="none"/>
        </w:rPr>
      </w:pPr>
      <w:r>
        <w:rPr>
          <w:color w:val="auto"/>
          <w:highlight w:val="none"/>
        </w:rPr>
        <w:t>主要分布于闪电河、黑风河、滦河现代河谷洼地中。岩性为中细砂含砾中细砂。厚度为大于50米。</w:t>
      </w:r>
    </w:p>
    <w:p w14:paraId="413B2D78">
      <w:pPr>
        <w:rPr>
          <w:color w:val="auto"/>
          <w:highlight w:val="none"/>
        </w:rPr>
      </w:pPr>
      <w:r>
        <w:rPr>
          <w:color w:val="auto"/>
          <w:highlight w:val="none"/>
        </w:rPr>
        <w:t>c、湖积层(Q41)</w:t>
      </w:r>
    </w:p>
    <w:p w14:paraId="26A8C036">
      <w:pPr>
        <w:rPr>
          <w:color w:val="auto"/>
          <w:highlight w:val="none"/>
        </w:rPr>
      </w:pPr>
      <w:r>
        <w:rPr>
          <w:color w:val="auto"/>
          <w:highlight w:val="none"/>
        </w:rPr>
        <w:t>主要分布于黑风河、闪电河、滦河、吐里根河的两岸漫滩和公鸡诺等湖泊一带。岩性为淤泥和细砂。厚度大于30米。</w:t>
      </w:r>
    </w:p>
    <w:p w14:paraId="43E943D7">
      <w:pPr>
        <w:rPr>
          <w:color w:val="auto"/>
          <w:highlight w:val="none"/>
        </w:rPr>
      </w:pPr>
      <w:r>
        <w:rPr>
          <w:color w:val="auto"/>
          <w:highlight w:val="none"/>
        </w:rPr>
        <w:t>d、风积沙(Q4eoi)</w:t>
      </w:r>
    </w:p>
    <w:p w14:paraId="75B5B86F">
      <w:pPr>
        <w:rPr>
          <w:color w:val="auto"/>
          <w:highlight w:val="none"/>
        </w:rPr>
      </w:pPr>
      <w:r>
        <w:rPr>
          <w:color w:val="auto"/>
          <w:highlight w:val="none"/>
        </w:rPr>
        <w:t>主要分布于区域东北部小腾格尔沙漠南缘及多伦县南部东西展布的沙带。</w:t>
      </w:r>
    </w:p>
    <w:p w14:paraId="77188BB0">
      <w:pPr>
        <w:rPr>
          <w:color w:val="auto"/>
          <w:highlight w:val="none"/>
        </w:rPr>
      </w:pPr>
      <w:r>
        <w:rPr>
          <w:color w:val="auto"/>
          <w:highlight w:val="none"/>
        </w:rPr>
        <w:t>（2）侵入岩</w:t>
      </w:r>
    </w:p>
    <w:p w14:paraId="0829517C">
      <w:pPr>
        <w:rPr>
          <w:color w:val="auto"/>
          <w:highlight w:val="none"/>
        </w:rPr>
      </w:pPr>
      <w:r>
        <w:rPr>
          <w:color w:val="auto"/>
          <w:highlight w:val="none"/>
        </w:rPr>
        <w:t>区内侵入岩不甚发育，仅见于煤窑沟、臻子山、黑土洼等地，均为燕山早期侵入岩；侵入下限为张家口组(J32)，上限不清，第一次侵入体分布于煤窑沟，呈岩株产出，岩性主要为中细粒黑云母斜长花岗岩及花岗闪长岩，第二次侵入体分布在臻子山呈岩脉产出，岩性为花岗斑岩和钾长石英斑岩。</w:t>
      </w:r>
    </w:p>
    <w:p w14:paraId="42F6C92A">
      <w:pPr>
        <w:rPr>
          <w:color w:val="auto"/>
          <w:highlight w:val="none"/>
        </w:rPr>
      </w:pPr>
      <w:r>
        <w:rPr>
          <w:color w:val="auto"/>
          <w:highlight w:val="none"/>
        </w:rPr>
        <w:t>（3）地质构造</w:t>
      </w:r>
    </w:p>
    <w:p w14:paraId="49FB5A82">
      <w:pPr>
        <w:rPr>
          <w:color w:val="auto"/>
          <w:highlight w:val="none"/>
        </w:rPr>
      </w:pPr>
      <w:r>
        <w:rPr>
          <w:color w:val="auto"/>
          <w:highlight w:val="none"/>
        </w:rPr>
        <w:t>按照1/100万内蒙大地构造图划分，本区位于两个一级构造单元即中朝准地台和内蒙—大兴安岭褶皱系的毗接处，南部四级构造单元属内蒙地轴东段翼北断陷束的沽源断陷盆地，中部四级构造单元属内蒙华力晚期褶皱带的多伦复背斜的正兰旗中凹陷，北部为赛汗塔拉—翁牛特旗复向斜腾格尔新凹陷。</w:t>
      </w:r>
    </w:p>
    <w:p w14:paraId="288C1B3B">
      <w:pPr>
        <w:rPr>
          <w:color w:val="auto"/>
          <w:highlight w:val="none"/>
        </w:rPr>
      </w:pPr>
      <w:r>
        <w:rPr>
          <w:color w:val="auto"/>
          <w:highlight w:val="none"/>
        </w:rPr>
        <w:t>从地质力学观点，区内构造体系属天山—阴山纬向复杂构造带的东段北侧并本区自吕梁运动基本奠定了东西向构造带以来，又经受了华力西运动，致使二迭系以前的地层产生了一系列东西复式褶皱和压性断裂，至此本区构造骨架基本形成。</w:t>
      </w:r>
    </w:p>
    <w:p w14:paraId="307572EE">
      <w:pPr>
        <w:rPr>
          <w:color w:val="auto"/>
          <w:highlight w:val="none"/>
        </w:rPr>
      </w:pPr>
      <w:r>
        <w:rPr>
          <w:color w:val="auto"/>
          <w:highlight w:val="none"/>
        </w:rPr>
        <w:t>在中侏罗世晚期，因受新华夏系构造的强烈制约而形成了一系列的北北东、北东向的沉降带和隆起带，并伴有多次火山岩的喷发和火成岩的侵入。故区内火山喷出岩广布，侵入岩亦有小而积分布，各种断裂、褶皱十分发育。北东—南西向断裂为压性断裂，与此相垂直的北西—南东向断裂为张性和张扭性断裂。显示了多字型构造的特征。</w:t>
      </w:r>
    </w:p>
    <w:p w14:paraId="1BD6D5D7">
      <w:pPr>
        <w:rPr>
          <w:color w:val="auto"/>
          <w:highlight w:val="none"/>
        </w:rPr>
        <w:sectPr>
          <w:pgSz w:w="11912" w:h="16841"/>
          <w:pgMar w:top="1408" w:right="1170" w:bottom="1411" w:left="1195" w:header="863" w:footer="1009" w:gutter="0"/>
          <w:pgBorders>
            <w:top w:val="none" w:sz="0" w:space="0"/>
            <w:left w:val="none" w:sz="0" w:space="0"/>
            <w:bottom w:val="none" w:sz="0" w:space="0"/>
            <w:right w:val="none" w:sz="0" w:space="0"/>
          </w:pgBorders>
          <w:pgNumType w:fmt="decimal"/>
          <w:cols w:space="720" w:num="1"/>
        </w:sectPr>
      </w:pPr>
      <w:r>
        <w:rPr>
          <w:color w:val="auto"/>
          <w:highlight w:val="none"/>
        </w:rPr>
        <w:t>区域地质图见下图</w:t>
      </w:r>
      <w:r>
        <w:rPr>
          <w:rFonts w:hint="eastAsia"/>
          <w:color w:val="auto"/>
          <w:highlight w:val="none"/>
          <w:lang w:val="en-US" w:eastAsia="zh-CN"/>
        </w:rPr>
        <w:t>5.3-1</w:t>
      </w:r>
      <w:r>
        <w:rPr>
          <w:color w:val="auto"/>
          <w:highlight w:val="none"/>
        </w:rPr>
        <w:t>。</w:t>
      </w:r>
    </w:p>
    <w:p w14:paraId="33F6DC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sz w:val="24"/>
          <w:highlight w:val="none"/>
        </w:rPr>
        <mc:AlternateContent>
          <mc:Choice Requires="wpg">
            <w:drawing>
              <wp:inline distT="0" distB="0" distL="114300" distR="114300">
                <wp:extent cx="7537450" cy="4810760"/>
                <wp:effectExtent l="0" t="0" r="6350" b="8890"/>
                <wp:docPr id="15" name="组合 15"/>
                <wp:cNvGraphicFramePr/>
                <a:graphic xmlns:a="http://schemas.openxmlformats.org/drawingml/2006/main">
                  <a:graphicData uri="http://schemas.microsoft.com/office/word/2010/wordprocessingGroup">
                    <wpg:wgp>
                      <wpg:cNvGrpSpPr/>
                      <wpg:grpSpPr>
                        <a:xfrm>
                          <a:off x="0" y="0"/>
                          <a:ext cx="7537450" cy="4810760"/>
                          <a:chOff x="2636" y="2033950"/>
                          <a:chExt cx="12702" cy="8408"/>
                        </a:xfrm>
                        <a:effectLst/>
                      </wpg:grpSpPr>
                      <pic:pic xmlns:pic="http://schemas.openxmlformats.org/drawingml/2006/picture">
                        <pic:nvPicPr>
                          <pic:cNvPr id="336" name="IM 336"/>
                          <pic:cNvPicPr/>
                        </pic:nvPicPr>
                        <pic:blipFill>
                          <a:blip r:embed="rId83"/>
                          <a:stretch>
                            <a:fillRect/>
                          </a:stretch>
                        </pic:blipFill>
                        <pic:spPr>
                          <a:xfrm>
                            <a:off x="2636" y="2033950"/>
                            <a:ext cx="12702" cy="8408"/>
                          </a:xfrm>
                          <a:prstGeom prst="rect">
                            <a:avLst/>
                          </a:prstGeom>
                          <a:noFill/>
                          <a:ln>
                            <a:noFill/>
                          </a:ln>
                          <a:effectLst/>
                        </pic:spPr>
                      </pic:pic>
                      <wpg:grpSp>
                        <wpg:cNvPr id="16" name="组合 56"/>
                        <wpg:cNvGrpSpPr/>
                        <wpg:grpSpPr>
                          <a:xfrm>
                            <a:off x="6643" y="2036552"/>
                            <a:ext cx="2127" cy="1149"/>
                            <a:chOff x="0" y="0"/>
                            <a:chExt cx="2126" cy="1149"/>
                          </a:xfrm>
                          <a:solidFill>
                            <a:srgbClr val="E46C0A">
                              <a:lumMod val="75000"/>
                            </a:srgbClr>
                          </a:solidFill>
                          <a:effectLst/>
                        </wpg:grpSpPr>
                        <wps:wsp>
                          <wps:cNvPr id="53" name="任意多边形 53"/>
                          <wps:cNvSpPr/>
                          <wps:spPr>
                            <a:xfrm>
                              <a:off x="0" y="992"/>
                              <a:ext cx="40" cy="156"/>
                            </a:xfrm>
                            <a:custGeom>
                              <a:avLst/>
                              <a:gdLst/>
                              <a:ahLst/>
                              <a:cxnLst/>
                              <a:pathLst>
                                <a:path w="40" h="156">
                                  <a:moveTo>
                                    <a:pt x="20" y="0"/>
                                  </a:moveTo>
                                  <a:lnTo>
                                    <a:pt x="20" y="155"/>
                                  </a:lnTo>
                                </a:path>
                              </a:pathLst>
                            </a:custGeom>
                            <a:grpFill/>
                            <a:ln w="25908" cap="flat" cmpd="sng">
                              <a:solidFill>
                                <a:srgbClr val="FF0000"/>
                              </a:solidFill>
                              <a:prstDash val="solid"/>
                              <a:headEnd type="none" w="med" len="med"/>
                              <a:tailEnd type="none" w="med" len="med"/>
                            </a:ln>
                            <a:effectLst/>
                          </wps:spPr>
                          <wps:bodyPr vert="horz" wrap="square" anchor="t" anchorCtr="0" upright="1"/>
                        </wps:wsp>
                        <wps:wsp>
                          <wps:cNvPr id="54" name="任意多边形 54"/>
                          <wps:cNvSpPr/>
                          <wps:spPr>
                            <a:xfrm>
                              <a:off x="83" y="20"/>
                              <a:ext cx="2023" cy="1023"/>
                            </a:xfrm>
                            <a:custGeom>
                              <a:avLst/>
                              <a:gdLst/>
                              <a:ahLst/>
                              <a:cxnLst/>
                              <a:pathLst>
                                <a:path w="2023" h="1023">
                                  <a:moveTo>
                                    <a:pt x="483" y="92"/>
                                  </a:moveTo>
                                  <a:cubicBezTo>
                                    <a:pt x="483" y="41"/>
                                    <a:pt x="525" y="0"/>
                                    <a:pt x="576" y="0"/>
                                  </a:cubicBezTo>
                                  <a:lnTo>
                                    <a:pt x="740" y="0"/>
                                  </a:lnTo>
                                  <a:lnTo>
                                    <a:pt x="740" y="0"/>
                                  </a:lnTo>
                                  <a:lnTo>
                                    <a:pt x="1124" y="0"/>
                                  </a:lnTo>
                                  <a:lnTo>
                                    <a:pt x="1930" y="0"/>
                                  </a:lnTo>
                                  <a:cubicBezTo>
                                    <a:pt x="1980" y="0"/>
                                    <a:pt x="2022" y="41"/>
                                    <a:pt x="2022" y="92"/>
                                  </a:cubicBezTo>
                                  <a:lnTo>
                                    <a:pt x="2022" y="323"/>
                                  </a:lnTo>
                                  <a:lnTo>
                                    <a:pt x="2022" y="323"/>
                                  </a:lnTo>
                                  <a:lnTo>
                                    <a:pt x="2022" y="462"/>
                                  </a:lnTo>
                                  <a:lnTo>
                                    <a:pt x="2022" y="462"/>
                                  </a:lnTo>
                                  <a:cubicBezTo>
                                    <a:pt x="2022" y="513"/>
                                    <a:pt x="1980" y="554"/>
                                    <a:pt x="1930" y="554"/>
                                  </a:cubicBezTo>
                                  <a:lnTo>
                                    <a:pt x="1124" y="554"/>
                                  </a:lnTo>
                                  <a:lnTo>
                                    <a:pt x="0" y="1022"/>
                                  </a:lnTo>
                                  <a:lnTo>
                                    <a:pt x="740" y="554"/>
                                  </a:lnTo>
                                  <a:lnTo>
                                    <a:pt x="576" y="554"/>
                                  </a:lnTo>
                                  <a:cubicBezTo>
                                    <a:pt x="525" y="554"/>
                                    <a:pt x="483" y="513"/>
                                    <a:pt x="483" y="462"/>
                                  </a:cubicBezTo>
                                  <a:lnTo>
                                    <a:pt x="483" y="462"/>
                                  </a:lnTo>
                                  <a:lnTo>
                                    <a:pt x="483" y="323"/>
                                  </a:lnTo>
                                  <a:lnTo>
                                    <a:pt x="483" y="323"/>
                                  </a:lnTo>
                                  <a:lnTo>
                                    <a:pt x="483" y="92"/>
                                  </a:lnTo>
                                  <a:close/>
                                </a:path>
                              </a:pathLst>
                            </a:custGeom>
                            <a:grpFill/>
                            <a:ln>
                              <a:noFill/>
                            </a:ln>
                            <a:effectLst/>
                          </wps:spPr>
                          <wps:txbx>
                            <w:txbxContent>
                              <w:p w14:paraId="2A07C06B">
                                <w:pPr>
                                  <w:jc w:val="center"/>
                                  <w:rPr>
                                    <w:rFonts w:hint="default" w:eastAsia="宋体"/>
                                    <w:b/>
                                    <w:bCs/>
                                    <w:lang w:val="en-US" w:eastAsia="zh-CN"/>
                                  </w:rPr>
                                </w:pPr>
                                <w:r>
                                  <w:rPr>
                                    <w:rFonts w:hint="eastAsia"/>
                                    <w:b/>
                                    <w:bCs/>
                                    <w:lang w:val="en-US" w:eastAsia="zh-CN"/>
                                  </w:rPr>
                                  <w:t>项目位置</w:t>
                                </w:r>
                              </w:p>
                            </w:txbxContent>
                          </wps:txbx>
                          <wps:bodyPr vert="horz" wrap="square" anchor="t" anchorCtr="0" upright="1"/>
                        </wps:wsp>
                        <wps:wsp>
                          <wps:cNvPr id="55" name="任意多边形 55"/>
                          <wps:cNvSpPr/>
                          <wps:spPr>
                            <a:xfrm>
                              <a:off x="63" y="0"/>
                              <a:ext cx="2063" cy="1063"/>
                            </a:xfrm>
                            <a:custGeom>
                              <a:avLst/>
                              <a:gdLst/>
                              <a:ahLst/>
                              <a:cxnLst/>
                              <a:pathLst>
                                <a:path w="2063" h="1063">
                                  <a:moveTo>
                                    <a:pt x="504" y="112"/>
                                  </a:moveTo>
                                  <a:cubicBezTo>
                                    <a:pt x="504" y="61"/>
                                    <a:pt x="545" y="20"/>
                                    <a:pt x="596" y="20"/>
                                  </a:cubicBezTo>
                                  <a:lnTo>
                                    <a:pt x="760" y="20"/>
                                  </a:lnTo>
                                  <a:lnTo>
                                    <a:pt x="760" y="20"/>
                                  </a:lnTo>
                                  <a:lnTo>
                                    <a:pt x="1145" y="20"/>
                                  </a:lnTo>
                                  <a:lnTo>
                                    <a:pt x="1950" y="20"/>
                                  </a:lnTo>
                                  <a:cubicBezTo>
                                    <a:pt x="2001" y="20"/>
                                    <a:pt x="2042" y="61"/>
                                    <a:pt x="2042" y="112"/>
                                  </a:cubicBezTo>
                                  <a:lnTo>
                                    <a:pt x="2042" y="343"/>
                                  </a:lnTo>
                                  <a:lnTo>
                                    <a:pt x="2042" y="343"/>
                                  </a:lnTo>
                                  <a:lnTo>
                                    <a:pt x="2042" y="482"/>
                                  </a:lnTo>
                                  <a:lnTo>
                                    <a:pt x="2042" y="482"/>
                                  </a:lnTo>
                                  <a:cubicBezTo>
                                    <a:pt x="2042" y="533"/>
                                    <a:pt x="2001" y="574"/>
                                    <a:pt x="1950" y="574"/>
                                  </a:cubicBezTo>
                                  <a:lnTo>
                                    <a:pt x="1145" y="574"/>
                                  </a:lnTo>
                                  <a:lnTo>
                                    <a:pt x="20" y="1042"/>
                                  </a:lnTo>
                                  <a:lnTo>
                                    <a:pt x="760" y="574"/>
                                  </a:lnTo>
                                  <a:lnTo>
                                    <a:pt x="596" y="574"/>
                                  </a:lnTo>
                                  <a:cubicBezTo>
                                    <a:pt x="545" y="574"/>
                                    <a:pt x="504" y="533"/>
                                    <a:pt x="504" y="482"/>
                                  </a:cubicBezTo>
                                  <a:lnTo>
                                    <a:pt x="504" y="482"/>
                                  </a:lnTo>
                                  <a:lnTo>
                                    <a:pt x="504" y="343"/>
                                  </a:lnTo>
                                  <a:lnTo>
                                    <a:pt x="504" y="343"/>
                                  </a:lnTo>
                                  <a:lnTo>
                                    <a:pt x="504" y="112"/>
                                  </a:lnTo>
                                  <a:close/>
                                </a:path>
                              </a:pathLst>
                            </a:custGeom>
                            <a:grpFill/>
                            <a:ln w="25908" cap="flat" cmpd="sng">
                              <a:solidFill>
                                <a:srgbClr val="000000"/>
                              </a:solidFill>
                              <a:prstDash val="solid"/>
                              <a:headEnd type="none" w="med" len="med"/>
                              <a:tailEnd type="none" w="med" len="med"/>
                            </a:ln>
                            <a:effectLst/>
                          </wps:spPr>
                          <wps:txbx>
                            <w:txbxContent>
                              <w:p w14:paraId="25B75799">
                                <w:pPr>
                                  <w:jc w:val="center"/>
                                  <w:rPr>
                                    <w:rFonts w:hint="default" w:eastAsia="宋体"/>
                                    <w:b/>
                                    <w:bCs/>
                                    <w:color w:val="000000"/>
                                    <w:lang w:val="en-US" w:eastAsia="zh-CN"/>
                                  </w:rPr>
                                </w:pPr>
                                <w:r>
                                  <w:rPr>
                                    <w:rFonts w:hint="eastAsia"/>
                                    <w:b/>
                                    <w:bCs/>
                                    <w:color w:val="000000"/>
                                    <w:lang w:val="en-US" w:eastAsia="zh-CN"/>
                                  </w:rPr>
                                  <w:t>项目位置</w:t>
                                </w:r>
                              </w:p>
                            </w:txbxContent>
                          </wps:txbx>
                          <wps:bodyPr vert="horz" wrap="square" anchor="t" anchorCtr="0" upright="1"/>
                        </wps:wsp>
                      </wpg:grpSp>
                    </wpg:wgp>
                  </a:graphicData>
                </a:graphic>
              </wp:inline>
            </w:drawing>
          </mc:Choice>
          <mc:Fallback>
            <w:pict>
              <v:group id="_x0000_s1026" o:spid="_x0000_s1026" o:spt="203" style="height:378.8pt;width:593.5pt;" coordorigin="2636,2033950" coordsize="12702,8408" o:gfxdata="UEsDBAoAAAAAAIdO4kAAAAAAAAAAAAAAAAAEAAAAZHJzL1BLAwQUAAAACACHTuJAgqTgPNYAAAAG&#10;AQAADwAAAGRycy9kb3ducmV2LnhtbE2PQWvCQBCF74X+h2WE3upmWzQSs5EibU9SqBZKb2N2TILZ&#10;2ZBdE/33XXuxlwePN7z3Tb4621YM1PvGsQY1TUAQl840XGn42r09LkD4gGywdUwaLuRhVdzf5ZgZ&#10;N/InDdtQiVjCPkMNdQhdJqUva7Lop64jjtnB9RZDtH0lTY9jLLetfEqSubTYcFyosaN1TeVxe7Ia&#10;3kccX57V67A5HtaXn93s43ujSOuHiUqWIAKdw+0YrvgRHYrItHcnNl60GuIj4U+vmVqk0e81pLN0&#10;DrLI5X/84hdQSwMEFAAAAAgAh07iQBVI+Tj5BQAA2BYAAA4AAABkcnMvZTJvRG9jLnhtbNVYzW7j&#10;NhC+F+g7CLo3lmTJf9hk0W42wQLdNuhuH4CWaEuA/krJsbPnPeytPfdY9CWKoH2abtvH6AzJoUTb&#10;ieO0OewhEU2OZobffDND6tnzTZE711w0WVWeuv6J5zq8jKskK5en7vdvL76YuE7TsjJheVXyU/eG&#10;N+7zs88/e7auZzyo0ipPuHBASdnM1vWpm7ZtPRsMmjjlBWtOqpqXsLioRMFa+CmWg0SwNWgv8kHg&#10;eaPBuhJJLaqYNw3MnqtFV2sUD1FYLRZZzM+reFXwslVaBc9ZC1tq0qxu3DPp7WLB4/bbxaLhrZOf&#10;urDTVv4HIzCe4//B2TM2WwpWp1msXWAPcWFrTwXLSjBqVJ2zljkrke2oKrJYVE21aE/iqhiojUhE&#10;YBe+t4XNpahWtdzLcrZe1gZ0CNQW6o9WG39zfSWcLAEmRK5TsgIi/vft+48/fXBgAtBZ18sZCF2K&#10;+k19JfTEUv3CDW8WosAnbMXZSFxvDK580zoxTI6j4TiMAPIY1sKJ741HGvk4hfDge8FoOHIdWA68&#10;4XAKsjIwcfpSq/CDsRcoBZPQm+DyoDPOZaS/blqcRo+Ng3UWz+BPQwejHegOExbealeCQyBQW3l9&#10;lcVXQv3o4Bui/wq/V68d/AW+oDyK4Avo2s778zyrL7I8RwRx/P9mgSNmvJhzCK54lfgK0qYVvI1T&#10;NLgAw99BhigszYL0snMMfW4g9HuCvT9oFPX7Q1aLpr3kVeHgABwEPwBgNmPXOoxsRiI4XVYIE3jK&#10;ZnlpTQAN1IxFgs5ruR34qagsifHEiWSIoBMpklw4MpFGo3BICTGKokBFj7ANAFyVDb4fTtWaySVI&#10;tC4HuxSCd8AzTEF6p5dBTZVnCTGxEcv5i1w41wyq5stw9ML7UsYmXxWvq0RNjyPPk1kKSrS8TElL&#10;kRUSKy/XNXSPhvgOv3by8qiS9iZlNSYoqu1yMgIEVUr+eXv71/sfP/768z9//Pbx918cWAEuaWlT&#10;2Jq7iK4QnU63ohDqkuarCPfgjFeK3X1GQ3NIFLeB5SmN4k1Jw5q1OI3v4NBZQ7EECynW5pEMQFFd&#10;87eVFGhl1eyFGqx3y3m5R8yPZEUHQbUMA7Qjw2Zsw2TfeciXXuKhS0E0hfrrxAx6/wJ6LgyLGkpM&#10;Uy6ljxYBLCZdXABlDGf6hMNMP2dNqqglNShOp5wlL8vEaW9qaEwlHEhc9KHgievkHM4vOJJVoWVZ&#10;/hBJuXtEcIubFHvkxLxKbqArwiEJKlNaiXdgFI4IsMcfVgwagcPKGKZPXdi8Gr5o1ZliVYtsmcJb&#10;stpCK5IsV0x7erqHd9I9PIruE6o8ClpTdLwAFmQBwRHADmBS/++Thmr4YxgfSCPIeRxgoDpW15L0&#10;oXZPZSO40AnEq3kWf8Xf9clP4qFugEpJFMBxp6uSenKsziDEUVudnVNjTE1SIEmljD5GyvcDCN1B&#10;Zf50uN+m7afaiz+d9IQh03XBCOAUBZZsNAB0NW0wtVXamzLSQ8MCEqDnlrUHC4YjWWLvxNOY3hW0&#10;Pd5yIPIlXwkGA04Uyczo5jXCeh78sNXa+zNx68RJgJ7KDxUJYPT9uyNOHVIXaZ7uytneKuNEdS1N&#10;e6W82IKGpjuAbZ32xnalaZ2eygeSO0SEY+UMX8lcnFcNV5XpyN6GpcacMiUBD3SJdjPfgKVPuWGY&#10;K9/O+Ujf/eRp6vD5aKQahr61df0C51W/gNFT9Qs0IvsFDPb1i8hTxRWyVftwf8Mg+ZHdMELVMAK9&#10;SZ1bU9Ux1OyBcoG3Xqy9RphIS0+l84FicIjve3RnyfTxNr3XrJ3Yyjh8ofF70lQsAi9UDcIGxUx3&#10;2NpK7Z0Z8SHcbRQdSICe5IU292DBcELBJU303NK4K2h7vCUeDa3GYeCJxluNQ4Os5w8wwcSuEyd3&#10;6Ul+yGD4CP99gBFnDumLNF935fahEGmGaWkiAyXIFjY03SFs67R3titN6/RUCJDcISYcK9cxluw9&#10;vnX8t2sRXoo+iWvRkza87rMdXCvwUwF88JQXDP1xFr+o9n9Lqe6D9Nm/UEsDBAoAAAAAAIdO4kAA&#10;AAAAAAAAAAAAAAAKAAAAZHJzL21lZGlhL1BLAwQUAAAACACHTuJAeY0XAtFJAQDHSQEAFQAAAGRy&#10;cy9tZWRpYS9pbWFnZTEuanBlZwD//wAA/9j/4AAQSkZJRgABAQAAAQABAAD/2wBDAAgGBgcGBQgH&#10;BwcJCQgKDBQNDAsLDBkSEw8UHRofHh0aHBwgJC4nICIsIxwcKDcpLDAxNDQ0Hyc5PTgyPC4zNDL/&#10;2wBDAQkJCQwLDBgNDRgyIRwhMjIyMjIyMjIyMjIyMjIyMjIyMjIyMjIyMjIyMjIyMjIyMjIyMjIy&#10;MjIyMjIyMjIyMjL/wAARCAJGA3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S9uhZ2NzdyKSkETSFQeTtGf6V5xa/F+4voBcWnhDUZoW+7Is&#10;qYNd94gGPDeqnj/jzl/9ANcX8MiP+EB04Fl+6cDPNROVg0Gf8LU1H/oSdT/7/JSf8LU1H/oSdT/7&#10;/JXZkYxnvTeucVzPE2K5Ucd/wtTUf+hJ1P8A7/JS/wDC1NR/6EnU/wDv8ldhmlFJYoOU47/hamo/&#10;9CTqf/f5KP8Ahaeo/wDQk6n/AN/krtRzR0rVVxWOK/4WnqX/AEJOp/8Af5KP+Fp6iP8AmSNT/wC/&#10;yV2pOKQ0nXsPlOL/AOFqaj/0JOp/9/kpP+Fq6j/0JOp/9/krs+AMnpRtO3OKhYgOU4z/AIWtqP8A&#10;0JOp/wDf5KX/AIWrqJ/5knU/+/yV2WF2570oxjimsRcVjjP+Fqaj/wBCTqf/AH+Sk/4WnqOf+RJ1&#10;P/v8ldplSOx+lNYjPUYpvEWHynFj4rXz5A8G6kSOwnTNL/wtTUcj/iitU/7/ACV08VhDFevdR7/N&#10;YYPzcY+lWBw2eevWs/rgcpyX/C1NR/6EnU/+/wAlB+Kmo4yfBOp4/wCuyV2I5GaVh8hFXHEXCxxo&#10;+KmokZHgnU8f9dko/wCFqaj/ANCTqf8A3+SuwhP7pT604mm8QkHKcU3xXvgQreC9TBY4A85KX/ha&#10;t/8A9CVqY+syV0d+GW4tHHA83B/I0zWZAtukTPtEmcEHHTmpWKCxzD/GC4jm8pvCOoq+M7fPSl/4&#10;W9c7yv8Awh+oZXqPOTitCLRbS7SO4edxO3Cnd6VFf26J58UOfOJG6Q+2Kf1kgrN8XblH2v4P1AHt&#10;++SnQ/Fi9mJ2eDdSYrwcTJV6ysjcRSSO26YLgcZpNE1KO2ingly1zvyUUcgUfWRoqj4p6hjjwTqf&#10;Xn98lQy/F25gDGTwhqICkZPnJxmuytrpLq3jnizsbI5rFvtDurm7uJIpgscgHVd3QUvrJSiZMXxX&#10;vJohIng7UnXsRMlNHxdudzqPB2o5QZYCdOK6A2kmlojRncv3XHQfWse706U3vmRxuizFslWJ3A1L&#10;xVmOxSX4yyN08J37HGeJ0yBUtv8AF66ulLQeDdScDg4mSsxPC95aXM0sO9laM4DE+tbHg9n00T29&#10;22HY5XnirWKuricR3/C1NQ/6EnU/+/yUh+Kmof8AQlamP+2yV1+4cdwx4NUnkvRITHbpJH6h+fyx&#10;UPF+QcpzT/Fi9jIDeDNTGe/nJT/+FqahxjwXqeD0ImSuh+128qGK4Uo3owx+tIEubcBreVZIByVb&#10;t+NCxb7BynNyfFu8jk2P4M1INj/nslQQ/GWWZmWPwlqLsnUCdK6K4kW4kjmTbtbhg1QtaW8NuZII&#10;oI2diGZQAar615E21MxfixfOMr4L1M/9tkpT8Vr8AsfBepge8yV02nhlthnBz37Uk7pO5tskN2IH&#10;FL6yOxzC/Fq8Y7R4M1L/AL/JRJ8Wr2L7/gzUx/22SteWF7SVcgn3zV+5dJ9PaQrg4p/WRHMx/Fi9&#10;l4TwZqZH/XZKF+K1+7Nt8F6n8nUecldPpcfl2qkY55ye9MmMljdNcn5oH+9jsaf1kaRyx+MN15nl&#10;/wDCGaqG9PMX/Cpx8Vb/ABn/AIQrU/8Av6ldcoidVlQKQ3RvWnEEHHWspYxrZD5Tjm+K99Gu5vBe&#10;pgH/AKbJTh8UtQZQw8Fang9CJk5rrJY1kQxv0IxVWNr+0TyokSeMfdy2MVpTxafxBY57/haWpD/m&#10;SNT/AO/yUH4p6kBz4J1Mf9tkrpvtl8F3G0T3+f8A+tT01FJZlt5kMMrD+IYB+hrZ1ot6Cscgvxav&#10;HKY8G6kSx4/fJUq/FPUQox4J1PHb98lb9to8sN4splJVGJC49TWx9MYpyqWCxxP/AAtTUf8AoSNT&#10;/wC/yUv/AAtPUf8AoSNT/wC/yV2tFR7YLHE/8LT1L/oSdT/7/JR/wtPUv+hJ1P8A7/JXbUHBHPSn&#10;7YLHD/8AC1r/AH4PgvUwfQzJTv8Ahamoj/mSdU/7/JXXXMaPEXccqMjFLaO726liGJ/Sj2oWOQ/4&#10;WpqP/Qk6p/3+Sj/haepf9CTqf/f5K7bOTjilxT9qBxH/AAtPUScf8ITqf/f5Kif4tXkbbH8HairE&#10;8Dz0rvO49qzLzRILyYSs7K4IYEH0o9o2hM5aX4tXlv8A6zwbqS/WZKif4xTRqC3hDUcHj/XJW1rd&#10;iiwSebeMJJcCL5c/1rNWOGK1WKT966+ldFGnzrU5q1dwehWf4xyRsqt4T1BSegM6U1vjSyyiNvCe&#10;oBz0HnJVK4s5LmWSWRJN/VBjGKqPplyJEuJt3m9iBniuhYdMx+ttGyfjO4YqfCWoZH/TZKkHxguG&#10;GR4Q1E/SZKwZLKWSVpWldWJHy7a2rKORVUsT3NU8MiXjSX/hbt0f+ZN1L/v8lB+Ll3t3f8IdqQA7&#10;+clXGZwpZQwCjPNaOnaY19bRXV2x8tgGWNTj8656kVBHRSruZjp8Vb+QBk8F6mR/12Snf8LT1L/o&#10;SdT/AO/yV2ioEVVAAAGBj0p1cjrWOpK5xP8AwtPUf+hJ1T/v8lH/AAtTUf8AoSNU/wC/yV2vPofr&#10;jio5TL5TeUV39vehVrgcb/wtTUc4/wCEJ1T/AL/JR/wtPUeP+KJ1Tn/pqldJbXV+5eGWFPMUA5B9&#10;aS1ubgg2xYGVWJJPYZqvaAc0/wAVtQT73grVB7+clO/4WnqLDcvgrUyPUTJXUeeY2e3uzwTkORgG&#10;klU2du08EmY0Gdp6H8aftAOWb4rX4cKfBepL9ZkpH+K96jDd4M1PB6fvkxW9Lqa30QjFpL5zDhmT&#10;A/OrtnYqlmqThi7D5gT92p9qBy4+Kepcf8UTqZz0xMlKfijqQ5/4QnUvf98ma6crPZYMYaSHPQ9R&#10;VE3O7UHxc7Gbkbu3tihVLsTdjGX4pal28Eap/wB/kpf+Fpan/wBCRqf/AH+Su1t2eSFWcqWx1Hep&#10;sVstRXOF/wCFo6n/ANCRqn/f5KP+Fo6n/wBCRqn/AH+Su7opgcJ/wtHU/wDoSNU/7/JR/wALR1P/&#10;AKEjVP8Av8ld1mloA4T/AIWjqf8A0JGqf9/ko/4Wjqf/AEJGqf8Af5K7uigDhP8AhaOp/wDQkap/&#10;3+Sj/haOp/8AQkap/wB/krt5JhFC0rcKuSax18U2UsrJEHYqcH5aBmB/wtHU/wDoSNU/7/JR/wAL&#10;R1P/AKEjU/8Av8ldvDMs8KyofkYZBNSHigDg/wDhaOp/9CRqn/f5KX/haWp/9CRqn/f5K6i912ys&#10;bpbeVm3nBOB0FWYL+C4maOI7iACCB2oFc47/AIWjqf8A0JGqf9/ko/4Wjqf/AEJGqf8Af5K7uigD&#10;hP8AhaOp/wDQkap/3+Sj/haOp/8AQkap/wB/kru6KAOE/wCFo6n/ANCRqn/f5KP+Fo6n/wBCRqn/&#10;AH+Su7ooA4T/AIWjqf8A0JGqf9/ko/4Wjqf/AEJGqf8Af5K7uigDhP8AhaOp/wDQkap/3+Sj/haO&#10;p/8AQkap/wB/kru6KAOCPxQ1Mn/kSNVH0mT/AAq/4c+I51vxPFodzoN3p08kTSqZpFIIAz0Fdbye&#10;+PpXAzDHx10o/wDThKP/AB0UAem0UUUhmZ4g/wCRa1Tv/okv/oBryzwDI8Pg6weIEsozjPavU/EP&#10;/It6p/15y/8AoBryzwEQvguxY8YXrVRgp7mNaTjqjs5vECbFWGMu7D5s9q0LWc3NtDKy7SwyRWPa&#10;wpf3MedxQdTW9hVXYBxXm4qMYuyNKDbV2Cn2p4pi+lOrjibjgaXdzTc0GtOYVhxakNKtDVT11CxB&#10;cM0dtK8YXeFJBbpXMHxLdwWgZ40kcEZxkcfjXUzNGIiJCFBBBY+/Fcpqel6c1vIbm9mVYQA/PFXB&#10;oTNHRNe/tXT5piuxozyKl1DVpbaySWJfvHvWZoFpbW+m3KWk7mGQ8uynNacgsrq2jiWZhs+RTnGf&#10;WmTYhv8AVrmDS0u49jNjOBVTQ9W1CbUmtrsLyNwq7Na6Z+5jacCNedhYfMang0q0hvzcwuAxXO0V&#10;MnoUtB2txPNpshinaFk+cuvYDtVG11+IxWqTRSJLL8qDHUDv+lauo/ajZuLJYzMegfpVKWe6gFpH&#10;PZrJMT87p0SsLIo2EOcEdCKVuAaZGcgt046U9uUJ9quD0AZBzCv0p5HFR24/cJ9KloYFG/ikeIPH&#10;y8Z3ge1Q3MNtrVsF3FcHPuDWkwJ6HDdjWffILe4iuolw24K/vniiNgZh3+mzWF/aXCOfIiOMZ61e&#10;dGvbT7WFAfOcDvWhrEImsHTG7jPFZum6jZ2tiIXLrt4PHWrsZNDkvo44GEEZDFfnNZrqtxbybFxO&#10;DnK/eIrobUWtxGJYowAc8lcGsK9C2+sAxLlf4sUhNGloEiBJbVWPynftPYH/APVW1jHAzisKBUtr&#10;qG/jjKxy/I/zjp24/Gt/gACnbqXFlXUMfYZO/GaihKrbROSFVUGSatTRedC8ecbhXIalPJ9oj0yW&#10;QoQcAKcZXtWU1ctOxu/2pZOroLlBwRn1qvpLWt1ay2nys0TFd/c+hrPTwnpix7vMJXqNxzj1q5DZ&#10;x6dexXEEhMEx2nHp2pR7A9S/bXLw6fKx+/CSF/DpQlncSoJmu5lZvmCgDFV9Vc2yz54WVC4b0I7f&#10;rWvCd0KNjGQDj0qmrO6AoyW9067ZHhk/3wQf0qsbSZCALQMP9ljz+ZraoC5YDrxxQqkhWMWViY1X&#10;+z5IyvQZH+NUDLfiQxmwk2Bgd2R/jW9cX8Fs4V97PjnYpbH5U+3vILo4jkBf+4w2t+tDld6isUU1&#10;J4oQrW8in1I4/SoPtyrPvQqXbqBn+tbmO3pVO5023uCWKlJD0deooW4CXKm7tEKgFs8rVl4xJbGI&#10;cArWOBJp0uJ3QA9JAOv1q9cXM0dvugXfIOvcVdkFinJHPayxR7jsHOa1omEsRJTAYYwe9ZFvcTXV&#10;wjXSLtHYdqtXV80UwihXI96dkK4r21xZEyWv7yPvCe30qW2v4bj5clJO6t1FSNexx2yzSnGRgcVm&#10;311aXpKQwyTTr0df4TUzjoNGwOeM5IoHtgVBaGb7NGJv9aBhvXNWAeKw6lBu5xxzVLU1H2USE/NE&#10;27cfarbOEUueB3PtWVcanBPZyQokpZ1whEZIx25rWm3zEtG7E/mQROB95c0Dp6VDZBhYQq/DKvSp&#10;8V3P3lcQUUUVD0HcKPxx70ClpqwXGkbhjbxnH1rLE7pdvHFHtAONp71rdqqXMf7xJQqlQDv3HFUk&#10;hEkFwJhtK4Ze3pVjtVCzTbM3qRkYPAFXcgUWELQelFL+GaBnOa9bma/t23bQqtjPTPFU7O0luci2&#10;i4HWU966LUFtDAGvApjBAANFpeWksfl27oABgKK6I1HGNkc8qSlK7MyfSbmGEyJMshC8rismR/3S&#10;scKehBrsZ1Jt5ByCUI/SuOfDxjnkEj9a6sPUbZzYikoohJj2gMV9qfEm5uOfoav6Hp1vePcS3May&#10;GNtgDDt/k1pyeH7JmEkQkhzwfLOBV1MTyuxlTwvMrmZpunrfXM/mysFjA+Ud+ldNHEkMSxRr8qjA&#10;FR2dlFZxFYgTnqWapHkjiXLsuf8AeriqT5j0adNRQuSep59KM0xZY3ICSKfbdVSe6ljmKKny+p6V&#10;xy3NrkU0c0VwWMzeUTkHsKmWGaUl5Z124+XbTknORHcKoDY2kMMGqTwStePCCI1JyAG4IqokmjbJ&#10;Cksgjfe+Bk+1Q3unC4JmicxTD7uP4qktLQWxLNt3nj5OP0q0fftWj1QGVbTmRVt7kBw3BJ6g08xv&#10;ZKwLCW2zynpS6hbIHE+3K/xfMF+lVoZLhtqSyf6PKdoIbcc/Ws7gWVswwjY3DGJW3BcDirc0yxxS&#10;S/exk9eorPia4miltkRY0Rtp3dxUr6UvkmBZXEeOg6ZFJsHsVUvZYppJ55R5ezIHYelY6xm5JuJU&#10;JeT07UXBmGp/YJ9oiVNyoOA1SoJbmU29suMfec/dFdFOKSuclScm0kdRpahNOiAzgDvV2qlhALez&#10;jjD7yOretWxW6d0bwVlqFFFFBQ2nUUUAFFFB6UAVr/P9nzY5OwmuYg01ow1wjoHMecfjXWTRiaJo&#10;myAwx8tUho9uIBC5kIwRyaBWJ7A/8S+DPPyjOKs9/aoreFbe3SJAdqKFGamoGcf4p09pr6BoSQz8&#10;N7irmg2klnePHICrFAcH0rdltoZJ0mdTvjztI9+KSK0SKd5vmMj4zQKxYooooGFFFFABRRRQAUUU&#10;UAFFFFABXAz/APJdNK/68Zv/AEEV31cDP/yXTSv+vGb/ANBFAHplFFFIZmeIf+Ra1T/rzl/9ANeV&#10;+BgD4FsSw+QYLfSvVPEP/Itap/15y/8AoBrzDwDtXwJaBucp0HWnexlUV0eh26RxQqIUCqyjp604&#10;1FZqy2kKsecVPivIqtubN6a90aq4704mikastiwzS0007OBmpincQ9aazfnUN1cm3Cqoy7cAVAJN&#10;QX5m8kj+7g1u3ZDDU4ZZ7YCHBcEHae/NYN5o99fQXatbBGlIONxI4zW99skVv3lmyDuyMKltr23m&#10;bAO1v+mgxSgSzEstK1COzMEuIxjA29qH067gsUW3i8yXfks3pxXTdfyzSNxn1rZsSOJ1LSLqcRzm&#10;GRZNjAxoMjOa6CwglE5lMZRBEFwx75rVDNnvzimgAHkHGcnNYzdyhoJwcd6CM9e1OHT1ozWRQij5&#10;ifWlYfLj1oB5pW5q4aIRDbn9yn5VNmoLXmBfrVgCmveAQ1Tv4nltSF5ZSGA+lXSKbUtWYGHqF3K0&#10;Ec9u+EA2yA9jTINPtZNP89mO8jJI9atahbCGJpY03Rg5dP71UPtCx2Zt4Byx59q1Wxm9yTT5JwrR&#10;E5jwcE8UyaJ4h5jqI2HQv1alY3GmqkiHcrLyCKp/apJJfOuELIexOcUWEycXE91avEflOTtAUY45&#10;Fb+nztcafE7YLAbTj1HFYbxHymkspHZiCdo7Vo218yWaLFZyfKuWzxz3qraDiabcdjmud1jR7bUN&#10;ZtZp2ZQARuU454wK3I7uNrUTsPLU9iap3V3Y3MBTzGB/gO05zWco6FlRtEK2zwx3LgnjJOcCpBpz&#10;2+ji380u0RDBiOTjnH6VdtC72aNIeasYx1GQRXMpWYyuFh1K0TzFDqR8w9DVpRhRj0xWfpWVjuUH&#10;RJCf1NaXT6dRWl7oA6dahuLhbaFnY9Og9akZ1RC7ngVnAvfzrKw/cxH5B6mjmsBJZQFI2kmX99Ix&#10;Y+3tT57CGcZHyP8A3l4NWB6U4mo5ru47FCG5ltj9nuz944ik/vfWrL3Cq2ACQDjNV5rcXqOr9P4R&#10;6H1ptpITbiN/vRNtYevvVcwrFkwrOP3qAgngEVVaxe3BFvOyg/wHnP41deT5VGep4NOEYUZJ3VSb&#10;CxhRxailz/qYtvYlj/hT2+1srGe2U4/iiOcVrMRMcIMAdTSsoiwyk7ehAq4slxMl7pZLABudvQFR&#10;UelOP7TIAIWVNxGMcjir95pEF58wZ4W/vRnmpbPTYbMZDySP0DSEZ/SrnJcokizkkKD1706k6Dnq&#10;KWuRvUtDXAZSrfdPFZsRuNNHkvbtLEDlHUc/StTGff2penJz9K0jKzGyCHVrZ2xI/lP02vxV1H3K&#10;CCDnoaqyQQzL+8jB9xVFgdLmEsQJtm4deu33rrhWvoQzazkHr6Y96TFNjkSVQ8bbkI4b1p9abiCi&#10;iikkAVHNCs0TRv8AdPpUlFWtAKu0WsBweAMZxzUsDh4gzcZGaeygggjNZbiSKSUsxwB8oFJsDV5U&#10;YoY9fQDOaitXaSBGbOSO9Z+szMIooFbaZM8/SqjqxSlZFbW9QspLFxHcxtJGQ4j6kkdqzEm2GO5S&#10;MrIvLKB1qRRHF8pQsByc96awL/MoIBr0KdJJanm1KzT0NV/EMJt/kiladgflxwKwkVzHtGSxJYns&#10;MnNTxoygntSF9koSKJpncZIHatYxjS1M5VJVVYl0y8fT7sF8GKU4Y+h9a6sEE5B7etcpHFNdARRw&#10;kMx5LDAAHOa6iFPLhjTsowDXDiXFyujvw6ko2ZJ0qrOg+2Rl9pQ9iKt9qr3CJKMbl8wfd5rBtdDo&#10;1GyWcL8hdmehU4qJrSfZ5Yl3Ke5HIqQTvGdk4wR3FWAQcY5HasXuBXFsIrMQn94Rk89apROn2MLO&#10;shkBOMDkc1qg7TkDBFJvUHkqMdaoZQgkuVlRVR2hbqXGCPxrS24701WGDg/KehyCKfTuIhngWeB4&#10;n5DCsuOymikwsecdDuOPyrZJwM0h7HNZ3AhtrcQKTuLM3JJqbHPuTmlpD0461UdQZl6xY2c1u1xc&#10;krsHMi8GsXR7O8v7bejGC3z8i92+prX8TRmTQpkU8HrVrSXR9LtWQAgR8j0Nac1lYlQW5ds4mhtk&#10;jcAEDsc1YpqcKAOnWnV1Q+EGFFFFUIKKKKACiiigA7UmPc0tFACY570tFFAB147UdyfWiigAoooo&#10;AKKKKACiiigAooooAKKKKACuBn/5LppX/XjN/wCgiu+rgZ/+S6aV/wBeM3/oIoA9MooopDMvxD/y&#10;LOqY6/Y5f/QDXCfDG3gbwTp8nytKF5z2ru9f/wCRb1Tt/okv/oBry7wCxTwfYNG53Y4A6Gs5xUoa&#10;kyk09D0rac9MH2pSDSRk+TGWOCRzS5rzWrG0dg6Uh6UtLjis5K4yMkIhc/cGCaqnU4F4CSuM44TI&#10;qxcx+bbSICfnUjPvVezkWW3HADKNrcd6OblQkhkKyPcNcuPZQeMCrmeKhdxFEZGOdoz9arJc37oH&#10;FnlD055xWKvMounBOO9QzWyXAw65PZvSofPv3OEtAvu5qT7DeSgGaYRg9krSNOW4rkmmu0lku88r&#10;kfrVotkk0yOJYIRGn50vfNaOVhD6Q0DpQaT2GIKU0nakJqADPNB5FN707PympSuwIrQZgU+9Wgpq&#10;tZH/AEYfWrGfeuiKSACMGmYPan9aQ9ackmIaYwwZT909awbnTmjnZYidp+ZcCuhxVTUCIxFKB8yN&#10;zj0qorQTMa61F9iW0cZbP3i6etMmiFvsTycSS9854+lalxaeZfJMIzjjntVHULgvc4WNgYT96k1q&#10;Sx2lmNNSmjQNjAJ4x1rRv7hxtt4hmWU4HsO9UdPMt2/2iLCZ79jT71Lm3kaVSpLLt3jqn0oQIzr+&#10;4CyrFGd6Wh6f3z3/AJ1q2VxaahGJIkTgcpj5gapzRQm3R4EyR94miVUhEU8GYp8dB0NRON9Bpm0F&#10;4zggds0hOFLHoKz01QBcyxMpHUjoaSO8fUoikELohO1nfHFYKlZl8xLpKkwzSdN0jflk1oY49AO/&#10;pRHEIogi9AADjv70p5/w9avl6CM27Zru6NogOxcGU+g9Ktr5aKFDAKOKzL5xBdF4LoI8hwykccVJ&#10;ZTPNKY5Iw4/vr0/WlKCGXzKB8qrn3pqSHdtYYNKGRPlA59qWVCycdfWshjT+7k3Y+UmqEhNpqvzf&#10;6m4G3d6Ht/OtBf3sRXvWcxbUbtYBwkDAufeqSAuyKwwv8Ofl9zUd9HILTIZ+CMFeuM8/pUwBf5M4&#10;2/dJp+ZVA37cHrVx3EyvFaxsiyW80gx0ycj8agmublJ8TRFlH8SCpJ7Qwyi4tZChJ+aPsaeb6U8C&#10;H9+v3gehHtW1rktkSapAjhZWkQHoXTFaSsrKCuGU9CDmuOvrk6hOP3bZVsbRWjY3E9kyN96E9VJ5&#10;FHs0yVPU6AAEZ5NBWlSSORA8bqVPanHnuB9azlTsXcaopaT6HNGai1hi0hUMCGGVPBzS0ex5HpTT&#10;sBnGOTTJw8ZLW7H5l/u+9aqMHiDDnd0qMhWTawytUlabT5TuzJA3THVa6KcyWjU7dc0VHHKjxh1Y&#10;FfX0pyurH5SGHqK6FYQ6iiikAVDJCr8k4IqakwDSaAqCdkcYO7acEDrS3lil5EEfK4OQw6ilmg2k&#10;yxjD5yQO9SxSiZSynJ7g9qa0Fuc/e6bPbRs6P5sY6E/e96rxk7QccV1hXchB5+XuOtcrGMGaNQR5&#10;T4we/f8ArXoUat9Dir0rK45lIUufuqMmr+i2spd75lChxiNPas95cK6OjfMMAepNdFZRvFZQRyH5&#10;sflRiJphhoJEx4bHfH4VXub1LMLvU8/3RkVJOC1s4BwcdqoJHMLYIoWQHHL9a4JM7iyl/ayYXzeX&#10;7HiqqWytezR7jjGQ47VXurSe3aJ4QrPnoRwKnMl2GLorbiMuABtJoSAna1uXiaPzQ6EdT1qzBEIY&#10;VjBLbR/FT497xI0i7WI5HpTup5OSKlgY2v6hLYWYMDKJ3PG7kVi2+h6zexNO9+6iY7gA3t6Vp+J9&#10;BfX7aCNZDEUc85xx+FQ6dDrFrqkFtIc2cKbA3rRcRraTaz2mnR29w2WQAbvXFaIpOxPocA0uKGxo&#10;KKKKmwwpDyMZpaMc/wBKuEQbKGrj/iVz8ZwtRaOFFuUj+6G/pRr9yttpUit9+QbVXvmjRYHh06MS&#10;DEj/ADEelE1ZiNhPuCn0yP7op9dkPgJEI5AHU9cVVkvo45GiEcjFf7ozVk8A7Tg9qz7cv50+7JOe&#10;oqakmtgRKNQXOPJlz/u08Xg3r8j5YheVrItkvJrx/NaSMg/LgDBFaVzkRjD85GMetZwqNjLwwST2&#10;7DGKAQTu6Dv9a51bfVFjVQ5/1uc+1Ai1ET3eZXMZUheO9b7ks6IHkj170oqjpYlSwRJixk7lqvCm&#10;AUUUUAFB4FFITxQAvcDGTVO4vDDL5QjznvVotjJHpWUN0lz83JOeaAtdk5vzjJT260ragyAEwnbn&#10;Gax2sLuPfg7lLdz0rQeJmUBh05xnvQaOKNRXGBz1HPNAYHjv9awJ9LvZ7WcJIyF+Rg9KktLC6TyW&#10;lkfKAgj14oM2bm8dc/U5oLL91SMkZ61gyaXeyWMsIkId2yDnpSR6XfrKsjSZwQCM9sUAb5YZ4ZQu&#10;eCTRnvxn2rm5dJvZNPjhWZg6Sbt2eSOK37cOsaRsPmUYJoAnGO1cDP8A8l00r/rxm/8AQRXejpXB&#10;T/8AJdNK/wCvGb/0EUAemUUUUhmZ4hx/wjWqf9ekv/oBrhPhnBD/AMIPp8gjBbbXdeIP+Rb1TH/P&#10;pL/6Aa4n4ZlU8B6eWIUbevpWVZSatET0V2dhzjkcdqKpy6rbxsVjJkI7jpUUWrNMf3cAlHqjVxOl&#10;JLUuMkaNKKhju0nOzaySejDFPLBBkkADuaztYsUkDOOnUfWsm1YCe6YHbG0nGeh4pL++aWCXyPmg&#10;HWQcbm9BWLc2N5qyjbOYvs5wVQ4BJGe31rGaGdHPsuLNgjDJU4OeKZaapCbYJK2yRBt4HHFZMOhT&#10;yQKst0yMqbNqucfWr2l6fJYq0MyiWPs7daUHygy4NUWQ/uYJZPXIIFTWt9FcOY9jRyY+6w/lT1wo&#10;woxgcYqlfqIXhuskeW4Vj6A9a1jWFY0SaMcUmQ6K4+6RlfenA5XJ6nrUy3AAaDSUckUXAO1IaUCj&#10;FKzAZ3oJ+U08imsPkaos7jIrI/6Mv1qxVaw/49R9atVqriYDrQaMZo9sVQgBpsiLKjIwyD1p3Sj8&#10;KpOwWM15ZLKJoZA4H8DjnA7VkpMW86MEs7n734V0zYKkHBHuKpTadbE+YFKkDkrxTumJoqWLmxsv&#10;JYgk85bgCr7zRPbbpQAuM4z1rCuZ4lgcOhKq4AyeTzViAreXCRgFVUDCg54xSaJ2LmnxiRZGAxGe&#10;gqnMgFwUYoSv3c1a+3RWsjQJFIXHQAdahit5riR7h4dmSeGHpST1AkliNvbEFgWYZ2jtSaKCbi4l&#10;jGIuFGPXuapzTgskR3NczttA9B/kVswJJawJEsQCZ4x1/GruNIudqqX85t7N5FIBAxmnuZVO8sAO&#10;4qreD7eiwIRtB3N+FYyepaG2NnFHapI0YZ3XczOMkH6VPgtkZCr6AYqSKTcgAAyOtI6jdvbk/wB2&#10;spO4Ea8LtiXAHUmpkYFMZy1RnnBb5B2Ao82OKM4BHvU2GG7ypht/iPNUGWbTbmR/JMkEjF8jqM1o&#10;pGrxqTznvSEsh2sSyNxVoLlNNVgWUDbKhbpuQ4qWe4cRPIoGAeBUpWMoY5lD5+7msqWFraXyXdlt&#10;JBw7HJB7D88VaQmWGv5JHSN4ldDgsAecVU1G/ikljhhWZZ0PC7TjHucVMsMdujxTbop9uVc9GFMs&#10;7Zbi58yXfjHXcea2urGeo61ssJJO0KAbcqcc1QUr5plKfMDzg9a3rq6jtlA2ghv4c5rKexP7y5D4&#10;XqFqbtkt2L+PJgF5ASgx80ZFOg1q3lXLRyg+oQmmW9yl3bmNhtCjk5qAKlxm2tpBjP3wcYqSos1I&#10;bxLjOxiceowamPtWbBH9kvQsrZzHtDnoef51pchRxWM00aLUUGlzSUCpixi0Y+9k4BHSlFB6VonY&#10;Rlx214N9vhVhZtxYN29KmVRY3ce0EQyfL17+pq5x0NNdFkGH/A1pGtYVi2MFc0mcVR+zOePtLgdh&#10;tpu+7tTnHmx+45reNVMVjRoqGCdbhBIn0INTVruIQjjI47VRBNkzAgEHnOeav9jVe4tVucFs8ccU&#10;ICSKZZo1ZRj1rNuNIke6aW2nEYkOXDDP5elWLeM2RML5MZ5Dk1dByMjmri+V3E0mrMpWulQ2ziZt&#10;0sv95znFXM4zk8n9KU+oNU722a5jG0uGXkhTjNE5czFFKKGS3nmeZHCrbhweOtJb291HIj7xtK8i&#10;oVVYSLiMkzfdWInv71btp5jK0VwgSQc4HvWTGWx07HPXilHA2qaAeKKtbDE75wc0d6DRUO4CEEdO&#10;p9aOccU6iiwxCOAo6daXIopuRnGefpRYQtFGPYmjr2IpoLgBkdKy3uLm5vnit2EaxcM2M59h71q5&#10;BU9elZDC50yeeYJ5kEjF2x1BPpV7IGU5dOFzrqJO7zLAm9t5yN3GOK3h7DoOMVk6ZMlxqF5Muckp&#10;1+lTalq8Gnx43Fphwsa9awu5SsTdLc2I/uDntT6qadPJcWUckqBC3YVa3DHoK9GOkbCTuI4yp9qp&#10;pa7maRZHXd1ANXSflNRQf6v8TSauBEbSQrgzybfUNzR9kJcb5pWAYH5mzVoUtCjYdxvfOeCaUDk4&#10;6UtFUITnB55FA6UtFABRRR2oAKgnkKQu64yBT5QxjYA4ODtPvWPYwXdtY3C3bFyzkjPpQBZvru5t&#10;3tlgTIk+8fSpYbeOVC5BDBj0q1tDRLkdFqOzOYTx/EaAF+zR5wd350n2SPJxnP1qxRQA3ptxkYFK&#10;evPQ0tFACAHPPJpOx9xinUUANxz7Uc9ulOooAQDAxXBT/wDJdNK/68Zv/QRXfVwM/wDyXTSv+vGb&#10;/wBBFAHplFFFIZl+IMDw3qn/AF5y/wDoBryXwNbmfwbYiSSQpt+5nivW/EH/ACLWqf8AXnL/AOgG&#10;vM/h1bS3Xg2wUDZHt5ajmUFdmVWMpKyNS3tFkby7WDCjq2TitH7ONMUXV1KiIpx8mcGtiCFLdQkQ&#10;2jv71W1SxXUbcREBwjbgp6Vw1cUpuyKp0XFaj4CbmUXe3am35ff3NRzE3UgiRj5fVmHf2pFS7njE&#10;JCwxABSFParJ8i0jC5CBfu5PWuSc+x0bFTVbbzdLliQiPAyG7D0rG0qzvIgBJqAJbmQ4xk9u3pit&#10;qeYX8ZggjZgeGZhxV37HCyqHijYAY+70qIK+4jBsW1IanME/eRsOM9K2LeZp4mDr8ynaVHrVtIki&#10;GIwFHsMVVmtJBO0ltIIwwywIyc/WtHT0GTbsHbkDHvSStE6FJdpU9cmoV0uMIPMZ2fud1H9mW2cs&#10;HP41moWYDNOLZnj3lo0bCE1eBPQ01YVij8tFAXrxTiO/rRJgFPXpUecU9WqosBTRRmkNVcAI4pOo&#10;xjg9/SlJGKrXNyIYwipvlc4VR3paXFcpWOogW/MEgQE5ftTv7dtpJRFbq0rkHGPalgWWHQ2Vj8wU&#10;kgcgVjaUtm1w063CqI1XcynjJ61pYlvU3t2ov0WJPQNmhLyaBwl2gCn+NelXFKyKD95ccHNJLGsi&#10;eXINyHjBpFIeTnG3oeQe1J2rPkjmsY2kjkLwIfut1FaQZWUHpkU7XAQDNG3OQeh7U8Yo704wBmNc&#10;2ctm7Sx4kgc/MhFXLBreeAyRxhAh+YH1qe6UyWssakBivB96xIXuHtBapgOD8zDvVtWJJtVQW5S7&#10;iVTzyali1TdbGWZcJ6etQOjS6Y0ecsprNiiaVkjkySDjbmsXuJjoraXUbhry3kaPyjlc1v2V2ZrV&#10;XfHmkfMF9aqtItnblYogoPBqC1mm0+LDIrxE5yvLCi+o0zXZXlHzHauOlVoJQJGhIAI6H1qeOQXM&#10;YZWwvWq10I0uYHQHO75vpilJXLRKV8tt4GFJ5xTjMvXBPvT2+ZGI5BqOHhMYHPrWGzARSWcO4yp/&#10;SqepalFaCOMxl2c9B6VeV0SVkJxXP63dJHqsSGNipAUMozjPWtErq4Ea6pfDUUHkOsI+7kcGll1f&#10;UfMXzIBGgb5jg8VpJqcD25mbcyJjA29K0kMN3GH2B0fs4xmhbgLDtlgicjlhwTSzQRyxGJgCjDGf&#10;epANqgKBgdB6Vm6rqD26rDCcSSchsdKuMeZkylyoSP5G+xXY3gj92T3FMSxaykeWFQ6N1DfeWqkd&#10;1NdSC1umHmkbo5R/KtW0uGmURyArOOHz1NOrFx0JjJSRXW2tpYzKg+YDOGPSq7XM0qCE+UFPGRmr&#10;GoxFIjPDkFT+8C/xVWS0VwlzAx8rqyAZwaUXoJxLkelwrEPly7deeKPI0+2JZWAdfvAd6Li+jjgV&#10;48FscLnnNU9OsxdzPcXGM55UGqitR9CG41GSedQ6/wCjhuM9vetCKd7dlEjb4m/1b/40anp/mQp5&#10;ICleo9qp2rmON7dleRW6Aj7tOcEwTN0EH344IpV6DPWqllIWjMRBDp2PXFWxjtXM1ZmiHdjSE8Uu&#10;RSYp9AGkGgU0SZYj0p5qFa4DhTJd4jYoMtggfWng8UA/MAGwTWqaBlfTGQwFcHeD82fWr9ULLD3M&#10;8wyFJ2fj61fruivdIYncHPFIzBeWOB7ml7HHXNZ9zJF57+cxKKOmMg00wLv7qZSjYK1Tid7a4cNu&#10;8rPymi3S2u0zbs64OOOKlaN4kOH8wdgwyarcRMsquMq4pxI6njA5rDkeRGLBtj9gq1JDqV5GwWSF&#10;XAH3xzSaAnS60+eckr88bdCCOaZLdxi73W53N0IwcGo/Otr2QYHlSHjleDUvlSRD7KAu778bKMDi&#10;oaA0IJxOm5eD0INKZ40O0yLuI4Gahs4nQvI/DyNnHpxis27ihjvXF0jeXKcpLnGz2rRaIDc5wD1z&#10;R06isiK8msisd0PMg/gmXnj3rWjkWVN8bh4z0IOaSauMdSE8Zo7ZqO5kENu8p6qMiqaFcJJ44huk&#10;cIPQmsa713fILWwDSyk/fA4FSNpX9oBZ7qVySfuen4Vct7OC0UxwqFPcgVlOXKBmGbUIWVZpnXP8&#10;X8Iq8jakVBWSBlPRiDzS3t1Zwwsl3MkaMMYY8mqljeQyKIbe+jeP+EZ5FQm2K6Lb3OowAF7ZJl7+&#10;WcY/M1UvNaljidEspPNYELkjGT7VelW9Q4iCS56E8YpltaeU5uZ3D3Hdj0Apyb2GtjNs0OgaO0tw&#10;3mTzNkr3yecVnpbSwzS3srI7yHcxbt9KXxDPJPqFoUjJtFJJYnOW/wA5qKGVJb+C2kbNvuJJz046&#10;GumnBJXOWpJuSR2OmyiSwjcA5IzzUtyP3DYOMc0+JVWFQgATb8oHpTbn/Ut+Fbx1N0rIkP3fwyaj&#10;t/8AUgnuTUhPBx6c1mpdzLNJEi8IR196TlyjNQGjPftVE3M+cYXNK1zMhQtgg1CrIC7mioxNHt3G&#10;RPz6Uvmx5xvXOM4zWidwJKKaJEIyGBH1pDKigksAB1OelMB9FNWRXUFSCD0Ip1ACEE/hUF180DfS&#10;pZSVicr1AqjHcPPaSb42Qj1GM0AXh/qwP9morXiE/wC8amH3B/u1mGeZPkQrjcTyKANTPFL2zWV9&#10;suFZsyxADrx0qUT3JjDbkI9loA0KKrpeQlfmmjyBk4OMU/7RF8v7xfmGV560AS0VF9pgwT5qYHU5&#10;6Un2qDeE81Nx6DPWgCaimJMkv3HVsehp9ABXAz/8l00r/rxm/wDQRXfVwM//ACXTSv8Arxm/9BFA&#10;HplFFFIZmeIf+Rb1X/r0m/8AQDXEfDP/AJELT/8Adrt/EP8AyLWq/wDXpL/6Aa4j4Z8eAtP4/hrl&#10;xV+QpHWE7VzUE1ysMSM2XLHgCp87ztH51VvomaJXj+/Gdw9xXlosQC9kxhUjXtnrT49PQPunZpD/&#10;ALfSpbeRLmFZhgg8FSeQamyAM9F9M1ogBVVflChR7UuRniq5vbVDhpVz64zU4O5Q3Y9D61T0AXNL&#10;x60ynikncAoooosAlIaXvTepP86TQARSqMVEbiFGKtImR/tDmnRzJK2EdG+jCkkrgS96Q0o5Pv8A&#10;SkY44rWwCEYU57HNUbIebLPdNyM7UH+FaByRmqAtrqJysDRiMkn5hyM1PLqJiLKI7Hyxh2Ofl+vr&#10;WbL4Z822KIUi8zkhc1radbCGLeTuc9WNXiTWq2JM2L7bbQpEYVkVBgEHrUiz3h4W2Vf941Ydtgyq&#10;ZPsagN1J/wA+7n8alyHYpzPePFcxSQ5RsBQnXkVoWu8WsYkBEmOQaqRXkvnzf6M5wRyTTvtsi4/0&#10;Vseu8VLmNIvHp1ppnUcLy1V0czn+77Z5qcKiduahT1BoCjOA0hxnooqNkjimRlABPUVKDuGQPxqM&#10;wq2WyS3qTVSncLFS4je13sozGxzUUceG+1xKjADJGec1eBMsLxN1xispIzZvtmndVz8pHSkmJode&#10;GO4iLplO5XNJpkalizAkAetWPJ+0HCsWB6nHam29oLUluA2O3aqWhNiIXKW1xlAxhZsMvoa1MRzR&#10;ZjYMR0IrIWKadxsZc5J3fjUyMmnXBVHJRuHX0PqKBplm3uU3mHeFP8St3+lSjMZKhSQehqKa1iu5&#10;RJtwF/iH3s0wm7swwk/ewjuOorKSuyyykQZi0nU9KkeCIlSY0Yj1oikSeMSRkMh4B/8ArU/AA6Ut&#10;lYCoNPtvIeARkIxzt71Zit47eJY0BCgYAPanL2p2RTWwCZxXO6sSdaCnoIRj9a6LrXPa0n/E1Rgf&#10;m8sD+ddWFV5GGJ+EqPubBBwynINbsajULRZY32TKMFqwjn8RVrTroWt3h2/dv1HvXdiqN48yOLC1&#10;bPlZpLcSwERXifKOkq9D9ahms5o2+1WE2QTl4+xq9dSiGBnZNy4zj61i/a7qFjLAh2nqnb8q86nB&#10;y1PQclHQuxhLxUkRBHKRuwRx9KaLV5VZ4GIlD/OoOMVFpWpRzrNC/wC5kD5THpUi3jW090Hj+YAM&#10;MH79NxcWJNMYbm6uLcxNECynHDVa02ERgmSEq3rnNVoLL7WGuBEsauchSeasXE0ljZqLdI3kBwQv&#10;NF2FtSe6X7NcpdKMrja/0q2uCoIrIt9UkY+VdQ4J6irbSNYjJBeE8g55qHG5aZcxSY5qot79q4gj&#10;bb3J603eq5DyuremKzcbDuToQJHFS5Hr2qihjBb99IM/lVgW/KsZpGBHQHNRZjuT9BUFzMIoyFGX&#10;cYQe9TdEAOfyqrc28puYp4sMUyApOKuEddQepcsovIsokP3h973PWp6ppdzknfakepDjA/CrSSB+&#10;nBHUGu9SXLYzaHcZ96hmgWWMg4zU3WjaPSpSGVICbeUo4CrjIK+tWgQ2MMPwpHjVxggdc1nXayQu&#10;FjEoQjgqelaJCL7wRSZz+eKz5rK5hk861cMe6GpLJrkSAZZoWGSW6irN9bNdRhY5XjYd1OM1VgKU&#10;cb3cchaBI5QflYd6bALmK7R70ngbVIHFC+fH+6luWUg4G4cGp5I7oxeWUjcEfKwrNrUZoY5Gfz9a&#10;jliSZCroCp/hNRWUc0UBSc/QnmrIz1zVdAMiSwktFJgIkiPWJz/KqJ+yRyBmE1ux6rk4H4V0eNoO&#10;0YzTSvHQZPXis2mhMx0WOcHy9QbeeFDcVU1Wa/ltBayrgBgDIvVx1wK259PtpydyYY8AgcisKeR7&#10;bWYI52LwxnIk67fc0k5BY6OFj9mjJ44wfWsPWNZSAGC2+eRuAw7VuHEkW5CNrcj/ABriri2mgeRZ&#10;YJBlywZeep9qI2k/eMq0pJe6QpaNPJ5l5IXc9j0pZLC3wSoMJHRlOKa0zKpHmcd8qciiJ7ecYBkl&#10;YdtprqbhY8+1W5oaRcX9zOLWW5/cAZz3PNb4023VjlpTz3brVTSdOeIi4nQK23aqjnA61rY465Nc&#10;NSTuenRTtqQXllFdWDWy4jA+5x0Ncs7hDNbTw+VKvIcD71dj0JPSoZrWCfHmxq5U5BIpwxFnYJUl&#10;J3JdKkeTTLd5OGKDg9elT3XMLfWnxKBEuBjApl1xbsa9GD5lcLWKMiXI1ZXUnyAm1h71FEcX8+7G&#10;MjqfatfHA+lVIrOGZd8ibmyeT9ampHmGmZwhul1HzSymPtzVu8DPAFyNxYVa+wW/9ynLZQKQQg4O&#10;awjh7O47nOxeHrplkM0/DNuXDGr0Ok3CPKxYbmj2KCx9/wDGtvHGO3pSnnnvnrXUlZENHNHRLt7e&#10;OJZtrKcn5jUkGi3UUMwa4Lb+gzmugxyD6UAAUxlaxhkt7SOGTG5R1q12pMe9LQAnUkCoLkgQPggj&#10;HapJlZoZVT7zLgHNYem215a2tx9rbcCTtyaAN0cxD/drLdcuuenIzWopHl/hVeOFJEyVBwxoBOxz&#10;19pkhnZ4pSQxHy561sInlWxRgAduBg1cNnCT80amlFnAOiCgvmuYH/CNyO07+ewEyY69KuRaQ0aW&#10;qGQkwLgE9+v+NbIGBgcCjAoIaMZtHdlmUyYDsKhHh5/tMUzTn5Otb+B3Gec0Y4I7UAZmnabJYCX9&#10;4W3NkZrTXOOcZpcck+tJgUALXAz/APJdNK/68Zv/AEEV3wrgZ/8Akumlf9eM3/oIoA9MooopDMvx&#10;Cf8AimtVJ/585f8A0A15/wDDlbmLwJp8kI8xSvKnr+Feg+Iv+RZ1X/rzl/8AQDXF/DH/AJEDTjwC&#10;FzuPascQrxKRuW17HKH3lI2ThlJ5FWfMjYfLIvoOe1VXgt5dT3LHuDx5cjpnNW/7Osz/AMshx3ya&#10;872ehVysLR1cyW03l7jkqUBBNP8AscsvNxMT7JxVW1ult2ljw7Hd8oxVv7ZIBk2cx9wR/jSUWMrX&#10;1o5EYtoo2QfeGME1PHPLDEPOt/LjXgENkUpv8fetpl+uKBqFueHXr/fU07MCzHKkyB0YEVJuA71l&#10;5hVy1vdbD/dI4p6NdvnE0GPbNKwGlketKelUPLvCv/HyB/uimfZZ2OXu5MenH+FHNYC8zKnzMwA9&#10;6ozO945jiOIu7hsZp62FuDudWdvUmrCqqjaoAFZykmBBHaQImPLDY7sM02ayjZf3YEcg5BUYFW8c&#10;UlZJjsVob6VE2XMEm5eAUGQfxpYr2SW5ELwgZ6eo+tWAB6ZzVV45La6aePEikciumE7iuX8YOKZJ&#10;IkalnOFHem28wnhV04PcGoNQ4WJf4XkANVJMm4afPDJFtR+R2q9zjFZPyobd+E2sQ2O/FaxIUAsw&#10;wRVRaaAaVx1FNJ7UebFg4bJqP95IeCAPWlKIXIoz+9n5PUURxqwLYyT1zToQElkD8lqZNEqjKkgk&#10;81hJFJiuqxMuMA59KfIcyL6U37OhI5JNIF+8vUihKyGyWRSRgHCimowGFU575pUdPL+c9OMUsnER&#10;8vGMU7aCInYJMCvUnmnz20dxGYpBnPIOO9NWGN0Axk9zSpujkCZyD0qVe4FaE3FqCjhWVehUdB70&#10;zVJ5IbQ3dum9G4Ye1aE0ZYYUgE9fcVTXTfMkPmSHyx/B2rpVhNGaLtntfMt4SpK8r3HvVmIxFGmm&#10;+Z3A4x3pjx/2SJHdS0L52sP4PrUNrMk91DD13NuJ7dKGtCFubka+XGox25FPAxjPfqT3pTzk9802&#10;RxHE7seAKxvqaFK0H+m3DrxHnAA6A1e7VV01T9hVmHzOSxq2BSabdgADFJ1rnLia8e8lK3LRKrcI&#10;nb65qzHqt1b8Tx+eP76da3eGlbQx9sk7M3BxWDq6b9Uyp5CAEfnU76/Hs/d28rt6HHFZRnkkYu5+&#10;c9a68Lh5J3Zz4mvFxshdwzyO1NaMOgGMHsaQn5wDSgnd7V6c46WZ5sZdUalvKb3SmiL/AOkRrgj6&#10;dKrxy7gOfmHDAdqrQzm2vIpl+4x2OPrWxPp6THfE5Rz6dD9a8q/saluh6STqQMmWyV3EqfeAxxxm&#10;mOUmC29yzqD0kBwyfj3FW3gvLc4kiEy+sfb86g/4+JURI2D7sHI7VcpQkripc6dmPsru5SQwJtlA&#10;+5Kx+V/xqSzivbeeWW6t/vHIEZ3Zq3bwRyS3FqB8kbDY47cCrgk8qSOFlLLjG6uOpJI7bGVZXMck&#10;0tzNG6scjY4xipbW4n1K42vFiNeRVy/svtUR8smKVehTHP51nxm5gcGORmkAw6OB+fFRFpitYs3h&#10;axljMYwpbk9MVbhkWXBcKc+o5qpvlu4wkipjd0B5FWRbwW3zFwjY7mndBdla5lcSkQhWQ8FSKmij&#10;lU/uZdpI5Vqq2MSm7kfeGTOeTU18T5ylCF9cGiyYXZZ3TwzRq8gbcT2q1g5zx+VVYMTyiU9EGB9a&#10;tZzz680rDQEd8Y9ap2kyreXCSEgl8Ju7/Sr4Pviq17bxy27FiMoNwfpzW0EJtFul61Ss7yOWzjZ5&#10;UDdDk8cUs2qWUPBnRj/dUGuhQZLnFFzjPWkyDnBx2PesSXX2LEQWxYf3mPFUH1fUblWWMQxgHGVz&#10;mnySM3XijpLUgoShJXcetTb1BJzxXHp9rEQVr2ReTkLik2LnLbyf7zN/hWipdzJ4mPQ6m5aKSFtx&#10;RioJ57cU20ljW0i3MCSo/i5rkLtSIdqjJc4JyalhtUjiVVBbAx940OjcX1k7MOpIw2f1qTHOO9cW&#10;8YOApdCPRqcrXCx/8fs6jsOP8KFRaGsUup1NzfW1oMTzKhPQE0xr2EWklzHIjIq/ezxXMnGNzEyS&#10;f3m6mqt3PbWiszK7Y6oh4olTXUFiL7G7al9TXzRf5YjOyM4wPwptzAtvGttCPOnuDjL88eufwrJ0&#10;q4i+0C9CeUkakLGerGt/Tbd2zd3LbppOcn+BfQVyystLm8HdXZctYfs9tHbgkqibST14pw5GQob6&#10;8Vy2uX11Nqf2K3uDDDGoJI6nP/6qqWtxfQyGBbpmLuFO70NS6TtzE+1Tlyo6uYWEZxN9nDHkhlHN&#10;Vl0/TZ5N9vIFP/TJsfyq1BYwRRhQm71Lck0slhbSDiLafUHFQpG/KiH+yYyeJrg+pErCmiM2txHH&#10;DK7oT8wc5I+tP+wKB/x8S7f7pxUkUMUPKqM+vOaidRJDRYPXBOaTNN+9QOtcyl71yrWRdi/1Q+lM&#10;uv8Aj2f8KfF/qh9KZdf8ez/h/Ovdo/Bcxe5Keg+lRWv+q/4Ef51IWHl9OcVFZ/6jr/Ef51drK4ix&#10;RSZoz60XQC0UgpaACiiigAooooAQjnJqrclJbRypyAexqeVd8bqv3mUgH6isPTNKn0yG6M0zSeYc&#10;gHtQBuZxFx6VHaMTE3+8akUZjH+7TLb5Yz16mgGTZpaT6Gjp96gBaKBRQMKQkDqaWmsMkUCHUUdc&#10;UUAFcDP/AMl00r/rxm/9BFd9XAz/APJdNK/68Zv/AEEUAemUUUUhmZ4i/wCRZ1X/AK85f/QDXCfD&#10;ld/gTSoz91lOR+Vd34h/5FrVf+vOX/0A1wnwzO7wTpY9FOf0rGt8I0dlHEkQwiAfQU9s8HvTuM00&#10;nIriadi0RgEHPent8wyeaMgctwBVdr60DYMyis1GT2BtLcm6dOKUgOuG5HvTVYOu5SCPUU8DjPrU&#10;2kO6IWtoGPzQofqKibT7dshVMQ/2TirRppAqW2twKnk3EPMbiVR/Cev50sd5FI2xsxyejVbUEnGM&#10;U2e2jnXEkYPv0pqNwExnn5fxNAPsR9ag+yzW4zBJuX+44/rSC7QHbOjRn/aqZU7AiwSBjnrQKQMG&#10;GRgjsad0rHVMYZwKq3guNii37/ex1q3jIzQOe/5VqtCWUoblbaMRtBIo7sTU16y3GntJEQ2zn3FW&#10;ThuSAV9CKozWAIcxuyBuo7Vq6ulgSIoxHNaDeevT2NNW9KzpHc8J0WQDiprKGNLfA5IPOadMInAB&#10;UMB1HpWEZWY7FsRx8MoHNLI2wqVXK9yKylhnjYPauxX+7JUrassR2XFu6N7fdNdKqJk2LLrJMwZR&#10;txQP3gKM3K96bFc/aV3wuMDtT4c73LAZJ6VnJFIZIJEAIcUsf7uXlj81STcxkDrTHyY0bHI61DYy&#10;tfzi12yCPzCcAAGsxLu/lumeKL/RsgD696sa7NNBbQzwx78E5Ud81X07U3jWCJoSglY7s9uaIsQl&#10;02rQyEw42lzgAdsVq6U809uJbgESAc1bSLbgkknripACBhQAKtPUB3XmjFKORRir8xMYyJNG8cgD&#10;I4wVPQ1kHTjZXEBi+6HJP0xWwcntUdwSYt+3le1PmurBYfxgMOhqjqRLRpAD/rZAtXIzlAf7w6el&#10;VboZvLMnoGyPrzUJagXAAoCqMDgChnWNGdjgKCTTiepx3rL1uVlsxEvBlcJn2q4p85M3aJmSMZ7m&#10;a5Awsh4pS2Plz+VOHC7f4R0FRPjzMLyPWvZitEeRJ3bFYMwx2qMptycVMWwtQlsnjmtoqxm9SPAJ&#10;p4IDY7UuMrwOaaBlutDdyeWwroGRkB6jitzS5Wa0RXOWXg1iHAX6HrTo7qW2nE0fKD7y/wBa4sXR&#10;5lodeHrcr1OmY/LjvVO8mMKIsSjzpCEQ47mrEc8c8SyREMGHJHaqd02NRs27Lnj3yMV4/vRlY9RW&#10;krouWtsLaHZkljyxPc0+RNykZwex9KkHAx39fWkIzTlqxorxtKshikcE4yCO9E9v5210AVsc+9Nu&#10;0YxB1Hzod3Hp6VNGdyKwPUZqVoFisLYxktFEquepxxTls0Zt858xvQ9Ksnn1peo6UtbhYqy2COP3&#10;IWNj6cCqsdhOZWEiYQfxZ61q4x2BNAyOc5rTnshWGRqscSxp0FSBh1zxTOcnpS52r24B/GhSuOxF&#10;c3sdmgZzlj0Udax7m8mu22t8sWc7RxVjVFC3sbv90rwewNVXQb+TXo4eCZw1ptFUwQKu3y1x6EUo&#10;8tBiNFHrgVJLGPLz3FUby5FlAJfLLgkAge9dqikcUpyZNLMEjdgNxx6VAs0UFs0sjADOWA6isW51&#10;i5a+8iKEiIj5uOa3Hs1ubVWjUAkd/wCtO5Fn1Kx1iy4Pm9RxxTppYrgQNFI+1j2rPbw4z7h5qqpO&#10;SPf2rYsrX7LbxQ/eZc5bFNsBVhld18yUEL6DFW32AD0puOnApPPgV9gy7/3V61MpqKKjFtjwvGQv&#10;XvTSY4mJkdVX3OCanSxvLwAHECeh61ft9FtIfncF3HO5zn9K5p4nsdEcNfcy1Sa6GbWJiDxvYYAF&#10;TSafDY6ZNv8AnmYjc2MfNnjBrWe9tIiFMyD6cfyqjqN5avaNGH81mHAXsfWuSVWUmdcaUYIsWumw&#10;rDC80MbzbR8wWrdzNFaxGSZlVVHTPWuWk12+ZEgtEAKKAXPf3rPlM9w5N5OzlTkqp6Vaot6sieIi&#10;tETyyC6up7t2ZUYgJgYJGeK1tM01pZ0uZEYRKQQHPOaj0PT3uC084/dIcxgiujAHvjsKVWraPKgp&#10;UrvmHdee9GPWgZ78miuJNtHYlqNPP19aYy54zz708imnp71jNMY3P8NKDx0/Lmql7cvbqpSMsD1I&#10;po+13SfLIka/7HNTDcb2NlG2QBiDgDJ+lU47+PULGWSJWAU45HvVm3iAtVRmLHoST1qMWsVraMka&#10;YXqefevfo/wzBln/AJZdO3WseF5WkdUkKoMng4oae+bWJIQMWuzg/nRGywTNuPBHBxSq83LoIR7x&#10;Y5hE10+8nGM5qeR5IhvEh27gOaoNbwm9Fx53fptq5PIksfloQcsOBXNBzvqBaOr2SR5adcg7SCe9&#10;P/tO0yR56AgBjk9jVNtAtJYuUJJbd1p8mhWsoclcF0C8Hpiu9bATLrNizoonQ7yQPmofWLKOV4nm&#10;G+P72OaoQeFrWLyfnbMZJz+NWDoNs1xLM2czDB9qCSxFqtrOkbRvw7bV4706z1KC9aURZ/dHa31q&#10;umiW8UUSIzDy2LCpbHS4rAyGN2/eHcaBou7hjOD6morg/uGyeSP0pzBgjhTliOKpQQzxWcsczbjk&#10;sD9e1Ay+P9UPpWbLJMsixpJtUls/hWkv+qH0rLm4uVJ+78wJoDqVnvymVNycjtmrIlkeHeJTkLnp&#10;VKfTbdjvD4Y96tqVW32BudmOlBbsWF1e1SNvMkw0aBn49qeuq2h8oCXJlG5Rjt/kVXbRre5iYtkN&#10;IgVj+FOTRoozGQf9Wm0cf59aCGPXW7CRXZJhhMbgamN/D5qxhuWXcOO1VV0OBIJYhj58ZO0VONOU&#10;TxS7s+WmzGKAETVrR4zJ5m1c45FSx6hbyXAgWTLkbhx2qq2hwND5RJ2hs8VLFpcUV2twhIZV2jPt&#10;QBeBrgZ/+S6aV/14Tf8AoIrvVBAwea4Kf/kumlf9eE3/AKCKAPTaKKKQzM8Q/wDItarj/nzl/wDQ&#10;DXn/AMMZHh8EWJdCwZeCK7/xD/yLWqf9ekv/AKAa4L4d38Fp8P8ATtzbn28IOprGqmF0jtEuFfhi&#10;ymlaVFPzFeOxrOXUVuGCzwlEPRgen1NXFtIRlid3qWbI/OuOcJWKjNPYzNXnnnspFiJRTxn1PtVI&#10;ALGVK4AUDJ71a1O8jnaK2gO5Ufc5Haq7KXJ5zjp9K68PTtHU4cRN30G208llJ58bkRjqrV0ySB1D&#10;j+IZrk7qIzWrRcjd1xWjperwFVtZpVWROAGPJFY4im09DbDVLrU3MZpoXmqp1OMSFY45JFXq6jIP&#10;rVqKaO4TMbDPp3rm5UzqJOnSl6jmmdO3NLnNF7AB4pj7WUhlBU9akxxTCMGlIClJBLa/PbEsnUx9&#10;6dDeRS/KWKOOoarfPrg+o61FJbRS/eQE+vesWhjJbyCFfmcE/wB1ajTVIXIWTememRwaatnClwfk&#10;HAzk1NLEkicoGHYEVSAebiEdZEx/vCoTfW+cb+/YZpg02GRw7RKCKmaCO3IZEUD0AquVMCpHLbOp&#10;KsN27uCDVjytkLDoeuaJLSK6R8IFYNww4NVXt9Q27fPXYPVaidNIC0spKjC4btRxGGdoxI4GTUQF&#10;5HGxKpIpHX7uKSxnEpZTw47N1qFFoLlazvEnvHuXBiH3Quea0x5rsHTbjvg1AFgWVg0KE567aigu&#10;Htp5Y0gcoT8npWykrBYuhmclGGDTCJY8rjINV/Pud+9rbgcfeqwl5ExCOxR/RqlpWAasAH3uc8kG&#10;g2UDyCQr8y9KsccjIP8AOnY6cH8qzSswAZGDThQB1FKikjGOa2UQYopT0pAc+2O1KTxWnSwhtNcb&#10;kIxnNLmjmpTswK8MrIGSVMAdDUN8pktzJF9+Mhlq46h1warqUjlKkg7uvPSjVgTxSrPEsinhhmsv&#10;WwdtsewlFSo39n3BjY/6M5+V/f0pmurnTDIOSjq4x6AGrp/ERV1iZh470gHNKEBRD6ihlAAFeytk&#10;eO1Zsa2ScdqgldIUaRyAAvOAanZSB1qOcRi3l3thNpyfetL6EmLd+Io0ZFt0d93Vip4rWt5RPErl&#10;s5HSsW3vrW3WCCaIO0rEKxHvxW0FSNRgAA9hQthExGVp2BhRnjqR601WBTAoUDv3NS1cL2FtJ30+&#10;8Vc4tpzhs/wntWxqeYrZbhRkwMH+orCvEzbxqOWMqEZ/3hXTyRbrUo3ORzXi4uCUro9bDu8SWJ/M&#10;iVx3GacelUtKcvp8QJ+Zcg/nV7muZ6nSMKhgQe4xUNqeGj7qeKnX720DNV4zs1N1Pygpn8apLQC1&#10;/DR0HSgYx70pNO1hXG9aXFGeaa80cQ3Sssa+pPep5dQuLtp2ODzVYX9sU3mVFB4G5sZp1tfWt2X+&#10;zzLLs+8VOQK0jEGxbiBbmAxSAcjg+lYUIKu8LcOhK8+3eujK8+oPORWPqsDwzm6jTcjgBsV0UKln&#10;ZnPiKel0VpB8pzzWXqgzZMm0sSQRj61qoyOuFOcjtTWtyD8wAHvXoppnntM52C6u01NLdow0bR53&#10;behrZbfkDNWvKjQ5OF9yP61E01sgLb9+0ciP5jQ5pAqblsRKDu9qld0iTdIyqKpo2o3640+0bbnm&#10;WUYA+lXLXwtLK4l1C5Zj/wA814FZSrJGkMPIzybzVroRWChYRxJK3StmDS9RsI/9H+zSDuWQ5P05&#10;rZt7WCzjCQRhFx0A6/Wpjuxxn6ZxXLOq5HbGikYyaykWY72KWJ17lSQfpimqX1eXcdy2Sn5R0LGt&#10;V4llGHXd7HmnKqoAFUIAMc8D8K57O5rbQhFjboMmJcdx3rD1yQLIlpBGEUpuc98V0ZZE+b5TjqSa&#10;w9atxKyXNowlKjDLnnH0relGxlVu4nOktb2/mKRuZsAelbej+HdsaXN2xcsN233zVWy01ry4Ui3l&#10;VM5bzOPrXXLgABei8GtatTSxhQoa3YgUIgVcKOyiilbnk9abnHzHO0dSeK8+TbZ3JW0FpKiiu4J8&#10;COZHPfBzirG3HHU+tPkYJoaarXU4gVTt3Mxwoq0ffiql9D5kG4fej+YH6VE4juRFrsgKYFU5zzUl&#10;vb/Z48Fsk1NHJ5sSSZ3ZUU7GetY8rTGW4h+7H0pt0f8ARXp8ZxGPpTLoZtn+gr3KHwGMhxUbN3G7&#10;b1plso8nkAnJ7VKB8n/AaZa8Rfia15REm1fQflSFRnkD8BT6KdrAA/GiiigAooooAKKDSUAIRk8D&#10;mo7j5YCT1xSzlvIcr97BxWXp73TafObv74Y447UAa6f6tfpUUGWVgem41Uu9XttPltredsPMMKat&#10;233Gwf4jQBL7YH5UEZxwB+FLml/E0AAooooAKKKKACiiigArgZ/+S6aV/wBeM3/oIrvq4Gf/AJLp&#10;pX/XjN/6CKAPTKKKKQzM8Qf8i1qn/XnL/wCgGvL/AIeoq+DrFsc7eteoeIP+Ra1X/rzl/wDQDXlv&#10;gAE+DLE/7NNa7mFe6Wh1GeCrcqf4ajKKw2CWUJ/cB4qXZhMtURfLYUD60nZnHGUkMVPLLBcKMYqd&#10;GjRCSeMdaqy/ap5VhtF3kjknoKIvMiV4byFo2APzY+U1LqQirFqlORN5kLPsRhvC7gD3FVzEsjM4&#10;VVkHIaprfTDf2C3L5E6tiJ/RR6/pTWjmKvDLG3ndN46GsPrEJR941dGUZaG7YOktnDIiBVdcke9J&#10;JZ5ffCxif1FS20QtraKHJwowKkOa8ucnzaHfFO2pWW6uLdgtxhlPRxV4EfeByCM1A6LIhST7pqpH&#10;LJp3yuGaDOQw6iqjK47GrTGZR1Iqk1/G6bkb8vvVJEIbhQyksx65rTRgWunHems6quSajjLLlD1U&#10;8fSlmXDKf4T1qbAMIaV1OMAd/Wp8fN0ppZEXOeKjSfL7ccGiwEkjiNMmo8PKMkYHapJEDR4PNRCU&#10;jCBfmAp2AdCT+8Gf4qfJwpJ6VWhjkfzSTg7qlT5iY2PNDAjQO4OeFPTNQ35EHlFFHnbgAR3HerAE&#10;sYKquPeobqyeZBIvMynIJpILEyLtyzYJI5qQcKRn/wCtVT7a4AEsMozwTg4pbuZhZs9uwIAPNZTi&#10;0MssyqwXcAf51GUid+iZ9ua5yy0/U7hGuHucrIvAz0q9p+k3Njf+cZi6SLggnpRYGaT2MLsW5Un0&#10;JposPSdwPrS3tw0EaFF3MWAAbp1pq3hGVuIjG2ev8NNIRJHaeWxJmdqkdJNn7uTBFCsCMo24exqO&#10;4m2Jsj5mk4+lNSdwLFvL50Wf4lODUo61DawiCEIDz/F9alra9kIM80122qWPQdaU889KrXMy7BGv&#10;zFjg47VG7BkysDyTxVK5LxMHkQMjH5WHarDMqRgAHcTip2VXXY4HI6N0rXRICg1wojMVxGGB/iHT&#10;FU7jMFnKgbzrV1IB7rn1q6+nSRNm1kAH/PJhkfhWfN9ss5C6Wh2n7+07v0FEHaVyZaqxnWlwJrRG&#10;U55xVkEkEkVjzXDWVyzJH5cLN/qscitWGZJIgyElD616tOfMjyqsGmBG7vSnawMcgyjU4YFNJU8k&#10;VstTEpzWFtJLE3lj90crVgqOv44pT7U3B71aEPGNtM6kAGlU9RStsjiLyHgD8amUlFXY0uZ2RNbw&#10;m41G2TGVXLH2wOK6Mn5STwKytGgcQG6nXbJJyF9F7CnM02o3EkMT+XAnys3972rwasnOpfoezQhy&#10;xH6SPlucfc83CH1GBV+SdU+T7zf3RUEhjsIY4oU68KvoKg+aN2SEbpm5JPapcbvQ1HzXU6REsAhY&#10;4Re9Mt7O7ExuJ51LkYx6UrafPPGrTS/OpyKsNZvIAWnYY9DiqStuTqL5s0L5mw8Z/iH8NWFZZFDK&#10;QQelZk9tNbjzY5XdR/CWqSzfZICh+SXkg9jVWTAs3TmK2lkz91CR+Vc3JY/2jC0FzdsqlhLuB6cd&#10;P1rqZoVmikj/AIXXH0Fc+nhpoUnxcF/OGNpNLlGH/CMB4khmu3kRCSpHpir2naMumO32Zgsbgbge&#10;9SWO2xsIreeYO6DJq1HdQSgbZFz6Gk2wJ+4IOAO1IwUAq2Ch6g1Xluo4jgfM3ZU6mqzo8gLXcwRO&#10;ojzgfj60JgQXNpY728sv5h6KlQjRHuMGSeRIx1VutW4pmf5LK2wh48xuBUrWNxcEC5uCVH8MXGat&#10;VJIzcIjE0+wDBPkdh6saiuoI2vre2RAsJG51A61Z/sm02ho0EbDoyHBJ96Le2eC7NxdTxn5cDtVL&#10;mkOyRdRVjAVFCoOg/wAadkDufwqs2oxIxCCZz/sAn9ah866uvlhi+zoesjDk/hT5WNXRNPfwwNsJ&#10;LSdlFQ/b5MbnsZto6njp+dWbezjt1Kjlj8xbqSaZeapbWZAnlCu38I6irUUxN23G/wBp2mwsZMZ/&#10;hwc1Er3V6CIkMEX99upHtVqD7LcILiIRsT/EOtWDyeef6U+RDTRRTS7eM5cvIx7sf8KWTTLUn7gR&#10;j/EpNU9U12OzkNtBH9ouCMhQeB71gtJqdyxae8kjJ6xxtwKuMGzKpVjFWOnjtbq3I8ufzkHGDjP6&#10;U+3vVnleNkMcinlW61zMSXcMeYNQnD9g7ZFPjmvL7ULVLuUJKj7WaJcFxgmidK0bihVTdjrCQeB9&#10;axdUvmjYxEsi5GSO/FXXaWyAYsZYScc9VFZWtosl9ayKcrtP4ntXLTjzSsbVXZFS1uLe3nLyQ3Cx&#10;NwGOMD34roYnuPLBgkSSJhkE1gHAbawzkVFDqL6VOFilUhz80THrXZUw+mhx08ReVpHTvdSRf6yB&#10;vrTGvYnRguS2Pu4qqviC0ZQZkdT/ALSFqt299aXR/dOhPpjGK4Z05I7FUg+otmjR267hjqcfj0qw&#10;cU7Hamt1rPrqWWo/9UOO1MuR/oz1JF/qx9KZc/8AHu9etSXuGUh44j/4DUduwEWCQOTTx9zHYisi&#10;RV+0DzWPlgE4FOcuURtbl/vD86Ny+o/OuXS/hk3bLd3VT1FXA6NDHKqyJISODWMa6bsBu54Pt1pM&#10;j865yWLV3DGO4OC/QHnGKmddQYuY5nXbGQA/riunpcDezxmkyK5+GLUzp6Rm5KXGclyetVJINfzM&#10;RMT0wfxoFc6ssOmaMjHWucltdUmW0PmsGDZf6cVZ022v4r+Q3D5j7UAjZ56gVHOAIWJXtmpR0oYB&#10;lIPQ0DM660m3v3t5p13NHytWrchUIJA+Y4zU4AwPQCsO5y9zGmSAS+aBpXNoOhGdw/Ol3r/eH51z&#10;F3LDbzBNrknkc1N5Qji3ZYNjPWgvkOiyM9aAQe9YMo1BpcQufKaD5SD0PFMdNTee38yZlWPqP71B&#10;m9DovT3pNwrAu01dTdNHKOSuwY6darxf2wJ7aSaR87SHCg4JzQI6fIoBB71hRJqEMVzI0kjGRgUB&#10;zwM1Ky3rajbsGYRfLuFAzZFcDP8A8l00r/rxm/8AQRXegkjJ61wU/wDyXTSv+vGb/wBBFAHplFFF&#10;IZmeIf8AkW9V/wCvOX/0A15Z4EjlfwTY+WwA28jua9T8Q/8AIt6r/wBecv8A6Aa8u8AAnwXY4x92&#10;qSuYV9InRxLGjBZ3nQH+8vH86vrpNjIiujOw9Q55qi29VzxTYrl7WXzI2+T+JK569KTXumVKpFbo&#10;3LaCO3ysSbVPXmrJVJE2sqsP9oZrPGqWy2/ntINnp3zVZNbklkPl2r+WVJRsda8r3lK0j0LprQ2Q&#10;FUcDAHG0Dio5VjKFmB+UZ4rLTUdRIR2t9iH72e1aUp3WznkZTNDWocpTgN/IpmiKmIfdVupq1a3S&#10;3KMQnzKcMp7Go9PnjNjDjptGfrTLuGSMtcwD5sfMo7j1pySa0KLDSDJVBuYdfSgRZO5zk+h6VFaT&#10;xzWysg+XHTuKkAMxwzfKO1Y6oBAkYfMcalu/FV5t9lcLcgkI3ysoFXl2hSBggelU7yMyxOnLHGQB&#10;WkWxF2QEqsq5zjNSDa6eo71nWGpQyqIJSyTAYKsMVcjIjcqTwea20sAogVTnr6DNJMU2g8bx0ApZ&#10;2KhdvekVFj5PzE9/Ss2wHo2UBPWnZAOcAccmozIqdevpSYklPPyrjpVRAZHMhaVIjuy3J9KfHG28&#10;uetJaxrH5gC9Wz9amPtTkAoORQB1xQDxSg80o7gKQCACM8c5rEdHkiuktyFyxVN3StsncCvqMZrP&#10;SG6gQRxeWyKxILCqqxTQkU7K3v4I44iUIVQDzxT7GW9e6uBOD5fQHGAKtmG6ddzSqjegHenwLchi&#10;JmQj1Uc1i4jIL3988MCkM24Nn2HNXyFKFXRWB9RUSW6rM0xJZyMc1KSBg469aqIFQ6fCOY3ZCeuG&#10;NSxWsULbhkvjGSc1NuAzimlsgGhgP6nNRyTxxRGSVtigZzTh/LrWBrd5HNOtmDlUBeTHbHQfmKqC&#10;ciWWl1F7zJh/dxDqxHJqaDyy5kt1LMeCx5FR6fYiWFJp1wpAKxDpitUfKMKABWnKlqCIEgwQ78vn&#10;NWB78/WkGD/jS1LdyrARRjilpM0WsJozdW0uK+tmYIvmKNwIFcobW6sik8TDyZBlo3PQ+1d4WyMH&#10;gE84rNk0vJk8m5ljVySU4x/Kt6dXlMp01JWOZGq28YLTBkx+Ipr63ZvErQh5QehUcVtDwvbEl2mk&#10;3ntxj+VSrCtkViuYEkhPAkA/nW31oweGRi2+oQTOIirxSHoHGCasMQD8wI/kfpV3U9Diubcva43d&#10;UKnp9KxNjKAl4ZH2/wAI4z9a2jidNTCWEd7kvmTyI8lrBuQfxucLn61Ppj2M7h7+5QToeYicAf40&#10;okkWIXDW48oDCqeg9sUkc1rOAZoHt+eN2Cv6VnOTqKyNqUIQ3Ne41CS4i2abH53ZnA+UD296mtLi&#10;1soViffGx5beOpqvG13FGPJ8uSPsAeaf/aUsZxc2pVPYVx8tjqVToieAm5uXuGU7UG1Ae/fNPtT5&#10;k8jheeMiqk+swCIiFSW+nSqkF/8AuvLhJLMTuk9PSlClKTJnUSOjznk/pVS9uzCyxouXY8CslWlh&#10;UNHM3mZyST1p+oXf7yxuIjukzyPUHiqnScdxRq82hYmvLpPlaMFX+XOO5qZIT9mGFO8crjsasyxr&#10;NHtYfKR0FUl+02T4UNNCfu89KyTaLLK6igXEyOHHUAdTSqs9z875jiPRFHzfj6UkN3DLEZSQoUkN&#10;nqDUG65v5f3LvBEvRx1aruMknkhtAIUh82duQo5/M1DGVnkeC7hSKbAIKHAq5aWEVqCc+ZI3Jkb7&#10;1Jd2puNro22ZPusabWgXGSpBY2zzoh+UcEnPNRWlmZwtzeEvI3zKD0A+lMlhvrry4Z1GwH53B4Ir&#10;WwFIGOAOKSQXGqpAwFAHp2pSf8inNwOv1qneXLK/2aDmZuPpT5QGTXjmYW9tGHm/iPZKlisgTvuD&#10;vfqc9Pyp9pbC2g2fxHl27tVgkccd8VotgQiqq52AL/uiklmWFN0jBR6twKSaaOKJnfARRuNcjqLS&#10;6vcBpCFswflj5ya1jByIqVFFG7e67YWluX+0IzAZVVPOa5u2IvXa9nQvLIeNx7UhtrZCGEC5HTOa&#10;sK23BH04rpjQscFSu5D/ADZrJ1uLXhV/1kfbFWNR8UwSWIWxO66m+XZ3T3qAOOS3T+7TMIX3KMNj&#10;qB+lN0gjXaViG1skth5jlmnb7zk9c1NkZpr5z0pF5NaKCRzzk5Ml4x056UqTm2mt5dowjcnvim4V&#10;eTUc7h4XUcDAOfxqZr3GXSbU0dcMOpyPlPY1g6zbzQ2++KPesbbwB1A71sWUnnWUMhOQ0YapcjJY&#10;denPQivIVTkmetKPPE4q+bzrB3jkZMHJI61gppLXF8k4vA0u3hCeRXdaxocd9A32djFIeSF6Njmu&#10;Zt9LC6mZy22VF2lOlelTxCmedVw7i7o1YlKxqJMMwGKa6Df5iDa6cgrxT+g+bOaaHxz2wc1tOMXE&#10;xi5KR0OnXf22wjmJyQCD9RxVlulZXh5THYSE/d3kj8zWqSMCvEq6TPYpu8S3GQsYz0xVe6mU2rGN&#10;g4zgkVI6GS1ZFOCRiqFlYyWNhMkjFizZ57V6tH4CZGmMiPnHTjFZbxO04JjZkYEHbSyXl2mqrCig&#10;QbcEkVo2/MfQdTzVSjzCMy1sorQMYbeUbjznmnyJJINiRODuXnFavOMcYpAO20D3rH6sk7gc+9lq&#10;O1kRnX96Dk+mKmt7G/XUZpJJSYyhABPfmtvB655oOen610LVWAwGtrwrFHhiofLHNbak4CkY4qQg&#10;jKg8EUY7Y/GgLCEc9adjikAxS0AAGBiiiigArMvrVzdQvHGxADZxWnSYBznt0oC9jBuLBrlkd7aQ&#10;lRxjinNBcOCot3GRitvFLgelBftDmhpupRzSSCRwjJhFz0IqSS11BhYnLEq37w569a6EDAPOeeBQ&#10;BjjqM0EvU59rPUxc3hLMUfJQZPHpWlp5uFtYluATIvUmr2TweaMUAIBjv2xilxR160tAgFcDP/yX&#10;TSv+vGb/ANBFd9XAz/8AJdNK/wCvGb/0EUAemUUUUhmZ4gH/ABTWqZ5/0OX/ANANeTeALsp4Qs1d&#10;QqheMnGa9Y8Q/wDIt6rn/n0l/wDQDXlXgCWF/CdjGSCyr0YdaaT6GFf4TqEuIJuA7D6LmlMcTZxI&#10;CfQdTQYYW+6uDSxmaDHlTKwHZlFZylNbK5zwUdyheWk8UkFyI8Rh8FB3+tbOnajGltFG8ThlTJwO&#10;lIuoyn/X26uvqnarcEsV4ZGhAA6Ekc49K82spqXM0ehTkmrDbXU4rx5I0XIQ+lWWVpBlztXHSmwW&#10;1tak+WoDHqafvWSZR1A5x61lozQqWTRRq9m3AUkg+oq/BzHnGecKD6VRugpv7fYASoO41fXgBumO&#10;lUBm2w8jULiMcKz5Aq1NH8pZTikuLNpm3xPskA+92NRR3VzGNktvvx3XvUNANm8s3cUG9kBXdhf4&#10;jSyQXNnIXh3zR9weoqtIwuJE2ROsivnc3atZpGc7V7cbhVR2AyZpYZgfNgcMfu5HINX4Fd7GMy8O&#10;o4+lWFCxnc2GPqR0ppkaQlVGFPeiySAaR5sSkdRQDK+BjAqRU2rtHSnbRWV9QESFUOW5NSkdKQdM&#10;Up+tdEdgGqV5xS1DH/rJOejVLWcgFxQOtJnPAzx1xTsdwcj1pwAKKCQKTOelWxCmkxQD65P0psk0&#10;UQJdgo9zU7gOApDVP+0o3GIcv71Vm1W5jlVVt1cH3pxiFzVpQCMnt2qpbagkw2yDy5M8A9/pVsss&#10;a7iRgc8mhxsFzK1W/MOLW3/1r9W/u1Rjs97fZ0Xc5wZnbv65P9KbAN+oT3cvK5JXPpWvpkbLZiRx&#10;88hLn8aE7CLyII41ReigAUppR0pCeRS5rsoUCn4FMB5x37U1riGNsPIqt6E1tFKwrkhFNxSNPFjJ&#10;kUfQ1BJf2sX35lH0qWuwExoqidVtuq72HsKngu4J+Uk5H8PSs2gJ6a6K6FXwwbqD0NPxn0/CnY2r&#10;0BzQlYDKbS9mVgnkjQ/wKaki0u3jYMQ8jdzI26rpKqNxbGPXpVOTVbKEkNOm705qvek9BXitzL1f&#10;Emox2+dqIm4gd6rna67SFK+h/wAKS7uvtGoSXIUhdqhQe9J33HAzzj0r1KEOWOp5VepeegvlhRlH&#10;dD28v5aX7VeKNonLj/poM0b+M5oXGDuP0NW6cXqQqkkM/eS/62SPb3CJtzUg2ogVBtA/WnRhcZwP&#10;rRIQMkUQik9Bym2tQ3hmHHGMU7TY1FwPOTdjhc9qg/gzTgzl0bdgHj6VniIXiXRnaR1AAA56dqAh&#10;47rVPT7gupifl1557ir3X6mvMadz1NHqUl0uBZ2kJJVjkIPWrjusMWXwFX07VIO46ZGM1T1DBtky&#10;cIGwfetVETEF8AcyW7oD0Yd6t74ym/eMY6k0oCtEowCuOKrDTbfcW2Hnr8xq0gHPfWqD5p0+lNj1&#10;C2dsCTZn+/3qZbWJAAI149RmnPbxyLtaNSPpTsBXurxYIiVO+Q8Kg7+9FnZiHMrHfI/JY/yqWGxt&#10;4W3JH83qTmrGKTQCYpMcn0xkU6m54YDn1PpTSC5zWsah51+llkiFOWb1PpVZiI+cdPuii4hDXc8D&#10;n51kLAn36U2ByJHhkOWTv6iu2jGx5deeoh+cnI5pNhU1JtAGaYWOeldDZzjJZUSIszkY61mXXiG0&#10;t0QIxct6GtWXZ9nl3gBStcxaTacsscU0QMjOQpPpU3GdFZ3a3cCzL0I9c1YGM1Xit0gQxwpsAPGK&#10;lZhGOT0HJoAV35ApJIvNbZ0Ujk+lUhe5O9oyqA4z61PFfQvLjJHpmk1dWC9mbGlaikMMVnN8pQBU&#10;b+9W17ggj2rmWRZGIcZGMg07S7u9hu54nzNCuCPVRivMr4fqj0qFa+h0XOcjj39Kp3enQXjBydsw&#10;6OKtQTRTqGicMM/lUdxdwW5IdwX/ALorjhzxeh1SipIy30a76Lcpj/dpY9ALMPPuiVzyqjGavrqa&#10;5HmQyRr/AHmFTtdQBA5kXaehrolOqzP2cEOSKKFRGihQo+VT3pSOBVZdRtWbbv6exqYTxN/y0UfU&#10;1g6c27s1uktC/H9wfSmXP/Hu/wCFPiIaMEHIxTbn/j3evWpL3DMXauASoLY6021z5XP94/zqT/lj&#10;x6VBFPFHGFZwpyTg9600Qi1RUH2uDvKBSi6hJx5q4pc0QJqKaHU9WA989aC4GdxAPbmqAdRSbgcY&#10;ZcZHINJvXkkjpnGelKwXHUU0SLwdwP40K4OASPfFADqKQdKWgAoopjypH95gCe1AD6KiNxEDkyAC&#10;k+0wqOZRg/xGgCaimhwRnIwB+dL6cjpnAoAWim5zz69qUZxzQAtFFFABXAz/APJdNK/68Zv/AEEV&#10;31cDP/yXTSv+vGb/ANBFAHplFFFIZl+IM/8ACN6rj/n0l/8AQDXk3gu1juvBtg24RShflk9K9Z8Q&#10;/wDIt6r/ANecv/oBryv4dojeGdLSRdwIOAemeKTbRhWjdI2Yb14HVbuJsZ2rLjg/jV/IZ+23tVjX&#10;Q0lkbKNUxJ/CByorAQTaeq+Y7SW3QOOsfsacJN3OSrDkdjXcFAdhIJ4BU8U/TZkS/kj3Y3Jn2Jqs&#10;k4cKDgqT94dxVd/9HvW4JSVwUPvms8TC8C8PN81jqogpTcevpTm2RRs+OVGRUYiIizkiXvRGRLmN&#10;2BUjDc4Oa8aPmeqNgg3w/aCcPKc49BU4kaNcMNy+tVfs8tqAbe4KqOzDeP1oFzdRx72SJ0XlsHB/&#10;LFaNroBeDqyg9QeQKY+Y33g4z1UVBb4nt/PjLAHkAjGKsoRLFhvxpiEYIQSTlTz9KjMpyRGOfWnf&#10;Z1Bzk4qRVCjAqbNgRLDnmRsk08ccdBTyyKMsyjHrTA8bn5WVvpScWFx2QT0p3Sk245IwPXNNM8Kn&#10;Hmrn0pqAXJAaU855qLzogMmVcVG95bDgSpn0zzVhcdGMSSc/xU93VFyzAD3NUorwM8qxI7OW4+Xi&#10;npalwZrg7m+vApcorjpL1MbYj5jHps6D6moXLBQ1zOQf7sXWnhgcx2UaEnq4HyipYbaG0VpJCCf4&#10;nbp+FVBJBcpiW2brPcr2+YEf0qf7Ex+7czY+tDyC9IggjBjzks45/CieaUMtvbrlvU9qcrCuH2Bi&#10;Mm6l45IJ61C9tazPlw4x6nrUy3MsZ8u4X95jAIpxVZSkK8k/MSOwojEVxi2SSxL5R8tMcDHamzaU&#10;qpvgY+YByD/F7VqdO2KTaOtaNKOwHPO258sQDjlHOCPxqHzmA/ekyqOimZea6Ca3hmO6WFH/ANo1&#10;G1jbN8v2dCPULiochWZiXML3UDSRxLBGijAB681vwMDEjLypHFVG0iIt8ryBe6liRV1VVVUL0UYF&#10;ZtlJD+1FCnjmop5NkMh4xtNCSRRVlvXkZoLZd5zhn/u0Jp8G398vnP6vzRp8YjsUGMM3LE1cHSs5&#10;1GnZDsU/7MtAc+RFn/dqRLS2j+5BGPwqc0Vm5sLDQMdh9F4qCbT7W4IZ4lLDoSORVmgVKm7isUjZ&#10;y243Wk7A/wB1+RUtteib93IvlTDqp71ZqG4tobkYclX/AISvUVvGaYGZrjP50G4kQNkMOnPaqoUR&#10;5WMYUevWrd7aXz2j25RJxjKOWw2azvMcBFuEMUwGMucA16GHnFLU48RCT2EZHY8kY5/Co2U/3s47&#10;1OUz945HqKXy1I5H0r0FJdDzuV9SJeMA1X1CeW1s3uI1DbDkqTjirzxDjFU9R3yWciRxeY5G3bQ3&#10;cOVmSbrVHuw3lMsQGcDpW4JDLAjMNp96zbe7vEv0tpEHlbcdOhrVkyzlTjI4qUtQuMU5BB6UrAGM&#10;jPXp9aFQDjFOjjUzLHgnJ3H8Oamq0olU4tyNeyAN4j9NsSq35VozSeTbPJ/EOlVdOgCiSRh99s/Q&#10;VPdxtNbOqjBbmvMTTZ66VkivHfXHk7zbks4ypzTnt72eLZJOnlOOV281PYSGS0XfgFflxj0qzz9a&#10;0uMRF2RiPsB1p3aiigAFLmkozRcAzS5ppIoyPWi4DqhuZRDC0jdFGcVLnioZ4hcQNEf4v1ppiexz&#10;EnmXFy9zMcSOAOO1Q3SlSsqjlOvuKsCN43e3Y5aM8e49abIrA9Miu2m00eXVi+YrpIJ13RsSPfin&#10;EYBB61Eh+z3rJt++M1Pt556GtlqY8rGGNZBtblSORVb+xLMyrKYxlMFfY1fUKCeKQY6YNDQWsKFy&#10;xIORiq8qeZuT1GM1bC4X60zZs69aItDZnwDbi1mxx0+lSTxxrbSNtGU5HapZrfzx3VvULUMlpLJt&#10;WRyYx2xjNNkli1kMlnFKf4h3rQ0VQNWnK5A2AEevSqaqiRZbheoX+7Wv4ft2SKW6lGGc4APpWMrH&#10;Xh07luTSoHlLxl4WPXyzgGpLfToYGLjcz/3mOaucD8eaMisFBXPQ1sMZA6lXClT2Aqqul2aS+YsK&#10;gn2q5RUuwEbxI42sgZfQ1WbSrFzlrWPPrirtJ2ovfQBYIlhjCoqqoHAUYpLn/j3f6VIPu/hUdx/q&#10;H+ldEdrEjx/qvwrDlXN2XaIPsU4yK3FyFGKrTW0rTrJGVHHIPeomm9gMK2uZLqQ+XaoAnXK4q68a&#10;/Zld4Asm4Dr0q4LW5DHCxgHuBTZbO5lUoxGwnvXOoS5hmK9vcSCZ11BWQOCFU9Palmt7uW9GL1I4&#10;xEc/OM9D2q2vh7FqY0lCMzbmIp8vh+Oabzi5DNHsJz1rsWwikNOu2sYo4L8B9+N4bOc1Mui3/mTu&#10;12WMi469DV+10r7JCkcbAhWBya0lz3x+FFwOWj8P6pHaxxC+JKvuJJ7elaenaXd2lzLLLcGUMOFN&#10;bB68UtACDOBnrS0UUAFU5lR9QiVhnKt1q5VG/guZHR7Z1RhkEtQA6d7WLho1LHovrVQ6et0DLPGo&#10;ReVQCporKaEBmVZHxyzH+VTv9paErsjHH96gDCXWby3v3thAHt0TK4FKniO4lSJhbFNzbW4reit1&#10;WJQ0absckc0otoB8vlLgcjjvQBlaZrc15qFxbSwMix/dYjitsHI9aYIUHyrGqk/eYCnAYGBQA6ik&#10;paACuBn/AOS6aV/14zf+giu+rgZ/+S6aV/14zf8AoIoA9MooopDMzxB/yLWqH/p0l/8AQDXk/gQb&#10;/Cenqy5UrivV/EOf+Ea1TH/PpL/6Aa8n8D3Sr4PsFCszgdEGTSlsYVYydrHUyxSCH7QmWA+RvfvU&#10;kUXnQR5AIYZNa9jDHHpyxvghhlx3Bqg9m0LPHE7LbvznHSuZV1C45UeZ6mBeN9imZrZg+fvRdhWh&#10;pQ+33SmRgTEm4KOoPvWiLTSrePdI8Zc9XJHWqAWKKX7VYyrHKwAcf3sGsquIbiEMPyyudHE+4fNj&#10;PQio42WORwxA54zVG11KKWRlbCS9WUn+XrVXV9QsCI087dIXx8h9q4LM7VFvY2JQskqxnGMZJzTb&#10;ho4oyMDe42qBXM208oa4WR3GciNs8fjVm2edjbuWMjorYz0JzVJWYmb9qrLAqIowByasRpsXGfrm&#10;s211SSe4aDydsqAl/SpU1F2uYIPLDls7iD0re2gie+eaML5W3b3ODVYbpRlr1l9lH/1q0Tnnnj0J&#10;zUTRRHrGM1LdhFLFt3RpSO5zTtkLr+7tWz+VXVwvCgKPan8kdSfrU8wWM0Rqv37eTH+8MVMslmBt&#10;K7T/ALQNW+h6CkdFYfMB+PSq5gsU2exB4XcfbNILmNThLVs/Sraxov3UTPqBT+e/8qV2FjPhuLpp&#10;ZRHbqvzdTU/2d5WDTyEr/cHSnxMPNl7/ADetSPKkIzIcDsOhoTExsjiFVRU+Zvur61F9maVt853D&#10;tH2FCuAxnfIb+EHqBTjcqykoSW9TVNiCaVbeAAcegHaoIWFspmbJZ+g70scfmkvL91T+dWY4Q8ol&#10;bkD7vtRFXYEP2We5w8j+WDyAOtWoLeO3BCfebqT3qQfeJzgmnEZrXbYBPakI4p2MUmaGrgM9qQ4p&#10;xbmg4IzWUkVcbnsKDnGABUU0yQRl3zgdh1NQDUEB+eOUD12GoW+o0S3VytuowN0jfdX1qD7NLcEG&#10;5YAA/cHSmg/a75JVDBI0IBIxknFXcAY+XAxjrUTlbYYccbegooJ7dBSZFYSYC9qTPFIWAqlqGpx2&#10;ajILEjPyjNRe4y5uyevenA5Az3rnU1/zGcJCxZR6Vbt9WmkuFSWAohJAOKdhmvz2PFLSZAXA6GlJ&#10;p3sITvmopII51KyIGFPzThTUn3E1dWMabS5oRm2k3qf4HqsZXiG2aBkI74yK6PqODyOhNNY5GD1P&#10;X3rrhiZQRzTw6ZzytHJz5g/lTZ5o4RuJDZ/u8/yrabTrSVtzwJn1AwadFp9rA+6KFFb+8BzXSsfo&#10;R9UOeDncreUwDdG29KkCbgzdUY5BFdMyLIpRwGUj0rl7mNrG/e3BIjcbk/Gt8PiHOWphWoKKuhOC&#10;C3Py9vWrWiL5juxxnd39KqBiGx7Utqv2ZzumYRu2eB0Na4hO2hnQkkzqTJHGmWOFpVlSTB4P061Q&#10;itHJXzZjJHwQKlnsijGW1YqwHTsa82K7np81xsTzWckitE0kbMWBHUZq5Ddwyj76qfQ9ahs7ozxf&#10;Pnepww6VJLaQyNuZRn/ZHStY7Ayz82duBk9DSiqBaayfEreZBkAN6VeU7hkHIqgFqvcT/Z7dpSMk&#10;KBj3qxVLU4JbqydIjtkyGH1HSgDMuJtSvZY3tCI0VSJFHXPap9KGoxzNHegscZ3dqzUn1jTFRHgD&#10;yTyDdIvOBXVIdyAnOT2z0oAKO3qc5p1IfXOCKaQGZqGnNNN9pgYLLjBU9Gqg+n6htEhEOR1jGa17&#10;29FsigDdK/Criqyw6iV85rhEl/uhaFUcTOVJSMFZFfUl87CYXGD61ZeLaRk/SrMsNtfM8d9H5V1D&#10;829eCw9ayPtNu13GkDXKrMxRHZyckcHiumFa5zSwzLioSST09aQuol2IC7kcKBV2PRJZG/eXqsnc&#10;Rrg/nmtS3063tYmSJSGIx5hOSaJVghhtdTCNlqGQfIDd9oNRSLdB8SWcgx6EV0hgfYiiQjBycd6l&#10;Me5gSc/WsfbO5q8NE5LzjyBDJkdeKDNLJ8iW8jH0I4rq0iEbHb0NSABegqXWkw+rRRz9npM88iyX&#10;ilUHSMdK6BcKqIowBRnjvn0zQejVHPI1jBRDceeM88UoYHpnJ9SOKw9WvLuO5MdrIIxGm9iR1B4r&#10;Gj0rxBOBMt02XJbG/oD0qotlXO3yKXvVHTTcrahLtAJBxkHNXa0YxaTtS0naktwJB938KjuP9Q30&#10;qQcLUdwQYHxXVHYhki/cFO701DlV9xmlyM1QBigf1zS0DOcYNAARnrR3zR2zSZzj3o3AWjFGaPT3&#10;pAGKKM5GaO2aACiiigAooooATAzmlozijPT3oAMUUfgT9KOhI9KACig8UUAFFHYGkzQAtcDP/wAl&#10;00r/AK8Zv/QRXfCuBn/5LppX/XjN/wCgigD0yiiikMy/EP8AyLWqZ/59Jf8A0A1wPw3tok8C2E+x&#10;VYr97vXf+If+Ra1X/rzl/wDQDXAfDYx/8ITpnIB2n+lYVm1ApWOlim2Sss0ZGeh9ausylCUw1LIi&#10;tERj8cVBHCGjBBIY+ledfQso3sTPbsYoUlJ+8oHSsuHTpkV5BDJJuBQr/dPrXQXkz2do7M6rgcFe&#10;tY0V/d3c0tuJPKKKf3h43Vo17oGfFot1cidJonjlCYSUHv2FcxFpV7b6kvnxSqobqTmu6guple3l&#10;8wmMt5cik5O71rkb3X9Sk1J0MhwJMeXjjFZNWO/Bym02loVZry9/tEqGbO7G0Diuv1vUzpuk2jeT&#10;unZQRgYx69KtW2mJsW8gjQSsAWRlOM0mrWlvrMIhuibedeA3aockKValKSViDw9qkWsGdWUQzKN2&#10;VOSa1o7I2RWUuWJOST1qroegwaKrSCXexX749KvPdNcpIsML7X48wGtFO5z11Fu8TQyGVWHejApE&#10;BWCNCfmA606iTRiIQKUDiiilZAJjNRzTpEOhY+g6mnSOsSF3bCjmqdspbdcSjktlQf4apWJbJBLc&#10;ScxwYH+3xSPLcpgmOLPf5jiod81/IQGKRjjinjTIejszj3p6CuysNRlEkuFjB3fw80RxT3D5YEA9&#10;2q1bW0UUsqxxqo3VbJ44wMdzRoBDFAEXDZY+pp5iQA5G1e5pjXCqcAF27belKkE8rBp2AT+4OlNR&#10;QWIoVe5fcuVt4jwP71aAAwMdKRQsaBUAwOlAPrWmg7DqKaTRnik5IdhSaax4pCe5JA9O5qtLdwxO&#10;EdiSegHNQ5BYmkdY1Bc4BpY5oXYAOM44FZtzOLueCKIsQGO8MpxjFTSWKEgw/u3HRlqOZXCw7UI2&#10;eJZVGTC2/HrUsUy3MCSjBD/MRjpUVvdMWa3uMCXHX+8KZYgxLNAcZR8bT1A9acmmBbI54wB7UhYZ&#10;xR04oPNckm7lCMM01afim9KzbY0NOc9R+Nc9r08cF1EJThXjKjA78V0HJNMltIZyjSxq5Q5UkdKm&#10;LtqMrJc2O35WjHTJC+1T281vdJ5kWHXJwcdKRrSARupTAfuOopllaJZQeTEzMoOeauUgLueMYpeo&#10;pnHeng0k7iY3bzTgDS0Yq0kIAKGFHPrRkj6Vo2khWuNFOFNyNuecetJ5sQ6yID/vgUJX2B6EhOCC&#10;egrG16BsW8xG4IxyR6GtN7q3Tlp4v++xVS91Gy+xyo1xG5ZCAqnNdFFTUkzKryOJjLgMSOQRxTwA&#10;0W1u4x9KrW8iCBC5wxyAKsKwK8gZJ5Few9Ynkp2ehsaXKZLFSx+ZDsP0FaO8YHNc/Z3f2SYqw/dt&#10;1PpW0j71DIRg9PSvNrQadz06U04jGCxXC7eN9OuLto3SGIASyHG49Kr6kWWBGB2sDwalkhS6gjEq&#10;btuMHvURlY0AwG4kCT3C4znYD1xWgOBgDA7VhzWsS3cMUC4m+8ZO4FWr7UxaukKbWkYck9FrW+gI&#10;0iaDntXPweI08zy5gCc43IOK2Ib2CZFYSBQf4WODQn2HcsYOOcHPqOlKOegximg5HUEexpQeelVc&#10;B1JyD65oyMccmsm5v7r+0TbReWgA+UuPvU7gH3NdbzurRjy89O+a0SeDn71Yl9debEFuYZYLmIEr&#10;Io3An046Vd0y7kvLGOZ12vgggqRnBxXPUY0Ov7MXS70O2ZBkN6+1cxdWHmTo6jypkyzoxIB91rss&#10;fjVW8sortSZBhwOHHUUqdWzG1czfDt5cSkQFA1vGpxIOpOa6LqKwbG4kstQW1vZAi4zEx+631962&#10;WuoETPmqfTHNdPNFq5JJS1UGowZ5EmfZDipYZ0mi3xnPO054xUgS0UHK8EijIHGee1SMMUh+7z1N&#10;DHAyWAx15xQHB57eooEYOtaRe3d4s1rMEDKAwPfBzin6NJqj6hc/bYtsYChAvTitsDqP4ad2xVJ2&#10;CwnPcUoooqrgLR2ozSdqqLVwJG/1ZA644rNso7iPT5RcHLZP860x92mT/wDHu/0rqjsQyOabyLTe&#10;ccDFNjuwVT5SSwzxVLXcf2Qy+Z5ZbGGFJYKVit1Db3EXU9+lJtpAjQNzhf8AVvn6Cka6AUExuozj&#10;msyA3E8knmPIhBwAOlWzE8NoVeQyY53Y5rKM3ewx76vZx78zY2HBFOOqWwK5fhlLDjtWNK+lNayy&#10;MGLMfmPvU8ItJmGHfb5GQD2GDmuhbEl5tas0jWTzPlZgKDrViv8Ay157VkM+lvYc7tgcADHercem&#10;WU05C7+F4oFdlv8Atyx2K/mcMcD8Kcmr2bs6q5LINxFRroloY40KEhDkA0+PRbOKeaQIfnXBpDRb&#10;trhLqETRnKtU1V7a2W1hSKLIQDpU/pQMWo5JhGyrtYlvSpKrTMFuoy2AoBySaAF+09zFJnOOgpJL&#10;sRxszpIAvsKiN1JIMQR5A/iNRyW1xNEzXE2VxnaooAmGp2hk2+aEfbkhvSkGq2BjDLcxlScBs96x&#10;p7ezeVy9x5Upjx7gVWttAs5LIQW90hUSZB9DQI6Yaja5OJ1JQcim/wBo2m1D9oU72wvvWDFp9nHL&#10;OpulMnKvkdKlttDhmigkiuQyQMSMDqc0xXZtC/tnkkTzRmM81LFMky+YhBXpVFtIiczN3l6mrNhZ&#10;/Y7cwg55zSKRZHSuCn/5LppX/XjN/wCgiu+FcDP/AMl00r/rxm/9BFAHplFFFIZmeID/AMU3qv8A&#10;15y/+gGvMfAaK3gjTW3vGdp+bH0716d4h/5FrVcdfskv/oBrivhnGsngDTgQCdtZVldagjRM2oLH&#10;iCaK4XHQHmo4L++VFVo1jz/e4rXl0y3m++ufqcfyqMae0Z/d3Dr6LgEfyrz5RWxaK0N1a3TPBcFW&#10;Y8YzwatyaXbvGYyh+bkkcEVTurJpuZFMRUffTofrUdnPLaxFGO9Aej/0/wDr02mlYZYXR4YZVeNS&#10;dpz8zcE+tVZNF017w3E9viUnPynitmKdJog6Nn2pWQOvzKDn9Kyk29y4TlHZkDSKEBUNtAwAvNRE&#10;Wt+DG5ViPwIqdrdeikrVOe1d3yo6fxrxisuRMLoja3urMfuG8yE8FHPb2pNIv0a4ntRuTByEfg1a&#10;idbSJyyt0yXPOaoT6jptzZi6kTYFbG4cNmtIU30Ie9zeyeOOtGecd65ga+9ldRxNG1ykvI7Fasv4&#10;u0xJxGZTuJw3H3fam4Fwpyn8Jv0mRimxSJNEskcm6NhwaqXM7SEwxcZ++/ZRT5CJaOwxy17dCMD/&#10;AEdeXPuO1NeWa4k8qELtXg80xrh4oilsgCqMF2PB96hsHmiaR1tzIG6sp4/Wgk1IIjBDgjA7ntUw&#10;bj29qpJeBpNk8LRP2B6VaU+pzRYdyOJlEs5PRTn9KhVHviJJGKxZ4Aps5bbdbeu4f0q7BGBAgXoy&#10;4pqIXHRIsS4RQBTs80uKMUXaGJilPFFNJwDSbAUnijOeKY8ix43OAfeq1xeRrGVj+eR+BjtUagRy&#10;yyXF15ELFVA+dscipoLaK3B2rkn+JuTRaQGC3CtzK3LNU3XP6VMm0MTA7AA+o6mlPtwPSm7uaM1j&#10;KbuOxBc2ouFH8Lg5Vh1FQWsN39teW4CAFAu5Ty2PWr+aUVSmwsGMCilPSkp6MA4prdcU4kD7xA+t&#10;V5LuCLhpQCamURko56EGnVU/tK2Bx5m4+wpG1SEdFY0lTuK7LRXPI6+lJg/hVQapAflKODT1v7c8&#10;biD70pU7DuWDx14pRTVlRxlWVqeOalJgGcUuTRgjmgsqLuZtg960UWF0GecUucH9KptqEa5EatIB&#10;95gP5VNBcxTgCNue4PUVXLfQWhjaxfObg2sUhVR1xxWebcqPm+8e7Nu/nVnVrYjUmYDCzIMH3yah&#10;EVx5eMhsV6+Gox5TzK9SSloV/wCz4GJMuXP1wKcLS1jBxEFHqakWWUHDwbvpSvbtPyw2r6ZrrVOJ&#10;zOpJjNqMPLXnJHPpVsKuc55qJY0jA29aXO56fUhXJJdpUqcHNSWNzJZ3EcLsXhkOOf4ahZwnUr+N&#10;JFmeb7p8oHLHuDWFdRsdNDmTubeooDAcnIVuPeoF1b9yvloDt6g8U3zJ72UIqYizyT2FVLhxo90T&#10;s82J+mOtecldne5Ey6rBbXkk86uvyAIduaowMmp6iDNk+cSTt/ug8fzq0t1bXwTMKLgc781oafp0&#10;NuxlDbmbp7Cm3pYE2yO60a3ngGxNjqMoV4xSaWEntxFdInmjhWAwcVfvGENq43AccetZtyiW8Mc6&#10;kjywCxqoSK23L504w/NbTOp/uuxYfrSedqcJy8KSKOpQ8/lUtpfxXEKMzgEjrVs/NjPIPQ1bHoUl&#10;1iz8oyFiGHDIR82fpTS1jqoCb8Sryv8AC61Pd2EF3GVljUkdG6EflWRdWTWWPMBlhz/rBwyflTAt&#10;SHUbPCmJbqDPDj735d6mtr+C4JijJRwP9WwwwP0qGJry2UyW0wu4XHCv1FU9Qknvl2/2fIr8YdSB&#10;j9ayqWGjcHSg0yMMI1DnLY5Ip1csmmWite2MF/EI50yAcg55WqP2S5sW3Qsk8S9Q6jIrWprcMD0o&#10;U2iWhlnqNtefJGwDj7yHgj3xTJVeyVpY3XYx5DDv7Uy4soJ/mZAJAch04Oahf7ZHB5U8YuEP3Xj+&#10;+v1zxXVTqp7klm21MSyiGVMM3QjpUl7cyQQbohnJwxxnaKwbmVmaNreUCVOuRhvx7VdsNVdo/wDS&#10;GV9v3t2MgevFabhckjlfULryZshEJIdTw1KuoCxlNpOGLlsKoGTjtU9pLEL2VI8MjncHHqe1P1K2&#10;jELXBTc6jhx1p8oXLqkbQeR7GnVnWeqR3KAOhXAwCe9aAxjcORS5R3FpDS+w60xnVMhnUH3NOwh1&#10;L2qH7RABzLH+dPWVJFxGysfY0tLjsWBwv4Uy4P8Ao7/SnDIXBGDimT/8e7fSu6Hw3IMfxGsb6Qpk&#10;BwGU/L9atabGsthDJExUbcAkc1be3jng2SjK1JFEkMSogwoqtxEZgkOMS4I6nbSG1dlIaYkHjG3t&#10;VkUtSoK9xmaNFtNjRsmVLbqkGmQLIrqu3amzAPar1FW2IzBolrsZdpxnIGaspZrHIXRmB6AZq1RS&#10;AaAQB6/Wlx+f1paKAE5paKKACql9ZtdqoEmzafTrVuigCmlvcRgLHMqjGOFFK8FyykCYDIwTirdF&#10;AGU+iRSO0jtl2TYeO1MttCS2iMaSkLu3jjvWxRQBktokTySyE4eX5mwO9WbKzazthCrDAJPSrtFA&#10;BzjnrSYzz3paKACuBn/5LppX/XjN/wCgiu+rgZ/+S6aV/wBeM3/oIoA9MooopDMzxD/yLWq/9ekv&#10;/oBri/hiP+KA07/drs/EPHhrVf8Arzl/9ANcb8MD/wAUDp3+7WVb4SkdZz60ZJpWxTc15jlZlDh0&#10;ORVOe1BDeWAVPVauLkHNJnr2q+YZziSSWj/KHHzfwnb/APrqd713wsZuHfqQqFcfU1rzW8UykOoP&#10;6frVc2O18xTPGPbn+dJNMRSTUZUbMjbj/cYYYfh3rThnSZA6SBl74PKn3qC4gYD96Flj7ttAYfjW&#10;WIorGfKSt5TDcPUH6d6coJ7E6m3NGZInVfvlSAc4rm7vQrq4sUi+VNrhyd361sWurJIxWQAEHl+1&#10;Wnu40jMoIcdgOc1MW4uw7nLxabcNerNNs3KcrJuGOmKxNT8N3lxq0stuBJE77i2cAH611c8sks4Y&#10;RhieFjHb3NQ3c8UFu1xqd35EAbaY4xx+daNq5dLEOlqiGz1hrCBNPnJQR8lo/nB/EdK0jO95ERZj&#10;ybT7zSMOXFcdeeLdlxcrYRRG0jT5TsBJPFb0a3c+iwTW8wjuJedo5Vh9O1U1ZGUpXlfua1pb/bBv&#10;Y7YFPAPetVQFUAKAvYDtWVZXn2GJILyLyiBjcfumtVGVl3BgQemOlYuNykNmhSePa4z6H0qn9nvL&#10;cExOJVH8Lda0sdu9NOcY4BosxmXb3KSzzxSKYmY4IarFnM8bmzlP7xR8jeq02RYZ5plchWzkN6Vm&#10;Xl+bZAkkbmWJvldR19quImdGaRjxVeK9WSNCyspIB5FH2uEsRuAI9aUxon3Z4pNpPQZ/4FUZuUGA&#10;vJPpSmSTGNoqEkMp6pbFlWdWTMYyyOOCKlslgeBLiOJYyw5wMGqUlo11duzFv90sasi1dQAHIA4A&#10;7AVMmogi4WBH3qbvUcZqqLNv+e70n2Ngc+e/5VzzlcqxZJBPFIGB6nFVjZuT/r3/ACpBY4PMrk1m&#10;ldjLQkTON4pzTRqPviq32GM9WalFig6k49a1UbksQX8W4qMk0hku35iUAe9RC90uCbYJULDrS3Wt&#10;WUVswSZGcjCqDXRGjJ9CJTSRk3N7dm58sDeAeeaRbm0jObq2kJ9U5psRYxbimGc5605x8vAOfSu+&#10;GFTWp588S1LQtx6ro5ILRyAf7cZH61pQzafLxHJAcc4yCa57O1fmC7T3IzUThGdSkfPcqMUvqlti&#10;ljO51sqWyIJJAgU9CTUD2VpcjcAuD/dFYGJBIpSQlR0jc5BrXsh9olLLmCdR8yg5U1hUwzWp1U66&#10;noN/s1kz5LkD261A9xfwztbAHzcdcbsVpkXrEjdGvuKWC1ELtIzl5GGCTXI4qLNjIa61SDhz5mP+&#10;mZFOWWecb545pR/dAIFbYUHtn3Jp446jP6VcZoLGbbakIj5ZtHiUeh4oke0uJC1vMI7j1Hf61pdT&#10;8wX8hUbWtuzZ8pQe5AxVNxYtjPnjkuIkjubcyleUeNsYqiNJvwWkSZVT/nm3zH862ms1+8kzx4PG&#10;OaRoh0Nyc+uK3hV5FuRKnGW5ii2vBwtuCfUNxSPpl+EMn7tT6Z3VtpJIpxHE79t5GBSzQh48zShf&#10;XHFbLENrQwdCJzotL0/xR59zil/s26V9rzZzztRcfrVm7uNvyWQDY6lqktdRliPzQIWx13E1XNNo&#10;zUacXuRx6Azpudx9GO41pS29vaW4ZnKnHTP3qpy6rePkKsaD1Aqm7FpN0kruT3PahU3L4hyqwivd&#10;J5r242lEZYkPOB1qmymUgyPI+O+7pT2UZLUwMQcgc9q6I0YpWOSWIk3cHtXlTajBj/dk5qSzhvFB&#10;8i5ZUQYdD1H0poYng5J9at20xSeIk4wwHTrn1rKtSVtDejWbYjGRbiFbmXer8ZzwP/r1LqLn7IbV&#10;gG3EDJ7qatLbRXcEgkUABsqw7VkFJHdwGZggD+/HOK44Jcx1zbcSWFYkj2qQioMKMVPZXWo/ZI5y&#10;hljYcY7fhVeO5hcFg6gN1z61a0e5+wSva3DYQnMbE8YrsdNNGFOo72ZeF5dsnMLD2Kmmy3lx5ZDQ&#10;bsjBGO1auQwBznvSYB7cVHKjq3OY0+9ubWWaCWHEO7fHzjANakWqWzkKzBG9/wDGk1CJre5Fysfm&#10;xsMOoGcfSqc7aXcAGMFm/i8sZ2/WsZU7hc11kRh8sitn0OafngVhjTmZBPZyF0xkfMR+lKmoTWw2&#10;ywNnOMk1hKikXc2c0n0qlBfvOcIYSf7ueasR3AdyjDY44INYShYEyYU4DFIOvPFOoigK1xZW9yuJ&#10;4Q3oTVOLQdPhLFInXd1CnFaZ5PSkJquZoOVGeukpAxa3uJIyeuDTjZXY5W/lJ/2smr49v5UtP2kg&#10;5UZSw30SbGSGeNegC7Sv0qM6rJan5Yrhx/zzaM/zrZ5NLj+LAJ9DWsavcOUyoNRvdSUvbxrbpnBa&#10;Tk/gKnGmxsP37vK2ercikuLdoWNzbghx8zKOQR9KtWl0l5AJ04VvUd6LtiIDpVjj/j2Q/VaY+lRD&#10;m3ZreQd1OF/KtHY2M9P60Ec9B9aVmmMfbLIkCrK+9gOW9afcf6h/pTkBKDmm3H+oevUp/BqZlW+8&#10;3+zm8qQRy46noKmst5tI/Nbe20ZbPWoNRngt9Md7g/uyMZpkV15cVvHbqHRowQSacpJK4jT4pM+g&#10;/Ws5tQlU4aNB+NNOpyBGfylKL1INZRrxbtcrlZpk460cetZM2v2sSEMpDAjpTpNbiDR4RjuUtwOn&#10;1re3VkmoOnWkB5rIbxDCsAmEbFCwXgetMfxLbI6rsbLA44oA2s+9KGHX14rEbxHCtkk/luVZgMAc&#10;05dfga5eBVO5RnpQBte3pRVaxuhe2qzgYDVZoAKTPOKWoZpWjKqi7magCXdRuqHzZdv+pOahmvHh&#10;HzQsW/ugc0AXOtFQwTiaNWxtZhnaetS54B7GgB1FIGzn1HajNAC0UZ5IooAK4Gf/AJLppX/XjN/6&#10;CK76uBn/AOS6aV/14zf+gigD0yiiikMy/EPPhrVR/wBOcv8A6Aa4r4Ykf8IFpwDZ+Wu28Q/8i1qv&#10;/XnL/wCgGuD+G1sJPAenssjIwXqOlYVr8o0doy5oCkVW3XUQwQsi/wB4daeLxWB3Iy/UV5/KWixn&#10;imZ5pi3MLDG/B96evJyMEe1J6DFIpPfFSHAHNMBx/FmlJWATkc9RVWWwV382MiN88Hrmrgx2NLQm&#10;wZj3CO23fGqSr/y0A4YelQyXE0MYEViVLnaG3jaD61ulVcFX6Gs65g8u4hQN+6JztPTitVG6IaI5&#10;JbbRrGS7nYbwuWJ/i9hXl2reIrnUrhy6ZtpDlIT2A5ya6/xrb8JPd3O20TlIh1Zq4CDFxJNJIQCV&#10;ywHGB6V1UaaauzOT7FnzLK5KWtvbsrzY3kdM+1ejaZvhkhtBGdlsmFJ71meDdBtvsi38seZS2Y9w&#10;yBXWIYLcSXLZwOuBmsas7uw4xF8k3SkXA3If4WqOewkiiUWJjjI/hIJB/wAKgsPEEN/dGERtkZ59&#10;B61Z/taIztDBmVlXkKOvNQjREEE7I/lzO8cvo3f8elXhblhuMoP0qOaWKeykLxbii7ijdRisXT76&#10;Wa8SKzk3KVJKNzj6UNgbUNki3Ejk7vY1ZEERGGjD+pPaqkN7F9odXzE/QhjxV7cCAd3B/WovqAhj&#10;QY4BFQm3gLcp1qxgelIRUybY7EaxIn3QKceme9Ox7UZ7VKuMq3MJLLNGcMOo9qer7l3A59anx69D&#10;xVQbbacq54b7vpSmrq4E3am0vIHzfnSZU8Arn61zOLKuANOzUD3MEJw8qg+5pyXVtIQFmA+venGD&#10;E2SnpWVqd4WX7PA+CfvH0q3qd19j0+Sb+IDCj1rAhiaNCSd0jcsT2ruw9Ft3Zz16vKiSKJYVwvD9&#10;z1zSPFG77igz6mnqCBlckf7PJpsiXCtloZFB7lcCvUUYw3POvOewcBsHk9qaxlcEj92Om7uamisp&#10;JnXYC5Pc9BWrHZQ2gV7mVC3ZT2qKlVJaGlPDSb1MWK0uHXAtWcH+InBNSCynAI+zMMf7QroklWUb&#10;kYFegIOaXIHJ6VwyxUkzr+qxsc2sEykBbeTI6EkVqafaywu082QXxgZ6VbW7hkuDbiUF1GdvepyM&#10;knHfpUTryki4UVEYrfMcjinEUYoYqqZLBQehPbFc3K5M22ADBpTTdyEBg4AboTS53jcMbacoNBcT&#10;NGeeelLg0hHBFQk9wuRTyrHETJ92seXVWZttvAqp/efmtS7h+02cir94cisCNDICgOHX7y130Ixf&#10;xHLXlJLQlbUL0n/WIuOhQEfzqJ5JJSTPK8n+9T5IlQKSc59+lM2Eq3zEgHsK7oUqd9DidWpbUaDg&#10;bV4BoXO7HOKQlR/F0pDMp43/AJVq4JGPNd6jywDcE00tk1VvLhbSHzHDFfUVnS6yBcFFVguAckVX&#10;KrCbNwMTRwKhjlG1WDDBHOe1PLoDkuCPY0rqIaskzjnmkR5J7qOGJSSGDMfamxuGIAcMw7Cr3hxV&#10;/fu+TMWIBPpnpXPXqe6dFCN5GqVMFgV6FRyfestbm2tbYmfLseqjrkVo6jdrEnlKCXbrXLyq011J&#10;OxwWP3SK89N3uehbQnlj0+5lH2bdaztyO6t9asSSlWWG+ttnbeOVPv7U+eKBtNiuI02uhx05NOt5&#10;JLxZbaT5kcYx6V0RrNaGXIOVp7Mebayu8a8+UTkMK6G2uUurdJoyGVhyAMYrlNNkZA8DEloH2j6f&#10;5FamlSG21F7ctmOYbkHofSumyauKFRqVmbu3jkZB7UxY0UPsjXLDkdKcTnjsOKUjnPeueUtToWpl&#10;aQ3ltcQtw6SnaPbAq9LDHKuHVWz97Iqpe2kqzC7tv9Yv3h2apLXUYbkkFhFL/Ejdqzd2Mp3GhoeY&#10;HMZ7ZPH5dapme4s3Ed/E0ijgSLV83d1fyPHYKiqpx5zHIP0FRXVxeWIBu1W5tCcFlG0r6k0KHcCx&#10;FMfL8yNxJHjp3FW45BJGGU59RWWLU2x+0Wr7oWGSvoDVu3kim5hbaw6rWEoalJlum0EMRSqOOuax&#10;sxgKdikxRzRZgOApcU1adWiQDZFZomCHazLwR2rHskaznLSSTpnqnVfqMCtqorlXkgZIvvkYFaJp&#10;CsTLIjLvVs+hHal71nW/mWMWHhOP4iDmrcc8c6Bo3BHp3puQF1PuCmyqXjdRSocoKdXpU/gM2ZGu&#10;SwRaWpulLx5C7cUyN0YW3l/KnlHaD26VNrkyw2G+SHzcNjBNS2sEV1ZwyPGVO3j2oqx54WQr2Ziq&#10;jb2ae38zJwPmq08Ecds/ljYuOma1BpsBPO//AL6pv9mW4f8AjI9zXnrBTUk7mnNoZM+oWMFrJ5ls&#10;zGLBbAqNdS08zqDbSMJI9+c/pW42m27qwMeQ3XPemHSbQ7f3W0r0xXpLRWZkV9PFlfxMscOxO4Pr&#10;VhtJsZGQtbqSg6mrUUEUIIjTGeuKkFMdimumWaxqgt0wvIp39nW3nGXyV3HrirdFAEcEMcEQSNdq&#10;jtUlFFABVW5cJLEWbC5q1Ve6tUugofcAD1BxQAzz5JiRFFtXP3yaVYNqO8rK0uDg49qUWSDAV5MD&#10;/aNH2Qf89JMf7xoAypba5kYTQSlQEIwBxmqthFqi2EaTyuXEmc47V0kcYiTYuce9O5oAxGhvxeTO&#10;JW2leOKt6YZ1tn+0ZZs1o80g4oAEIZQRke1OpKWgArgZ/wDkumlf9eM3/oIrvq4Gf/kumlf9eM3/&#10;AKCKAPTKKKKQzM8Q/wDIt6qR/wA+cv8A6Aa4T4bQM/gLTpEkKsF/Cu78Qf8AItap/wBec3/oBrjP&#10;hf8A8iBp3+7WVXaw0dGrXZ4IiBH8XOadayvK8qylSUOOB1qwwwagltSzFoJSjHkg1y8tyrj2gjfI&#10;2j61VNptYlJWX2NSmO8/57pnHdM/1pALqNcsqSfTis50WFxu+6iHGyT86QzTrgtDkd9tOF4qnDJL&#10;Gf8AZU4qVJoZD8rrn3NZOMh3I/tkIHzZQ+hFIdQjzwrEeuKmZFJ+YD8BTgVIxj5fcVN7MLjRcQmP&#10;fvGO/tXPeJpjLCDaTZkRlbCnkL61q3dtbrljkcE4HQjFcRbaxp8Wuz3c9tNGpXytrD5SOnpXRBNo&#10;mUkjM183U2m20t0zM6EqAecdetYtnbGe4itkJ3TMFPHate6uZ/7SkuMRfZpW3bcZwAMf0p/h3U2m&#10;8QQgwRlWbIZRW+sYmKabPS9PtRY6dDArbSigdKiv2A0+REmWOU8cjg1ouPkP8jVK2hjnaQzIGw/G&#10;a4ne9zoWxy2h2V3BrEbncA+dzAfK1bd3IbLUyIYeHTLEdF5rdCgR4woHbHagxIxIKhgR37j3q7uw&#10;WMm5W3lsJkiuDHhfmkUZJ9qwdKRvt1tvkkBJKg7ccZ712iwRxpsVEVT1UChlRAHKp8v3TiqtcRW8&#10;iGeSRXUMpHB71W+x3Nqxe3mLp/cerCXSrPIGDDHcCpftUOfmcL7txUFFeHUUZvLnUwyejVeDAjg5&#10;HrUMtvBdJtkEcqnp3/XtVN7e5s+bWQPGv/LJznH0NJ3TA1BycU08Hng1QttWhkby5i0MnTawwDV5&#10;mjyFLDJ6DNU1dCbcelwzmo5IkmXY44HQ96lweh7UmBmsbMdu5S+w88zyEelL/Z9ufvBj+Jq5to20&#10;coFdLK3j6Rgn35pZLOCZCDGFPYrU+2iTKxOV6hcj61rFC6HMajK9xOun53LE25n7EelJImCPm5qG&#10;ykEsLSnl3kJY/QkVNJ8zV6dKFloeZWk5Ssy9p4/ejcoOenpVma9eO8WLylMJ+8x6Cs7S7+GEz+a8&#10;SiM/Kp6k1pR31hKxiHVzyGGMmuatzNnVQcVGxoKVC/u1UIehXvXL+MZQkER3Hf3xXT7QiBf4R0A7&#10;VFJaW8+TJCj56blrlUnezOhrsY3hLb/ZPJ+dZCDyfatqZgtu5GTSxW8UO4xRogJyQoxTyAVOcYNR&#10;KzY7WOftCv8AbjSNgZXbnBroenv70mFOCwUt9Kkx64ppWHqRs2FJx0FcrNaXOpzkLelFYByM8DJ6&#10;fpXWMoIIPesdtBWOGcwSsHk4AP8ADVxQinJoFzcW4SW9bhgQUPGBWxptrLbWccEz7ynQ+tTWNu1r&#10;ZxwyvvZBy3rU5I7GnPzCwYFNkwE680/ioZgeCKlJWBCou2NfXvVS50yC5cP80b9yveriurcZ59Kd&#10;ipu09AaT3M6PSLVCS6mQ9sms/VLSO2uYmg+UOOVzXQ8DJ71naratNbh4xl4znFa0qslIxq0lynMz&#10;xtKuF4OcVHaKomJyMgbcnpV4FWwwG08hgfWqbKAChGHJ4Ir1k7o8hqzINTZfsEo3DcQQBUdnNDcT&#10;eS8eGUDJI7Yq6irJHh1Dbahe3Xe06AKc4qrMkvDCoUBAHTpU0U0kUYTbC6/7QqshyBkipVYZ6iol&#10;C5pGo4krG1mlAlj8hz0kj+7+tayWsVpaRrG+Qp3b/XNYoKl8HBQ9jV6wlZllsZDkMpMZNclWm+U7&#10;aNRSZPc4/tGCRjxjP9KdqllFLFvLBHHIx3qvcSiXULVHYAoMNU2rWlxcyAo3ygHGK49b2Osxy7tA&#10;kfzBUyTuHWtvSTbLErLJG0rHnHaqlteLawNb3KgtjgEVUsNOLTGWEBMtnOelVYmOhb1i0FvO91EN&#10;pOWbH8RqF2fMN1CfnjO78PSte/jZrAB2BKsM/SsSwf8A0EFuRhs/ma7qfw2OeppK51FvcLdQJOv3&#10;XGcdx9alzWZoA/4liHOd/wAw+hrUxXPKOp1x2EGdxHas3UrW1kTY8a+e5wpyQT7nFaeOCKy9TUwz&#10;RXYnEZHycrnr7U1EbLdtAtpbRwquVX17Gi5SC6tJUYqylSOvGCKyH1tI1Mc7t5bDAZoiKgtb3TzZ&#10;7TJNvXKERg/PjvVSWhJP4ed0tXs5WLNExAJ7rnj8hV+4sEY+ZCdjegqDS4me5muthiiYBURup461&#10;q4AHFcz3GjIa/urU7Zotw9RSjW7YHDhlPuK1Cof7wB+tQS2FtIctAjVHKO42C+trj/Vyqasds1nS&#10;aHaE7402Sf7J4qo8uo6bMA372Dv3P51SggubvTrRkHpzVe31G3ulG1th9G61ZYY4/UVLpvoNMbmk&#10;zkc8CmmWHzPLMibx701riFD80yDPA561NmPdXRJlT0AyKpTRi1l8+P5c4yvY5Par5xhScYPcVDdQ&#10;GaLaCMryKcYu4r3Wxej4QCnd8Zqq0kzac7rxLtOMevamaV9p+wp9qY+axO7jtXrU9I2MyzPBHcRl&#10;JUDA8806JBFGEHIHb0p1FV0FZN2Dj0o7dKKWkGqExS49qBS0wSCiiikAUUUUwCiiigAo/CiigA68&#10;ng+1HPrRRQAUUUUAFFFFACY5paKKACuBn/5LppX/AF4zf+giu+rgZ/8Akumlf9eM3/oIoA9Mooop&#10;DMzxD/yLWq/9ekv/AKAa4z4YnHgDTsHHy12fiH/kWtV/69Jf/QDXEfDQN/wgemEEYCnIP4VlVegI&#10;69TkHIp/X601lJ6GgZ61zKRQp4YD2oJ29OTmlA/ixk00A8+tW5sBWBPykVXa0hl+XZtbr8vBqfBx&#10;nNMkWR2Ta+B396zeoFVt1k43uTbngbuoNSNe24HMysPY1O0atlSo24xSRWsMQJCAn3rN00xoytYt&#10;U1SzjSG7aLDZ3R/yrl/EVhcajZPCqIEhwFIG13P4V2tzp8czK8TFJAcgrUXmeQ3lXYG7rvApptbE&#10;yimeeS6FcQWMs5dfOeILDCevUZ/rT/BOgXi6qLyaIxQw5wGFd1LYWeqzpOYyJIvuvVqe1nlhCIw2&#10;jk44zWnM3uTy2HyzxyROY3Dsn3sdqS2Xy4FB6nrWXJFKpnREKFk6DvWtEfMiVlxgdeelYVFpoaJk&#10;y9KcTTVHHXNL15zUJuwxwNMnTzIXXuRRvXpuX/voUxpFYlRIucetWr2EUYlkSaRSrEDqcZNIXtlk&#10;PnKxB/vCr8TKZ3AZT3PNPaMD+EA0rvqUY04t3mhjhlZB1PzHGKrbroz3DOG8oswQqx64roHhjf7y&#10;j+tLsBJ3dMdO1S23sBz8Nin2zEkvneZGCU7qcDvXAXlze2+pyL9qmDRPwDIePbHevXlgQNu2KH/v&#10;DrVSTSLC5uRPNaRvKOQ2O9NSNsPVjTvzajdFu2vdKt5GcPNt/eeua0BgnAO7FU59OQ/vbciCbvt6&#10;Goo76SFhDepsPaReholuYuV22aOadimqwf5lIIPQjvSg/hQgFJxTdwJxjHqPSlK1l6vePbRiCAjz&#10;5R1PYetNXctCZOyZhPGttrF3BH9zIbA/h4qYnio4rX7OHJYvI5yznrUhBAzmvWhdLU8eo7yuP8qL&#10;G4xoT67RTJwjxEkYK/MD0xSgk8UrJlCpAIYYolFNDhUaZ0VrIJ7WKU/xRgg/hU46deO3FcxbXWo2&#10;9slshi2JwCQelQzX+oSOUW9dPTGMVwvDtu9jvVeNrNnWd8HGfY0hFZ2kXU81u0dy4eWM4LjvWgTm&#10;uSquXQ6YtNXDOKcDkdvzqLnk9hzWfdas0MmyCDzGxwxPy0UVKb0FOcYbmldXEVnDvkJA/VvpWRJr&#10;Nz5jMqxovvyTWTN9rnnMs1xlj0Xsv0qZIUUcqGPcnvXpwpaHBPEO/um7Y6gl4hV8RydcZzmrgPC9&#10;z3rk2LWci3ES5VTyi+ldNb3UN1CJY2GCPxH4VyYim09Dpo1eZak+eaUmo+c+2cZp4z0rmi3ax020&#10;GNErnI4PtTY2dW2SdB0PrUpFNdS8f+0vSnHViH7eCay9ZuJYLdEjbb5hwW9K1UYMg5+tRXEMdwmx&#10;0BFat8tmS48yaOWW2YL5YJbuXz1qO5jUJznOeg61q3mni2RZYHIIbBUntVG5id3+9gj0r0qVZSR5&#10;VWi4sphT5e1I2UHqTRIrCFgPvDtUphnzkSnHoaFdsnco6YzW9znKolxCCCN44xT0Ro5QCcswyRUi&#10;W8ZlViOM9exouQyXKPxycY9qLhYmXkc9qPtDRyLInMkfRfWkORjFMdScEcEdxUtcysVGXI7o0pHt&#10;9S8uZPlmH+sA/hq9aXRScWsylvRhXOhXRg8Rw3cf3vrVzT9SBvC8+QUzuGPu5rzqsGmejQqKSL2r&#10;sq3EZMa8DJ4+9U6S22m2gllcIrcj/a9hT7g215GEEibvvKTWCkNxJfTm5lVhC22JQe1Kmrs0qPlR&#10;avdRub+Ly7eDy0PVnOCaZDbHZFZJnLcf1qQk4BJUHvzUulBp9WDRfMiLyewNdtlFHNG9SRu20K29&#10;vHGgwFGMe1TUcHJHc0Yrmle53WS2FzgVUv7JL2ILuCsrBl+oq325pAMUK42ZL/2gB5cthby7ejE9&#10;f0ojmMABm09YFP8AGiAitbHGMfQ96bJEs0ZjkAZD1FOT0JIkZSAy46cAcmpOO4wTVD+ypEP7m8mj&#10;TOQoxgfpSedc2D/6SPNiPSReorBxY0aGMUYqBLmKTG2VTn35/Kph/wDqqHdDE6U0gHggMvcGnHsT&#10;xSGs+dodjPuNIglJeJmjc9fSod1/YLtA81B36j861sUnPOcGrVUVjlmvLe81JyV2SRxkKAx+971k&#10;MZ4LOwM+8TuwIZujZwMCu5ksbeUtviXc3cDmsa50qW7ldb6GM2ts2+2CZ3A/5Ao5kDu9jk/FGpX/&#10;APaxg86WNI0XCqSueB6V0mkahdS+E5prliGVCFlJxVt4dM1R0a9t1EkYxlu+Kj1DUrO30uRfspeA&#10;MECjp2pq91Y6alWMqaj2NPw9JJL4bt5HkZ5GXr61qWpcw5fIx3NVLfnQwbZDF+6+RP7vHFGjLdCw&#10;UXLEvuPXvXpx+HU4VuWrucW0LSZG4Dv0rOvNUmt4bdkAJcZNO8Q27TaS6LKseSPmJrJuUZbCzAbf&#10;hTlhSqNpaGtKK59RH8S3SShfkBzT08RXh58tDg81gX+nfaJElR2Ug9MGrMCMsYTBzuAOQea5FOfM&#10;ejOlS5b3OgTxBc7yklrxjOatjVJmuY0EIELIWZs9OKznv7iKO5aSCMoqgINpz2p8F9cBrTdAojkj&#10;JJwfSu6O2p5T0eg46/c/Y7icQKzxttRc9RVg6zOqwEwp+8jLEBj15qhJqdxHbOILZXYy7clTjHNS&#10;tqMiX0SeSqqY8n5TweaZJHF4lneyLtAEmL4Vc9RV5NXuXupIjB8qRhwfU8Vnf2jObQstsrN5m0ZU&#10;8D1rpEWJ9jbFDsgzgUhoxJ/EU8VnHOLbDu+0r6dK3reXzbeOQjDMMkZ6U02sEigNEpGc1IqBOgAA&#10;6UDH1TvZpY2jSILuc45NXKo38qxT2zMcDcaAHH7f0zF+f/1qqPfXfnGNESQL1IPSl+2yXjskLKiK&#10;fmZj1HtV1fIjibYygkc88mgBlpeC4jG8oJSThQewqcTw43eamCcDnvWRFpglmW6BORuGAfesv/hG&#10;L4tEouPlSQvQB1nmoSylhvWlSRHUlCDWCNHvVuJZPNyHXAGelaGmWstnZ+XJlmBPNAGjnJOaKRc4&#10;BPeloAK4Gf8A5LppX/XjN/6CK76uBn/5LppX/XjN/wCgigD0yiiikMzPEX/Is6r/ANecv/oBriPh&#10;n/yIWm/7v+Fdv4i/5FnVf+vOX/0A1xXwy/5EHTcddtZVvhBHWgt19Kd33dqhuHKEKnVqqyfbGJdD&#10;lWUBR6Y61yIo0uCDTQvPU1XsxcIXFx3wc/hVrovHSrYDeSTSYDAAGlxnmlzUjEIPABp38JHWkOPX&#10;mhcimAiqQORxSTRo2Nyqcf3ql5pGGRyKkCJCqoQoVR7VAZ5PtCoAcHvVnAx0qF1y4oWoiGeQQ3ER&#10;2/Mxxkilks2DiS3cRZ6hl4NSXEPmorZ5Q5p/+tVQx6UNAUmlvg2xfLYj+ILSmC5nKmaY59EGKuhB&#10;0AqTuMClyoZQOnQvxhmPc/8A16VNMt0b5Fbp/ezV3JBo9SKqySAzFsEFxIVYqcetWrd3DGKYHf2N&#10;SDBlaknRiwkH3h2qGrjRIBS5wcVXMrzOFRdvqTSSW2w+ZGxLDtmoUGguWqa8qoAWIUetRQzCYnH+&#10;sAwU9KS4gS4iKux2+tLZhoTLLHKMo+abLGksZV03A9uuKzngeCWOJ22j+CQfypyXdxbkLcp8pPBX&#10;+tU2Ib5Fzp7FrQ+ZADzE3UfSrtveR3OMZDd1bqKlQ7xvQjb6iobiyhn+bcY5OzrRELlrtXO69byx&#10;3sF+v3EBR/oa0FvJLN/LvSGQ8LMO/wBafcXEVzDJBEPM3rgD+H86uEbSuTLVGKSNuex6VHI3FQR+&#10;bbSyWkpDNHyCD2Pb9amB4y3Q16MdUeRNWdhgJBFKZSp5pm/ax9O1MXdI2ewrSxmyczEr3C1EFBJJ&#10;6djTVzll/hpkgMYfapOBhfrUvRFRu5I6DRIiIZZCeWcitPFV9OgS302GNJPMwvLepqY8CvDxLtI9&#10;qlpBEF4zrZyeX1A4+lYCk7FIyQR1966YjKkEZU9RWNeWDwFpIgWhPb0rfCTjF6mOJpuS0Kirg5/n&#10;SHrjmlQoVzvK+xp6lCBghjXpqUXszznTlEYvXnIH60MWijM0HySrzx3pz9SABxTVJ70SgpIIVHBm&#10;/pt2uoafHOOHIw6/3Wq4AM+/euTspm0/UFZW/czn5x6V1aHHTnNefUhyM9SlU50KRxTR94EfjTiv&#10;PJH50Mu3GQcetZcr3sa6dSBv3Lk/wNyak3qy5U8UhAbIJyPSmMmP9WSPUGpbb3C66DLy3+02zJwC&#10;Oc5rDu1ntAGmjQxk4zuwa6QfMp9a52/Zpb55G6L8uD0rbDXvoc9eyjdkJddu5QQCP71QSHy1LKMk&#10;9FNPJySegqL95vyq5969SOiPLdm9BLRZY0Pn8ljlR6UtzvDiUcgcH2ollmhCuw3qTgUnnTqclAUb&#10;qKYiTnAb1oAb8KbbuWJBXH1qXYd3HQUXsNK5HtKnjGe2ajlhlLLJAwWVezDh/rVqRc4INRFm3Cpl&#10;BSKhJwZoWqW14nltGIbtBkjtVWezWB3aaGYsOWdMnAqGeKV2S4hfbPEQw9x6V0dyfN08lfustcFR&#10;cktD0aVRTjZnP2+j288iXDXE3lyfdLsSPyrdhjurBMKsckY6BFwcVQWW5ihjiCjygOuKvWU8yKBM&#10;haPs1T7Vt6mkYpLQ0YJ0uYhLGeO4PUVLWfafu7yaP+F8Ov1PUVodSc1pe6KQUhoHSlOewz61N2Mb&#10;mnDpWHf6hekSw2kY35/d+/8Anmqcaa29wszHCDbuH40XA6j+XekAU5BAKn+FqRCWAY8E9RT6tAUJ&#10;9KtpvmWIRS9nTqPxqADULQHcBcxr1IXDYrVNHsOppSghJlO3uobpcxnJHVW+8tS1VvLPJa5t/llj&#10;6gfxVNazi5gD+vDexrmqQsWiXtSU7nPPam1jawC5/E+1BPGM59jRmihagVbjT4bhOgRvWuZl0y4s&#10;ZyLndPaKScAdc12NRsodSpAI96tTswauFgiNpSIkhI2ZBNS2UckcA8wknPAoaNlsWEWFfaQuO1V9&#10;Ja4Nu4umJcN8pIr1oO8DNkupWI1C08klVH0os7JLa0SAorBehIq5RVWuTZkP2aD/AJ4p+VBtYM58&#10;lD3yBU1LS5EjT2krWIjDG2T5anI6EUojUFR5a5AwBjipKKZmiIRIq5CjvkY70NDGxY7RkdMipaKB&#10;kXlR4OEAx1GKcFwcgAHpT6KAAccHqKKKKADtUckSSgb1B29MrmpKKAK32OHP+pT14FL9kt+0SflV&#10;iigCNEWNdqLtX0FP7daWigBDx0/nRzjHrS0UAJgcdeKWiigArgZ/+S6aV/14zf8AoIrvq4Gf/kum&#10;lf8AXjN/6CKAPTKKKKQzM8Q8+GdV/wCvOX/0A1xPwxbHgPTD2C123iH/AJFrVf8Arzm/9ANcR8Mm&#10;A+H+nDHasa3wgjpr0SeWjRqd6Nn6023vJfPS3kTbkZLYq6CGJJ6CkwA24qCRxmuSPmUP+UdyRSZA&#10;GO1J0A70ds4q2wAHI+WjHPWhOfmI2+1HfOKSYCDBGcd6eDkn2ph6UoHP1pjJM570hNMB+anlgBkn&#10;A9aQEfU1C8imYKOcUkt0rqVicMfanwxiNQxXJNCdgCQkJweT2pxDBVUEA/SkZMtu79qfnIzkZFTJ&#10;3EKxYgAYBo+YD6daQZyCe1ICFZju69qaAC2RS4IHX3pBwucignkD2ouBGg/fMfapA3Oc/N61EmPt&#10;Ljd2qYYzjIppLoArbmxkjA9KQg9jg0FTknKgD1phuoQQGmjFXcCreQAywtEdkpfG4VIYr8/8tov+&#10;+f8A69Rz39mpQm5j+WQVZ/tCzyD9oTH1paAQ/YZZmVruQOqncAvHIqwEUrjHXqO1OiuIbgEpIpA9&#10;KX5VJ5p2QFUWLRZEVxIiH+DPAoez8wfvJ5W9BnirYcMv3qFA9c0WAqjT4SuHDMO+45qjfWxsIWaw&#10;OwYLGPsa2s+vSqGovGo3O4QFSKcY3ZLdkzjba4jEh8wlZXOTmrjk4IJ47cVDJDFM5UgNz95eo96j&#10;8u5t5CE3Txf3j1FdkFZHk1G3Is4AA3c/hTioC8Hiq8d3DI7JG+5oxkg9RUgDM33TyM1dyLDU27sb&#10;uKuxIGlAUF5R1UdBVURsHAWMk1saGYEV0LAXRPzqeuKyrStHQ3oQ5palrT7We3i+fAUnIX0NXGOD&#10;yOlLz3Uj60x3y5Xb2rxqsXM9WyQ5WHUcE+ooOMH+VUb28isYY2lVvnOFBaoBqc/mBRbJgjqW/wDr&#10;UQw82KVWKNH7PARny0zVHU7e3S2BVFEueNvepI724IJ+zJ/31/8AWqvfvJcxoUgKyA8fTvXTRpVI&#10;vUxqyhKOhQBKqA2AfWkUjOM0+eKQNlk+XAqHD9dhxXpwVjy5XuOZA4KvW9pd4J4DEWBkjGOeMisA&#10;eYxwqc1NIskCiWNT5mMcVnUgpHRRq8ugk91LNO7rKwCtjANL/aVyV2tcM2ONtQ2UckcJLJyzZ5pL&#10;pTbp5gUbyacYK2op1pN6E8EzPIWSdwy9cmugt5GmtkZicmuUTzYEWQr/AKxwK6sAWttg/wAC7q5M&#10;TBbROrCydrsmUgJ5jEKnck1zN3cI80jg/Kz8cUye8kupQ8h8uME4Ac4NVLiU/Ise05PQHNdGHpck&#10;bmOIq83uitKC21G5+lOhctlSTn17U1Eb7R90A4pHa8VyFSPHrXRc4krMkumK+UCRktipcndjqT2H&#10;NZl6t8IkZvLJ8xQo+p5rX0IXUschBh+0BiGQ9vTtUTnyo3pwUnqARWPDdOoxU1vbyziYKwUKBgHv&#10;VmbTb1pPPzEG/uCrVhaTW8LGUrvbO8e1c9TEaaHTHC6mKhDRjdjcOophAz/9arWoWU9jKZUCm3Y/&#10;Mf7lRSxPMoKEBcda1hNSRz1abixm9VwDnJ4GK1dNvorgGylI80Dj3FYZVvMEMReRmBOFXOKvaLbX&#10;UWoPJJbbEdeWkX5h9KyruLNcPzIuuSl59lP3XXg+lOaWS2zCeh9+tQ60yQ4lEx80DACrWXbyXsk5&#10;jk5Ynjd1FcjV9jtNp5jbz2pfjecZz61ssf061ivatdSLEWBMSnkdm7Vd02drm1VpG5yVb8DitY3W&#10;40XvwpDyMetIoO0ZPNLjJAz1pjOXu/7V0++kmSIPDHyuK3tOuHu7GGdwVLqGKntVnb2zkHrmhQFH&#10;ygAdsUOwh386WmdR1pR9aqDAXBNJ7Uv40w9etVJoBxwRhjgDvWdp+0LOF+5uOPrmrxj3IQTWVAtx&#10;p6PC8RlTeWDD3NZyjdBexpjoOc0hNU49SgaURynyXPRTVwBSDtbcK5p02UpIM0A03YPelCgVjsUO&#10;yKaOOaRiKM8UXVwJpVdrKRUOHKnbjtVbR0uU09FupC75PJ+pq6pIjBHUDNNtmLxBiQM5x+dezSf7&#10;sykT0UVl6rIySR4LAYJODiqbsK9jTyBn2oyK5+W6iiKlrl1MnT5jUEuoRbnjW7bzdpAH0qOcnnR1&#10;FJkntisGOW8CPIZjymEGM5NRifU1trN5d2WbD/LWi8h3udFnGfQd6Nwz6/SuXtb7WC10JomA+YRD&#10;b154q0l5qDXMJIKJs+cY5J54pjujezRnr7Vzi3WpvaXJWJw4k+RXHO31pHvtVa+jaONjD5eW+XvS&#10;A6TPOMHI60ueM1yyanqh06J5IpBOZMPgYGOK6WFt8KMeCR0PrQBJSZpaqXrMJIUBKhjjIoAtZ5xj&#10;mjdxntVcwiMEtMwHc+lQMZZJCiB1iAzv9aAL+fXijPrxWfBfBEWOdtzMT83sDT49Vs5Y3kimDhOG&#10;HpQBezwPeioYZ1niWVPu1KOlAC0UUUAFcDP/AMl00r/rxm/9BFd9XAz/APJdNK/68Zv/AEEUAemU&#10;UUUhmZ4h/wCRa1XI/wCXOX/0A1w3w0KjwDpzPHlQK7jxD/yLWq/9ecv/AKAa4b4Zs3/CC6ec/dXv&#10;0rKr8I0dhIjRvnd8jDgjtQdwXbguw6k06JtyM3c9iKRmbgAsXB+bjrXMlcY5MsOo47CnbR3pFYB2&#10;B2p3IpDIARyMdznpVSiBFIzJIFD8bSadzxg+3vRIvmSK3AUD73rQckFm+bHQgcikogMUMEOSSwAH&#10;zelLwTgk/KQRTh9z5gd49ec4prqwYENk8HGOgquUQEKdjZIL9TWRq81xeQyLFLstQ20kdz6VoXV1&#10;Gr+TCN8vt0qKWy8rRmj6sCZG+vWmogSaLZJFZiRueOM/Wp7+7S0Q4G6R+AB2pulzbtPUd16iqkeL&#10;jUJpiCy87SfSqaQXJ7KN0h3O5Lscn6GrKkrIfm6MR+lNjyCqgrg8n19qkVRyc5PpWTsMF5GN3Ipr&#10;x7huZulOX72Dw1Pdd0ZAqGBXDBmZh1PAp3OwgnNMyfl4wFHzYGacqZXbggk5GeM0lECkhzqkzbOA&#10;gOc+9XkjDHfkj5s1Sthu1WVADxGAefetRjtGExnHeqQEJZSMsSQDxTWigBYtFndQSd2CA2Pvc4xS&#10;keajNnC4yMmqAzdTt428kqgUeYv8quNbxMWOxSxwBUdzbvciMIxG1gxBHYVNczWtuR5sirJjcBn0&#10;HNNRAkjRSWCxhexI9qecKwAGDjrWVD4m02XiItk8/drWfkK5B27cjjrTAaV3chgOMH3qvcStDbNM&#10;MjAPA9u9WJQnkmRcjbkcDpiqd632mwlCK/KYBAweaQGGZLyS7eKG8kiYDLHH/wBaq7x6ndTJHPdR&#10;yQrkAkHdg1dEgXVg275JYgFyeSc81MIdtwGAG05ycc1000mjjnNp2KyqGj+RQSODnjNKU+ccfw4I&#10;9KmZAIj98gn8aaVJKqoKtnI3cVqctmzLutKDlpB8p4wydc+9ILq4syEvVDD+GRf61qlV+Z8sGPXb&#10;UFwYlUNK6hJBjDDg0CaG2tykhMiEMB3HSkurkxhJ1G0q2TisGeeK11IRWEw3bgpjH3STWxBdo0xi&#10;u18uUjBDj5T9DUyipLUqEnF3N2fVohGVgBnZjkE9BVCSeWaTfdHKqP8AVjpTJnVY9qAJH7CmqAy4&#10;zwayVKKNJYhsYmyW4jld2KRklYj2yMVatyIN2XL/ADk89hVMoI3JUnHrUiucF2PBGDWqSWxi6je5&#10;Z89hLhR8pOaeZyz4HaqXnFWx6jinRu28kg8+lVoCm2Oupj5fXNVxIfKBqWdMcnOPcVCGXAGDzUpk&#10;yZPC5UcU8ysVOTg1FEQCRS3cogtvM2nJ4ANMVtBpLN0JNQ38c7S27xjKpyyetRA3MA85m3L/ABLj&#10;GPxq/JewR26M5PTcu3k4pt3GhNKdL3VLdWwPLUttPY8iummt/PieM5AdSGOe9cbbxtLdSThWiBOY&#10;26GtTzJWXebtzL7HA/KuapScnc7aNeMY2ZTunFnd/ZZQQNvyHHBpZw4K+XEvPOaLye5vpIFnVNsT&#10;Z3jkkU95hkBeQK3irKxzVGm7ojjgdZi0hHI7VJ5RZ+SQR0xUiFdjytgKgySaltYr64TdBAI0Y4Dy&#10;dceuKbdtwp03IzdVhCWqFmCEyqc59DVkqPlkU7ZAPldfWtiPQLXJa7xcMT/H0/AUk2gxbCLaaSHP&#10;bqv5Vm6ieh0ewlHVENrq7wgJeLvXs6/1rXimjmTfE6yD1HasCTTdSteircp6g7TTdOivINSR4rcx&#10;xv8A6wZ4rKUYNG1OU1udK6q6FGG9SOa5m7t3sJlVj5kEpwnsT0rqH9AflrP1OyN7aBIztdGDp9Qa&#10;xU+RmlSnzownt3UebHxPD8wPrTpvEFzMuLSIEKASxqK61SSxlaK5tW88rxtOQapxwvpc4WfjI4wa&#10;upZq5nTi46D0F5qFzwA0g5O84/KtK2ibzFDjy5icM+4Gk042d3Oz3CjzQcKSetWYrnThcvClsjAf&#10;efFZKSRr1Nm1gSBBtwxJ+ZvWqenDyr26tT/C+5fx5/rT9LJaAurHymbKDPao7g/Z9Xtpu0uUP1zx&#10;/KtU7jNQdKMU4dKDTsMbijtS7qKhoQ0DmgkICWOB3NL14rMmne/uGtoTiCLiR/WrikgJm1SEMViD&#10;y44yo4pjX07n9zZvn+8SMVEt4+fs+mxbtvylzwox/Oo2jdzi71EKO6x/Jj680NCbsOmkuGGbi+hh&#10;HonJqtv02P5nea5f+8QcVMX0W05zFK/quHJrOnvpb2TCA29v02LwTV8pEqqiieTU9LicK1m7HsQc&#10;0j3kWwSWEMiS56BgR+NRJDEmdsQPHJxyfqaaLWJTvjjaNs5zGdufrVOF0ZKvqdKmSisSQSBnNKTi&#10;ufjuruLhLnPtIu6rMWpTJIi3agK5wrj1+lcc6LSubRrJuxqAc0EcU5cEUh54rk5dTe5ZXmLA644p&#10;tqjRwqp75/nSMSkBIyWA4x1pmnvK1qPNDBsnAYY717FLSFjJlys3UovMkj3IzKQQcVpUnOQQelaN&#10;XE9Tn30+F7dFaNyEPAqqNLhgicpG5IyV47mupxgg9+9KBgds5zUez1J5UcwTqkUypHnyjH8nHQ1W&#10;lfXzBZFSxLSDzBjoOK68rnHPTkU7kd602GkYR+2h7z7wBT5eO+KzpbrWlvLNUVmj2ZkOOhya60Lj&#10;uaMHk55IpjscvLc6tJFdCHcH3/uxjqOa2NMkn/s6Jrxf3x4NaAGOmOOlGAcZ5xSCwgQAYwDTsUgG&#10;BS0AFZ+pyNF5LohchuRjpWhQeeMnFAGWHEsjPM5ZWHC4PFSQT7IijnKn7owav7Rn+VG1eOORQBjw&#10;6cZz5zuQvzDA+tFtoMVtDJDG5w4yc/WtjHvS0AVLa0Nta+Qr96tLnHJyaMfnS0AFFFFABXAz/wDJ&#10;dNK/68Zv/QRXfVwM/wDyXTSv+vGb/wBBFAHplFFFIZl+If8AkWtV/wCvOX/0A1w3wyX/AIobT1BB&#10;LLnbXceIOfDWqcZ/0OXj/gBrzH4cx2z+FdPjE81vclTtYHCt09qioh3PRg+2TIILD9KU3UccHmSs&#10;IlJ6tWTJNeWABu0Dwk4MqcBfqOtV9Wi+0S2tyDvtIn3OI/4un54rFWuButNazYeOVWPQ/SkYgZ3g&#10;YHXHeokgsL2ISBEZSP4Rgj/Com065jGILxgno/OKc7AWyjOFU8N1UelKyqsgwxDEfN6VQaDULcb0&#10;nNwB1jfqfoe1RxamquBKjW5zyroT29RxSQGmvCjbnHXce9RXQk+yyeWdsjjApIXMoVtyyAjnbwPr&#10;TiNpAO0YYAkUkBBpjWy2asQFkU7XZupatAlZUIOCCK5q6tJjf+Zs3wlg23P3jnB/xrZeyT/WQStG&#10;ewHSrQGHZ6s1nPdW7r9zIP0rS0x1khWYKDu+XGT8o9axE0ue61a+NxOwSKQbSOjnaOtaukvIu6GR&#10;FJC42jofalLUSNIFsnOQEP3scH2pxb5hhsZpAGUELkjunp7Cjou4szAj1HH0rFookj3CUseeOtSn&#10;7pzTFO2EZBxjv1qDe5OfyX+lJIBxR1jAIJYjLY96eDl49+VxjbnvSq29wSGBoZvLk3FSwxkv3X6V&#10;pZCIIQP7Unb7pKD+dSSSI2QfzqpGx/taYKMqYxkn61BqYQwC2C8O4zwenepa1GWxJHvMSHdn371S&#10;1G8bJgRCJGOXx/AO1T2ui20MscqD50GRT3tUtpZpcu8rZ3Y7ChRZNyvbXMsNzCsjiSFyEBHqaxtV&#10;mt5tdeOdkDrJgAsRhcVtXFtKt5aXFrDvSNckFgpJPOee9U7jSNN1y4kmubRhcoNj4OCK06DLdvpe&#10;j31uzWyKwJ25ViMEVoKUt0ZF3EIoXrms7StOt9Ht3t4PMWI4OerZPvWpkkMNoHHLHrUdQEaRY3ww&#10;YA55qhqGqwWaQJcbsuflK1al+4SuGG4AE+h4rD1+JH+zKwLyM+xVHTFHUGQ3Lo9jZSJtLQycN3wf&#10;/wBdWZJEZ2ALFt3WnQ6Mx00wzTfOjZ3jgj8Kgkt9QhDTMsM6r1ONpIH1NdMJJHLUg2yd5THE4ZWI&#10;6BhSTHy0I3l+gqO3n8y3Eq4KMcqpOdvYipnwk6txhhWhg1YiBLRO+xgo4rK11FNjGSSQrjGe3Nac&#10;u7y8A7gzcmoNSsBeRo0sjKF6Ip60GbMK20zSru8uWt53aZGDtg9MVtXUIntVjmHmL2x94VmWulDT&#10;r+aaMuXk4Az0rZit2wHUnPfNDITbdjEMd9p7EoWnth/C/wB5a07G7huo8wnB/iB7VpSKq8FlBxyT&#10;XGeJDe21+raeksYK8soyDmpKcbanUsVDH5gRSAB1wRlfauW0m9mtEEl/HNG8pyZWGQfw7V11uyzW&#10;6tG/ysch1IxTQrEcce05UZPbNSR7RIRGGP1p3k7OThec7j0NQPcxwz7FUzzdVSL+pobRpGLfQndS&#10;xJbJFVneCCREnfazdKe14/nLDPA1vLIPl+YEY/DpUepWZubcNnDx8geopLUUk9miNZpWkmKGNIoz&#10;ty3WoJZgXSPzxcKTkoo5z6CtHwzYQ6lbtPcICUcoIieFx3I966mKCCIBY4lVR0AFKUrHRSoJ6nK3&#10;mlX6ad9pkdXfGZYSMDb+HemWdjEbcTrkttG3d0UV2DqHVkPRhgisP/hHpcvD9rYWjNuKDhvpn0qV&#10;MqVBGQs0NxM0UUmWU89hT3hceoIreu9Gs54EiCCMqPlZByD9az5LbUrQBXhF0o6MhCtj3zSVS7sZ&#10;yw7sZ/lMoyQV9zUyBQMlaU3lqufMWRD3UxkkfpzT4o9QuzugtQkX8Lynr+HWrc0jNUZCmMPbuhHy&#10;OMN9KWy1GTS5I4riTzLY/KGb7y1ONJ1GUbZLuNFPXylII/Oqt7penQIwivmFxjkOchj70nJNG8IO&#10;BvvqdlGQpuoyccVOkscq7llVgemDXIRvbwwlJbcK5HLKMqfcYqk0tpHN+6aVD1/doazVOL1uaus1&#10;0O9ZSfuZx9aQFsjbjHeuJFyGZdt9dxt252j9RW9pWozteNZTyLL8m5X6n8aiVO2xcKnNpY2c4XGe&#10;M9aOO4/Gorm4htovMlbaqjjPrXOalr14vlJbxLGknIaTk/l2rBK7NXJJE3iAW17f2enoxNy7ZOzq&#10;q+/6UniSe0iSGOQptPBbvWNDdr9vuTbFjKqDdMx5AOCcfjWtp8ekX+YDD5jsv3pBy3vmtJJ2sQjG&#10;e0gSMra3u8updOe9XtElhlt5cZyVI5Her1/oWnWdiZYLREkRhg1JazJJpEMMKA3DjDY+tZKIupq6&#10;UmzS7dcceUoBqDWOWsiOq3C/yNWnngsYFWVwqgYA9vaqAeTVL+ApG6W0J3737muiFkWzaHSg9KBg&#10;DA6UHpSdwG96Wk70vbPWp1EU9SuWt7X5P9a52oPeqUoNlYxWsX+um4Ldye/6VLd5l123iY5jWIuB&#10;75FCMt1rhbH7uBMf8CqkmA67P9laK5hADIhw3+161gfZ42jAkRmkPLFmPJ9q3vEDqukyKT8zkKg/&#10;2qw/mCfMeVAFdEIpnLXm0RiJEOFjAxTJ5I4zuZjn2ptxPJDDuQ4JO3Nc3quoyWJc+U0kyj5WJz1+&#10;lXY4XNs6uHUWCfu7Vse/eh9UkUhprdljrJ8N6pJqEb+bnzEPTaRxWtqaq2n3AUk4GTmjYauW1kWQ&#10;BtvWmSt5rxWyrlnkVh7YOTUdu2IYxjggA/lVnRYTJqd3cSMT5eIwPcE5/nWdZpQOjDpuRu4wc9+l&#10;OyM0Dv71huJbu+ulmu5YFhJKKjADGOtedFXZ6RuXiyvp8ywHEpX5T3qroa3iWOL5i77srnrilgeS&#10;60Jv3m6VlIDk9fepNGtWtbBYpGV265BzXpwVkZXNCiimSSpGMuwGeOavcGkh9LUQmix/rF496Uzx&#10;8HzF496OVk80b2JKKYWGeSOO9G4Zxkc8igbY+imlhyfTvRnkg9ccUDuOoppcd2HqaQYIOM7qAuPo&#10;puR1yB+NLxjPOTRYLi0UU1mC/eIA9aAHUUzzU/vjPrSebGed4J9qAJKKRSCMjpS0AFFFFABRRRQA&#10;VwM//JdNK/68Zv8A0EV31cDP/wAl00r/AK8Zv/QRQB6ZRRRSGZfiHjw1qn/XpL/6Aa8u8FCX/hX9&#10;kXEc1uq5+U7XQ+xHNeo+IP8AkW9V45+xy8f8ANedfDuw03/hBdPlugCxXkFj/Ksqz90DpUsLk2Sy&#10;wXrSB1zsmXO725rPjv006VFuP3UbthoX42N/s+1b0Gp2ONkc4VQMIu08fpUGpnS7y1aO5dGQjdnB&#10;3Aj6VzRYyMo1urXlqVJIzsBwGrVhmWa2SaMYRxzXm1le6rDNJBYTs6MSsaNj5ee9dDp+s3EEENg8&#10;Cwz8gySHj8Oa0lqhKSOmlvLa2I8+ZIyehc4FNmnt5bF5GaN48Ek5yK4XVrY3F6V+07pW+85bg+1W&#10;pLWwGnxpunlnUYZoiR/Pis1KwXRuWgSPT4RPKIYyQRzg+1XSzgyldp8zG1mPHSuCuLh5pxaKyDPy&#10;Ftx3fj2qO71m/wBL8rS5CJBnAVO+emSavnuLmOl1zXLK2gV/tQW4ik4AOM54P6VuaJMzaWsxBAky&#10;67/T3riptOe8MT30sbhR+6tbcZ5Pck/413OmQSWunRQyHfIqrwe3FHONamVZsgtbieRsPKxMpdsA&#10;YOBj8AKp2Wo2kd3JuuVVTjb83UfWtdtDtTdvcEO2452E/L0rP0dbWXVbi3kSMkcqhFOMk0DNiG5h&#10;nC4lLgD+AdB9ak2odnmdB91sYUj/ABqGbSLeRt8YMEo6FDwKrLcTQTm3vioH/LOQ5ww9PrU7jNhW&#10;V1Gz5lqvIwEq7VDZ5POMGoLeWXzXUgxoGGM9x61LsjdSQSw3Y3CiwFpQyswKnAPBz1qFwfN8xycK&#10;MAZ6/h3p4cRrtwxwM0yWVYYi7D+HODQDKsMEi6nK5U7DGFBzjvnmobplGp28YYFTk5LfSqNp4l86&#10;/mgmwihN6+vXFT20c1zcSXU6DBXEcf8As+tCBK5Yl1ZEmeBD8y9/WqCXzR6pDcLNxL8rxs33ff36&#10;1nyRBdZuQzFCY/lz0PI6VFLE7PK4AUxsrYPU4OTW6jeJyuq1Ox0812ltaSS3EgVNx285J9Oe1Yce&#10;oyNdSXcEJa3VdpkZyAxrZja21GyUhVeJ8bwf4TVG/wBDS9eJUmaKCL70MfRj7/hWOq3OhO+xNYaw&#10;k0BkmZIW3EIhOd/0q8uoRb9rKyGRflaQYDH0FVodOgtwGgCCLHyg84xVS6lhtL+PzgiRhd6yAMQx&#10;9Kdiuhrl8Y24BUkNu9azbWJ7y4N3LtJBZUXsOaQ6pcyRmaKx8xP4F6Eg9+tTaNaS21uz3XyPLIZE&#10;T+6c/wD16loEX0OC7kK4+7uzk/lTsbgAFEuD1PTPoaxb67ne/a0jYQeWgdm/vc1GNYubXck1q1wr&#10;dGjOMfrWkUzOVWK0ZBeQGw1MJAokWZtzQr0jHr+f86sKzMBHwGGDyOntUFtBJK8t5cKVkflVz0FQ&#10;wS3E8fniXGefLYcVvFNI5KjTZelTy5gx6NwcdBTFkYvsCjYOhPPNV4b03SSBsJs64pC4Me1SRu/i&#10;p6mDZYHzPhQM5y3FTmWO2iEkrqkZPXPFVrcukqCXjPAPrT7eOK51C6lkUSpGRGoPToDxSbsa06d2&#10;Q3FvZakjEXBdcnBikx/Km21n5BA8yZ0AwBISSPzrTvNItJmLBQkp5zHn5f6VQNnqFrcKptxNvGEc&#10;Hj/gXP8AKoU0bTpMSUQC0kM5R4scbuc8+lZtrZanHKbjS7fbalDiOY4DY7gdq2U0acyrLftDtB/d&#10;xLnA+taolC7yMIoXofWs51NdB06NtzmtNEGpTvFqU8kd108jeVA9wO9dHDY21kQsCKCRtBzhvrnv&#10;WPf2U+pWxuMRo/8AAw4brVER6lYXW/UInmhz8kmfuDv0qeZs6IxSOiv/ALNJbypdOqAr8r7QDx71&#10;zQ1GS3cQzW8rKD8kuPvD1res4tPuFaaDLg5+TPT3Oan1LT4buyMZxHhd0anqDn2qozaZNSF0c3Jb&#10;uQ2p6bdSRsCPMROQw7kr61rWevXkMatcx+fEf44xyv1FY0N22m3EsNxCw3gDaOgPrVixuoYEIkZR&#10;uJwvJwK0dmc8eeLO0guIrmETRMGU981JnpkHp1ridNju2vbl7G7YQbidpHyn9P5Vt/2lfQoPtVll&#10;Mf6yI/4msZabHZF3WpqXNzFa27zSONi/wg81Ri12AOEuIZ7dWHytKvB/E1UDPrF3bqInS1iO6Qvg&#10;ZPp/KrOr6ta2Miw3No8kb8hgMge1KPcGaCiC6AkTy5B2Yc1Hc31tZEJNKPMPRR1NYSyacTvsdRe0&#10;Y8lUGT+oNaemWdqS1yZmuZm/ikxn8qbt1AZc6z58Bt7WCcXLnbhlxtHrVm00q3gtlSSJJJH5cyDc&#10;Sfxq6FG4HaMY6AU4qcEk4A5p+gPUw7NVtdUn0+SMGFhvjDDPJ7CtRbaFeRbx5Hoo4rMvfs2pTJ9l&#10;uFS9hbKNz+IqO41fULaMCfTZCQeZFI2gep5ziocWKyNWe1tbhSkkETD1KjNUkj0zRi0kQHmn+Hdu&#10;Y+wqmPO1KeJSfMidM/ujhB9c81ah0doY2XzQj9RIOdv50tUFl0Iy0bzrc6i6xKOYoWPH5d6x9Sga&#10;6ujOd6xucRIRhpD6D0Fb1xeWduF3D7TOBgKBncaWytZXmN9dDDn5UiX+BaTkkFjNXwmkyRzXEjQz&#10;gAjy+AvsfWok1T+xLwWlzapLtXKyxoNx/CunJ5IxniqOpSR2dpLdmKN5ANiEjkZ4/rUKq5SsDVlc&#10;gku7TWrEmynR2B+4Tzn0IrH0bUF0/UxbXCGMyEjLcYNT2uhwraM8bFLyb94ZU6qfTHTvUF/F/aVj&#10;I7IBcwcSgdR6N/KtZRsRGVzYRRN4gYS7WjSJTEG5HetpAAOMD19K5PS5Jb4xvDcCO8gQK27o4rZi&#10;v5YpfJvo1Qt0f+A/1pRZd7mqvSj2oBGM9veopbiFEYtKoAHPPStdBla9vzbskUMfmzv/AAZximw6&#10;tGMpdIbdx13/AHT+NVtKUzPc3z/8tGwuR91f/wBYrQeGNwRKm5TxWXtEh2KFuwu9be5i5jiQoG7H&#10;PP8ASpNGHmLPKRy8hJ9quRxqgARVA9qq6Suw3UefuykfoKcJXEyrrpJurJD/AKvcW/EYrPdS3Xoe&#10;tauvQbrSO4GT5LZIHp3rJnXzIG2PgsvH1rpps4sQmZ1xEZrpbZnCoUyAOcmsK5eSynuZDAJFRQv7&#10;7jJrbsI0juZUuGPmRKDuPpSzNJqBeNY18kuMsw61ocuhFpt0LqCGS0jSNnTc3pn0q3Lb3d0+yeVQ&#10;h6hR1qyPItkGcJ/dRBSwi4nmDRWcxHrwKhyNI029iwyfZ7XzMYRRlf8Aa7VpaTA0NghkH72T55OO&#10;5qFNPnmdGuW2xo2RH61q4z7eg9BXFWqX0R30afLqIKztTsXmUzQqDMoxIuPvLWlSYxz029qwhdG7&#10;KkEBk8PmCEMhZSu3oRT9DtpLSx8qXcWU9WPJrSiOEB4JpwGetepB+6ZMB0z2rn/EUqnYqk5U464r&#10;oDgDn1rG1azluiRGgOGFbQaT1M6qutDlLm9eGbywrtu9CamjuJJIhId6A9ielXZtAuJZllETblPq&#10;KVtGviSTATu9D0rqcqfKcMYVFI0LuO6m06TyA/msgwAxqKOx1E20ALuromGJc81I1jqGZNrlVdAA&#10;PQ1FBp+osIA7uNn3ix61xvfQ70nbUj+xao2nXcRkmDn7jbjVhLLUt1uxllwsW1vmPJ55qH+yNT8q&#10;7/fHEhyvPStuwjmtrSGJwXcDDNmkVYwp7DU1sTEs0plLFt2TwPSp47bUmnJMsmPLx949a6McELg7&#10;euTRgnjoaAscTLY655EUSlzhjly5ziuwtVdLWNJD84UZ59BU3NHfOKBi1TvQHkhU55btVyqt2rko&#10;0alip6UALLHbwEl8DjpnNUvsguZGmz5aAcBT1qZI9shlkgd2Pv0pY/Ni3/I5DduOKAKMOs29k/2W&#10;QSEqCzMOcCkj8UW0kCSCNwWbbgirEGkQnMs0RZ2zuz6Uv9g2WIwI8bDu49aANNW3KrYOCM04HNRe&#10;UobcC2AMAVIOBQAtFFFABXAz/wDJdNK/68Zv/QRXfVwM/wDyXTSv+vGb/wBBFAHplFFFIZl+IT/x&#10;TWqH/p0l6f7hrz/4cadbv4Hsbho/NcJkb+1d/wCIefDWqe9nLx/wA15x8LNRil8JW9kpMUqKAGbn&#10;cSOwrGt8Izei1KfULl7S302MFDjcxBFMvjd6fGXayhTcCu6Jctnt0qlb3l6uqzQQxhnVv3kmNojH&#10;vj/PNW00/UdckeaW/aO1U/uwqjLVzITOd04z22os048vgtuK7mJP8qnWGHWdTEN80yxq+UO75ifr&#10;XSvot5HA8cawPuX/AFrn5s/lVe18OagshN3cQqnX5Rk/nirJSMDX7TTNJv43juA2F5j3bmz9OtXL&#10;vxDbS2Nvb20UxmcbWVYioY1P9n02TUhdRWxkjgfyZDIMnJ75/Cty6toBrtjI0SLGFyuFx83PX8KL&#10;IfKckug309hGBpxS9SXJkL7dy8Y/rWj/AMIlPevHLct5LgbWfdub8DXakbuecg4Box/CQQPeodhq&#10;Pcp6dpNrpkAjhjJIHLseWPrV09MmlxgdcjoOajmmit4S8rhE9TQlcoc4AjbqSBnbXI6biXxFG6Bv&#10;MRCWPoCK2LrULi8gZbKFlBGDM/AA9qh8OR7bcuSDJtCs2OtU7RQNG8WwfXNV7mCK6gaOQZC9/f1F&#10;TY5/ClKdD/d6e1ZKTAxYJHSZrW4Y+aB8jscBh2+tXwgGzy0G0HgZ/wA4p9zZw3iBJFwwOVcHG2sa&#10;2hs5ZzAupu7g4CA/1roi00J6bnQGRWA65I6VRuCJ4JFdiA3y/Lxj3qqs01hdraXkhMA5jlx19jS6&#10;xqEVjp89yD5rIhzt9+nFVy3A5/S9OgvNSW5lUtKiYTMg9T1FddsUOpbK5B3ZbkZrnvDtws08uEWN&#10;1TDcZ/Gr+pXs1vLa28A3SzDc0jjrj19OtEY6k81inq/y6pDIF27oSME47+tQKytJvUHPfjPNNMc0&#10;tz9ouGLkAgBug+lLGT8oxmRTwBxmulKx51R+9cdHObbWIFiAjWXiTC8E+tdC4AHnAqpySyv247Vz&#10;8iKt9ZzL8z+aEKt0I71sag4t7Cdwq/MOSWJ68VhNXlY7KcvcuUxrcEW7bFK6BjlwOmfT2q8HiuIz&#10;IuJFIyN54+max7MNFaRRsoztAYetWLSJrXVfswO63kTzFQ9mzVyhZCp1OZm5b25DeY0m7IwDjtU0&#10;iKy7XyB7VGs4B2bcfIfw4oLTFFeP5m29MVidCOY1VPLuo70FmLHZIPRe360sjrDC0w5Cgn7ta97C&#10;k9rLB/GV2lgOSetc9EHmsHt2YCVCYmGfTjNaUzjxELO5JDrLGAPJbt5RHJU571n73e7kt0O22c71&#10;fOM56CkjtZ9gguZBsT7qocZ+tXo0CQhdmUA+VPTHvXRa5xcw9LeO1t2YLgt1A71NEiSqsRQBAePr&#10;TFkUruG4luCMfdqW3AiXy2+Zv4j6UnoXHcYyzXZktoACUOHkPQf7orZtbSK2szbQrkDlyfX196xn&#10;FxaTzXNqwaNxh0b+lZ9pqUEVwsdws8KMTvYucn9elZS1R2UpxWh1wuYVkZJSqnG5QKezHzQwwwYb&#10;dw6jPtVSGytZLdfL3ux6SZzkVGllN+8SOeRY2bGQM4/E1ztNHVe4Xk8jzm1RmIB3Ow5I9vaq8ltd&#10;xh0WdZEkXLKwyee+a0oLVLRlVXwZeHzzk+5qbYoz8yttJU4HIqbDRD5B+yiMIRtAPzHIqSOHOY2C&#10;8OSxPb6U4jdIEwSAecnHFE7eSjNIwCK27cOwFUkDM6fRwzPcaexgus/w/df6ikt9VMTi21GIwzD+&#10;IDKN+PapotYtJG8uKbDucqPXPQCrNwkcoCzLvQ8bWXr9D60CQk1rbX1uhmiSZd2fm5xWVqcdtpFo&#10;pt7JCXbaD29aka2u9KzLZFpLc53QSdfwNYutSz69brHprGC9gkBEUh7Y54q1sTJIqXmu6pA6tYWm&#10;yFolKokRZckn0rpdA1Ka900maF1ulyH3oRj6Vn+HbnUoLxdOvIMQQJt87aPmNdQACBgjIHpjP5VL&#10;Q4jnKsQmQOOuO9V79JWsXWPDy7TjIp4dPmAyrE5J6jNTJIzdQm719qnYbOI0uy2ajsuomRickl8C&#10;tDWp4NPnQ2UrQzN18vkEfhXST2kVwp3KpJGM4rm9Y0uxtIRKbkq684Y5P4UJXEXtFnvpp90kjNER&#10;kllPNJq2o3Ed2baKVQr8HHWqOneLrVNKcyFkaPhVdQC1ZR1tfMe+S3llmY4VnXCrWi0Fc6K0tLTR&#10;R9tu7lFOM/7VVbnWLrW3NvpcEn2dhh5m44rJtDFfXYk1OR5Bn7oHy4rt4UiSyAtY9saqSqgYzSbH&#10;oVLCKLRNJiguJQNg6DjJ/rUXmXequoTNtaHuRhn/AMKpWV3Zyzm41ScfaSThH6L+Fbsd3ayQ+ZHN&#10;GVA5wen4VMk7DVhsFra2EZMUYQd2/wAT3qtLrNpHkKJZWHXyULY/Kq0876tci3tSfsqH96/96tSG&#10;GK3ULHGq8ckDrXM2r6lLUhttTtJ24kCEdVdcGqniLDW9tbqTmSUEA+gwa0LixtrkYkRQccMBg5rn&#10;Igw1+RJroyxwIAocYwa6qEFe5FS6RtR4AJ7nArLW4jXxQYCuEkgwze+f8K0pZYoo8s6qPvbieKx9&#10;Kt5dTuprvZiJpco567QP8a1rM56epBeKdJ1gSQrhY3AdfVCcf41089tFf2pSQ7lcBh7elZ+u2ySF&#10;Zz0OUYnuexqXQrzzbUwSOpkj6NnqK5Nb6HREFh1Xyjbb18sceceuP896nj0ayRRvi8xxySepPv61&#10;dLqCOfyPSoheW5m8rzkMn90HmjmZSJdoVAuMAdAKBinbe5/CkA4zWbjqUHbjOfasvP2LXflJ8q5X&#10;oeu7v+lTancy25gjgwryyBAzds0Q6Y32sTXM7TOn3QRgA9zW0ESzQZVdNpGQcgj2rk5YjY3ctk5+&#10;U/PF9PSuvByS2B6A1zfiDDalZhR84BJPtzW8bowrpWuYdxHMZTNGAQ6FGWpNKkmkdoJIcLH0J7j0&#10;q4UyxIHNWIFCkZA9q6Oh50Vdkmloiaw4nGXZAYiegHpXR4PB6cYOK561RtR1FXQYjtWPPvjpXQng&#10;YFclRs9SmlykZpe1Ic88cA9acB19PWublua3GYFKemKXFJ1NK1mBZj+4KWkT7op1elT+GxDExkY9&#10;qhjObiT8P5VNnn8Kgj/4+Zvw/lVMlk/elpByeKMjOM0wsgoo70UId0xaKQHrRn2oGLRSZ9qWgQUU&#10;UUAFJS0lABS0lLmgAoozRQAUUmaWgAoopKAFrgZ/+S6aV/14zf8AoIrvq4Gf/kumlf8AXjN/6CKA&#10;PTKKKKQzL8Qn/im9Uz/z5y/+gGvG/B8z2vh/R5LawYk4LNn77cYH869l8Q/8i3qnp9jl/wDQDXkn&#10;w+/tGfQtKEK/JHGSu5cr261jV+EDsdM0q7njLXo8kSHfKinmQ9sn6Y/KuhjaKELEpRQo4XNZj6hq&#10;FhGZLyESxnnfCudtUbKKHVb27czOSwDxuGxtzniuZK40dKroxKhwXHVR2qrqiXMthKlscucBvp3r&#10;DNvd6PqKrGJLh5VOZnJA/E1pwwyMhZL7fN1IB4HtWvK7CujPsbDT7mVAGaN4SA0G4ZZl6E1oas/7&#10;2zt40zIZPlz24qC20eRtXGoXBRJccBBjd9asawhRYLxQfMhfsM/560ktCiK71l7a6eIJujTgnuTT&#10;otVlkQM0G2P1yDUeo2sXM6EGOU4LYywY96oSRf2UVWYTSxbwXYLgYxWEnYDpTKqQGY8KqksfQVl2&#10;ySas6Xdwu2FSfKiPRvQmkvdTt5dOmEbFty449u1Mt78yw2cVsVXMXLdgRjj61V7RA0rwiKykCjgL&#10;90dBWf4fA+xOc/8ALQio9Wvns7TZPIrBxjjg1L4fUjT84ADOWHOaylJtjNgYz+FKWFJggUDmtECI&#10;L2QxWNw47JnNcfY20JttmAHOWLdD1rs7lBJaTR44KEH8a4+ymW4tlCLmRWKt6jmuqklY5qzaZoDU&#10;Whi8m/jFxbjgSoOfqR1p82iwXEQn05kBYco3KNUJEm4+Yvy4xmqdpd3mm30drA6CG4fl3GQntROM&#10;ugqdXuT6PbXNj4jvYJWR/NiEg8sYC847/Sr+r6e89sskW03MbDa2eWA606xtpjrNy9zIHd4hgpxg&#10;ZrU8jaG+UBB0LdfelG6Zu0mjnUlF0hVCTIBho26rSJFhgQTzz7ipdYt/s99atG2GmO1inBI5NUPP&#10;aO5aXdm2X91ljz9c/jW6Zw1IpMslQNStFLYU5YZ9Qan1iRLp47SI5G7c5Hp/+uq1ygkji2OQYzuR&#10;/vEism3nuoxK9v8AvVckeY/Ue59qOS7uP2qUbG6gKyAk/hVmMbtZsyDyIyT+dYeiyTvCxlYyDeeT&#10;1Hr+Fbulj7Rq80oORDHsX68GlUegYZXkbuwbsnqeKjuJ0tLSWZhhI1zkdqlPHt3NYfia4HlQ2G7E&#10;lw4OB/d7/wBKwirs7ZS5UykbnUpVF3HMikjKxEdBVKCKaEzzTsolmYttHarNxJtXah4FVPMaRq6o&#10;JJHm1at9CRVyS/BOM596iikYkfN+87AVZVflwaYYBEd8YqrmCRYgQFWlD7XAww9zT5Jo7eRFcpul&#10;7kgEmoJZPItJJ44wxC5ILZyfpVmy8NW9zEbm8ka5kk+ZWBwI/YVlOdtTqp0+ZDZIjI2xgQe2OlZs&#10;8cMTNHK0bqeMDnPtxW7/AMI4nmHF5cCPH3RIf51ct9KsrcZjt43P99hzWMq5rHDNO5zvh6WOO8ls&#10;YQ8loqh1D/Ltb0GfoK6gxbnRmVyH4ZCRgCm3WnQ3UQxhJF5WRRyDVRL+ex/d3sbOF+7KnIP19Kzd&#10;RS1OqMeVWLwRTASQFYtzgHg0SKGkYsOg+YmnQ6hazj5Z4yT/AA7ulLId6lcAg9GB61UWhkUkaOiq&#10;xG5RlD6j3rM16V10xlwMGVFO/kkFhmtfGQzYDJjGOtVb+z+22M8CgtIw3Ln+EjkAUp3toBhXEi3W&#10;qR2BdYYodjKoX7/FdLHlUUFQFUfKF/nWNGLTVLWNWZYr6JQgYjDKRwTUmmXrSRTWtwSs8Rwff3FZ&#10;wb2YzWDr5Qdjgc7s9qxL9tM1KRw06RtERslUHI49a1p4VubWaFjtEseTzwOKyNNWC0uEsLuCBkc4&#10;jkAGCfQ1utCSODVbyxRFvBHdWudouIxk8eo61v291HdRCWCRJIycDHUVj6paxaW8V3EDHEZPLljH&#10;TB4HH40XGim1P2jTJjbfLvIJ+U+5Hah6gbhcDOGBGPu470xnjXzBIwHH4Vxs3jqONUt5rdku8lRx&#10;kN75qrLcG4h8++1OSOPusfOPbGeDUWYnKx0Wq+JRZqttZQ/aLl+FANZ9rpMzyfb9WuHtJG6KpBx/&#10;Ol0RtIj/ANItormZhyZGBytaeo3VhqVkY5neDcQQ0i4xS1Q07o5u/wBLa61QyWhkugBgyMRWnoM1&#10;tbSss7QhicbFQk5psEreHiyqwuoJcHzAcU3SLXZNNqDIAEy3NF2T1LWow3KaiWUR+S3TPFax1KOC&#10;JILcNPNgfKvTP1qGysVvYI7u9YyGQBgu75QO3FRXmu6Tou1YQrSM+0iJRwO9NalaE7HVJcu1pb5b&#10;opHP86ovHZrMP7Q0vys/8tFy2T+FXtJ8Q2+tTyR2ysCqhuRitjA6cY7g81LvcZQtLiyMSpDKqjoq&#10;nirQUAbi3FQ3GmWk/LQLv/vLwR+NZ17ZXNnaSm1vm8pQeHXcR+tR7NtjTsWrvU44FxG6mQ8AnoKx&#10;zocF9cSTxagPPcfvQD0NaWnaJAY0luGNwzqCFZcKT9Kivra2hvrRbNFinYneI+OMd60UHBXFL3jD&#10;TSrOG52zzXc4Ruhcbf5V2UAi+zoIlAjAwoXtXL6vavZXO5WPlv1+bjNbOnoLfT/tDSFzszt38VnJ&#10;sIxSLtyYkiZ5sMoXoa4d7SeTWEbT90Qc5PPGK2LaC41ljPJKVhJxtDZ4q/eRLYvaTomIo22tjrt9&#10;6hN3K0IDoVw5Hm3ZfP3iM1csNFsrOTzETMn989a0EdZV3BgwPdO1SBRwDge9JJtiEJBOM9KQDA6m&#10;qNxq8CSeXCjzP0PlJmoxqd04Jg0+TIH/AC2yozV8jC5bvLSO+gMch46hh2PrUGk3Uk8MqSH54pCm&#10;4dxisLVdTv7aVY55fKZxnZEucVnWNxr1qkccVtJscks3l9DitYpoTZ6Bj5cg+hrnPEAaLVLWY/dd&#10;Nn6k1uWcrvYRNICrbAX3rjHFZOs32m3FjLC83muvKmM5INbR1M6rXKUVwO/SnHHXPbiqdl5strC0&#10;gw5HP096uiP5c1o9jzyWwuP7PvXSXiC5O4H0b3/KuhZ1RfmZQnUEmubKrLGUkGVqCS2ZyoaeYx9A&#10;jEkVm4XOuFVRiaV3rW4mHTx5k443n7q+59fwqPQ5LmW4nMkxlhAADnu/Oce3SqcUXmSCzt1Cofvu&#10;v8I9K6K2t0tYFgjUBV/nWNW0djandkjEClHakIpQOK5ou8jYsp90U6mJ90fSl42hsHA7V6cNjNi9&#10;x9KptPHBcStJJtGR+PFL9pMdt5zqeG2j+lZOstk7gvBdf5Va1M5TaRqnVLMDd52PwpBq1keBPk+4&#10;rjb+4ZZViRlAI9KMFLdg4+bbnNXynMsQ72O4F5bnpKvTPWlF5bsQBMvzdPm61zsNjbSq1w1yqsYN&#10;rKT7ioP7IjZ7R4btMK3B39cdqhHVGd0dQ91AgcmVRs689KVbuBgpEqncMjB61z02nwyteq10g8wf&#10;PntQmm28UkI+0RnEZjiw+PXnFA7nQfbrYKW8+PAOCdw4p32uAkATLz0561ycOi2i2lzbm8Q7mBfd&#10;zgjNXE0qNbqAyXUYYJhVHp60Bc6AXUJ6Sr6dad50ZON4yOozXOwWNrb2o3XMbZbKMW6tVr7G0t5I&#10;UnTc8YUgN7UBc2ldH+6yn6GkkkWMbnbAqjplk1kjq/Oe9WLnBRA23G4feGc0DHfaoDzvo+1wActU&#10;Uxt4FBMabj0XH8qh+yG4AkljCLjhBQBcF3A2Asq5PQZ5pBdwMuRMpGcZBrn4tMi+3faUmAlDYCl+&#10;B+FMsNKihs5VluEKmbOQ3Q0AdGbu3EpUzICBkgnpQLuDaD5y4JwDnrXMXmiwyX1y5vkVpYzuy/3R&#10;inDTYobayj+1RhFcFSTkP1oA6b7TCcjzFOOvPSnJJHIMowI9Qc1hPoUkk9y4mKLPnOK0tJsTptot&#10;uzF8c5NAF8VwM/8AyXTSv+vGb/0EV3ozjmuCn/5LppX/AF4zf+gigD0yiiikMyvEBP8Awjeqj/pz&#10;l/8AQDXn3gLUI9M+HOmzEbpDwoHU16F4gI/4RrVM9Pskv/oBrxvwnPNJ4TseNqRxFIl9S2OfwxUy&#10;hzaEVJcsbne6f4ogvJHt7+Awb/uk9CK2LSLT7CL/AEYxJHjdndkEVzj6dayWg89cFEyzk1hg6ejm&#10;KO8j8pjlTImcf41KpJIxjXN7UNSN/Lgbvs6tiKMH/WH19cVVJntHSVXEXO4bSSOOoOas2a2UC+aJ&#10;fNkx95Bnj2FVWt59Zu1toXCwxtukPbHpVSglElTk5HaWk32m2ilxgSKG/OsDU728ure5ls5EjhhI&#10;Vs87uRU891cTWT2+mwlYosRl/wDZHBxTILN72GO2jiMFijZcsMNJ/k1g1ZHYizptvJJpxjuCNrks&#10;oHYHpT5dNLKNkrED+E8g1okbFHAGOAoHFIo+b+lckk+YoxLi1YMjTo6ovTywME+9UI7NraRgksLI&#10;77hCxPyk+mK64vHFkyMqj3YCsi9fSw3mx3ESz9jF8x/SumME1qQ7nMammoRvH51lGImfh9xJ6e5r&#10;o/D+oQ3dkiKrRyouGjPX61yVxqbzXRjuTM/l/MpweefSt7w7vuNVa7jt3ihRNpZ1ILZ6UnTTEpHU&#10;9qTmnMMKAeevNRvKkalycACspK2hoiC/mMNm5AHmN8qZ9TWVPpD2saXVmAzhf3qf3+9XIkfUZlnk&#10;yIEb5VPr61pKp54GBVwk0TKKluYEE8N5FlM8cMjdRVe8svOgkjV9jMvyt2U+tauo6StwzXNs/lXg&#10;6yD/AJaexFZkNwbhHilQpcx/eU8YHqK7YvmW5x1KfI9A0nVmj1PyL8bJBEFWQdDzXTkK5Uk4A4x6&#10;1x0caXGqTRyDchiHPpzWvpF28U7afcPvK/6iRv4l/wA4qZRsa06l0Vr3M3iB1k6JCTEp79sis/Tx&#10;5EsunzqCpBMbf3hXSappa3ZWdJPJuIx8svp7H2rkr2Y3MMIZwlwJigmB4GMfoaI3M60dbksyy2im&#10;0RSRIcI390HrUVzGtjBHBDyX+Qe571sjaIfmbOAN3v8ASsi9OzULSR+Iwx69AcGtNTlaVy0irY2m&#10;1fvKo692roNFtBaWAZgfNk+Zs9awri28+DmQK2QwJGeRUn9rat5ezzYQVGAQvb86iSbRvSqxgbep&#10;6pHp8QBAeZjhE7n3Nc0Ule8a5u33zEfKB0QegqQWzNMbm4mLzn+LHAHtQr27k7ZY2YcY3DJpQigr&#10;VHLYjkBdfrSpFtxxU48sgcqCO2aftBBrQ5eTuRAZbHFWWjG3jHTpUMaAtmnXfm29tNLGu6ULwBSe&#10;hcY6ioiPGBJGTkEYrPbTfKG+yupoZVywG7Kn2Oak0aBNVt3DXsy3ickeZxk8gYohll86W2nwJ4m2&#10;uAP1qLKWhteUNUdFo2oHUNOjlZlMo+SXHZh1q82QcZFcNHa6jZ30slheiKGU5kUj8+9XVChNz388&#10;cvaR5OPyrGdHsdMMQmtTrAx6Zo++hDJn3Irl4tfntcLNcwXcWcEqw3fzrpo3WeFJQpAcAhT2rmcG&#10;jZNSVyvLptpJ1iAJ6kcVX/sa2H+rMkf0Yn+daTFVGWYAe5qMSwsPlmQ/RhSvJDM86ZcWxEtncs7K&#10;c+W/Q1Yh1eINsvI2gm67D2/GrTSwIuXkjA7ksAKzrvUNKKlZpoWTGP7wrVVHYRmWcK61qct5JKF+&#10;yzYCRjGeTgn8q0rvSmuLv7TBN5MhXa4I4Ye9Mtb/AEm3gJtAAjcssS5LH8Kz7zXbi6kNvawSADgs&#10;FJbH9KlXvcd0VnvtRTULmP7Qsu0bUUD755yKW0kmOoJd6tDJGI1/dqANqn1NLZmO0uWkNuxIXbHF&#10;95tx6scdM8VPqRu1tvNvZGXzCFitoWxzjvV87k7Et21LWq6ppt/p5gF2gkJDAkHqDkZrFl1uXUok&#10;tvJZUThiucyH0FV/7BWxkhnaeSSZ5AHjB+U5Pp7V1v8AYSrt8i6uEHXbv4zWyskQrs5aW1tHeVNQ&#10;x5eAXCjlm7KD9MGqi2NzYutzHGptFOY7WT7wH9T9TW1cabHa65Ch5i8vchYdWyefrTtQ097sxNFh&#10;5IjkI54cd804xvqZTlZ2INDvre81yKSxHlllPnxsMdOK7GSGJvvRKT34FcxFFZ3sq28lo2nXqr+7&#10;kiYc+2QP0q6l/e6SRDqcfnRg4E8Q6fXrUzRrT2Jrzw7p93G2FKMe6k8fgarx6ReRw/YleMW56yc7&#10;iK24LmG5j3xSq6kfeWpiOM4B96SRehSu/wDRtLn8vpHEQAo9q880gaDe3Vw94CBGMszMRk+lenMo&#10;dSrAOD/D0+tYuo+E9Iv7FrYQBEL7iy8HNVy2Bom0rRtNsSs9hHtQpjdknNaoPBIqG1to7S2S3iJ8&#10;uMYFT9RzjNJ6lJaGdqWotayRQRorSS8DfwBWZda5JFBLDdQBgylQ8IyP1rZ1DToNRh2Ths9AyHBH&#10;41i2sjaTqMenXS+ZGQDBMw5BPY/pVbEtk9vqEs9vFb2CnIUbpGGAv0oVYrF2feZ7h+sp61ryLw2B&#10;t46CuUmhuLGfY7/K7ZBrnnO+gI0FiutRHlTqNmc5Na7QhLNoFX+HAUU+1QC1TklcU8jgnOMd6zHY&#10;5Cw1OXSrWS38gySq5I9B9a19L1L+04pUljGe+On0qjqUcc2q/Z7aFAzcMwXBPrk1r2dhFpduzseR&#10;95vb/ClYdhk8B07E9q5EYI3J/CRVu7uANPmniwfkLKRUVvf2uoI0YyAeCrjbkewNUwubi60+F90T&#10;xErjkA+lawQy9pMAhsIiFG9juY4q3tXjAA57mqejXAn06NCQJI8qwPUc1oMByAOPetJE2OG8TLfJ&#10;rBMNm06mPBYdhxW9omuwayZlijZFhO07hyTitdiFAZnAUf3jisxtS0qxZxCmXY5KwruyfwpqLZLk&#10;kGvT+TpmyNiJJWEYx71i4VI0VFA2j72OSalu3n1C7S4mHlRRcog7nsaYQTjtW1ONtzhrVHshyncx&#10;IGM9hU2QFC5wfeq6HBqrJqDmdhHFuVOGB61Zima8eMbSQe/FQ3LMqjyxiWVgifU02yuI51OPlbup&#10;7VLuDalZHsCcfXjBpSbRrTSk7M1tPsUsbfYvLsdzsepNXD9KXr9aQ+1cE1fc9KKtsNOacORTcGlB&#10;rNWTGWF4QVialf3tvrFtFGmbZvvEVtKT5eRyKRkUjlQSOhNenDYhlf7OlzaiNsgbs8VSutP+0SOi&#10;vjYVPPfitSDHlD6moosG9nPb5f5VRL1MuXQGlIbzEBA9KiPh2Q5DTDBrocA8/wBKd+VPmZn7GN72&#10;MI6EwD7J9odNpGKQ+Hv3NugkGYG3A+p9/wAq3cHPOKMHPakaJWOfm8ONM8zmcgyjDAdKlGgIBb/v&#10;MvCCFJ9x/wDXrb59s/Sg47Dn6UBY5y38LmEThrgv5xySe1TyaC8t2kzTZKJsH0rcyQO35UHOOMfl&#10;QFjnW8LRtZR24mb5H3bgeRVy00g2t4bgOW+QLz7VrfT8aPp0oHYRd2Oar3cMssIEDAODnmrPNGOe&#10;B+NAGdDbXEJDOqPIe5Jqx/pWPux59cmrP4UY9qAMI6IwvRdoVEoOSCTg0WegtBavFLKH3Pvya3fY&#10;9KX6Y/KgDnrjw2Lm5ncznEy7T7U9PDzRxW0Ykz5R4PWt3Hbik9xQA0B9+DjHepO3NJS0AFcDP/yX&#10;TSv+vGb/ANBFd9XAz/8AJdNK/wCvGb/0EUAemUUUUhmXr/PhvVf+vSX/ANANeS/D2ykfw5Yzs27E&#10;ZCqemOK9b8QD/imtV/69Jf8A0A15Z4HuYrLwLY3Exwirz6n2ovZGNdcyN25xe6hBpURbZIcykdl9&#10;Pzrof7C0v7OLdbWEoOxUbvzrL8M6dcJJNqV3w83Ea9wtdMBxjt6Guec23ZFUqMUrsw/+EWskYmCS&#10;SHHOCTRodnClldohJErsC2eTkYrUvp1trKSUsAAMAe9VbNotN0qIT8ZHI9TVN+7qWopMqjz9A8mB&#10;JVlt3YKqEfMGP8621bcA3Yisa1hm1G9TULgmOGIkRRY7ep/KtnPJIrGU77FIGrOvb6S3eO2twv2u&#10;bhCRwBWgxw2Djmsm6Xy/EVm4+6Yyv45FZJXY2PTR1lbzb6Vppf4gGIUe2KuRWVpCcpBGPT5Af1qw&#10;PvcnIx3qnqd0LPTpGzhiMDHvWsZNuyFYx7OJL7Xpp/KjESdPl7dK6RcIgCgBewFZuiweTaM5zuk5&#10;rRLcdP8A61E5WBRGyPWXqEoluEtU5AOZNvb2p73E15K8VsAEXhpD/SrltZRWkeM7pG5Zz1NYat6l&#10;CK0gUeWgWNcHPsO1Me6mjO4gMpXqPrVkgRxNjgYJ471ycofULq4WS4kRIjsXYevetVTctiZSUdWd&#10;RbyyOrNKrKyjniudv7lL7U4ZbRGHlkiVyMbl71BHf3lrbS2ciPK0i7I5R1weOfercqrZ2KBiEVU+&#10;b3PeumnTcdzmq1VJFGS4FtezzHAxECB681NYzR6tAHmQxuh++pwUrnZ57q+1GSGO0fYUUbiRjAbN&#10;a9zHZxyKDI6TYAOwHP41ta+hyRbTujSngaSMJNfSNGOwOMj8Krz2MMlkYlTEWMoBzz65rNmMSRM6&#10;XkzNngHnJ9OlbEBnkto2dNrFRuHYGlytFSm5GdBqGzRnG4PNE20BvvcdKilt794sNLG5YcoQPlPr&#10;Wm9jC8wkeFS/Xce9TSRbu+GPFF2TZ2Mp7pbG2igmnBkUdT3qvY6ik0tzKVDW8YyZFOcnpjFV9a0e&#10;21KeJWuEWRWxjPzVo6bpNppVrJCJv3U3JMh6mi/QiMbu7L6nVHt3Caf8sqEIx7Z6GtS28O2Y0+OG&#10;4hHmhQXdDglj15rN0/ULvS4/s7Rtc24OVZSNwHvW1barZX6lEk2O/GxwQRWUlJbHoQjC2pkS6foI&#10;jePzGR0HD+cxNZ1rqsMbta3LrlPuvnG5a3IUtza/2fexgMjfePcZz1q5cadp92q+ZBGQOOKz9tZ6&#10;lSpJ7GCl9aySqkc0bBjjg1V1+9ntbONbZ/KllkWPeRuABIHf61W1GKXRrxII7SRkkl8xSgyBxjFM&#10;1mLWNTsmgXTiEYhg+cMCDn1rXnTRh7JqRnR2Gs2mvhGjZpdv7qWL5VYnBBbFdVq9rPZ3MN/gNuQJ&#10;cADr71q+HhdPpNuL+LE6jZnvgcVpyIkkZjlG9XGDms+ax0ezTjZnMtGGjEoIEeNw/wDr0uhaVFdw&#10;tfXamRnY7FP3Qo46VZ/4RdSxX7ZMLYnJiBGD7dK2YoliiVIxtVRgewpTqO2hEKFmVF0uwRiVs4sZ&#10;ySFFNudXhtWMAzK6j7kSgkegqTUpvsdi7jG7hVJ9TwK5OSDz7kCPLneqfOeHduufYHNYLme5vZLR&#10;Fq+mvtRuY4y6R7uVjVsbV9WqpLEYYmb7bAxU4VEkI8z6+lbdj4UsrdjcXA824frycAela8dnbRfL&#10;HAigdOKpNJ6jsziEtE1OQPewXscS/wDLO3YsG/HIqcWWnx4ibz4rEnlJIhn/AL6zmu2wFGAB+VMK&#10;KxOVBz7VMpJMLM5CPUbPRpJYrHyZY3x5JznYfer+nrcTJi0QRmQ5mnfqf90dxW+ttDu/1SZPfFYn&#10;iC8uYZ7e0trgWquMs+Oo54FawlzKyJlpua9tZW+nRlurgbmd+p9ea5W8u7u61KO/UA2m/wAqIEcn&#10;1P6U9oZryJTLqrzW6/M8YYfMPeqV7r0NyLJbWJpIknCs69EABFdEYJas55VE9DbsEe91+R3A8u1X&#10;Cgd3PBP5YrpBkVyOm61Y6b9umuZQH84qEHUjir8PidbnH2azlk/ECsnF3NISSRoatY/2ha4T5Z0O&#10;5G9Kyre680ssg2TJwy+/c1s2WpQXykKGjmTqjday9es3jxqNuMun+sUd1704ys7CqR5ldELf6VrN&#10;lCn34z5r/Tp/WujdQ6MGUMH6rjOa5fQ5lm8RyyDo8GVJ/CusyOSM/SqktSqW2pzWq2jaJE99prCO&#10;UniBjlWP07VhxaxdPM32u6e31FPmEbcI30Heun8SbVtrQAdZ049fWsfULKO9s5DJHufYcHuKqMTG&#10;c2mdRpl39v06G5PBkX5iOxqtqOtQaeNpUyTAYEadfqa5Gy1ebw5pEIjm+1x+XjyiDvVgOn0qCLW9&#10;PaN5ryRhJcD5nxnH+zRysp1VY6Cx8T3Nwple1R4xxtiOWH1FXv8AhJbID/Vzqy4zuXkfrXnd9fS6&#10;drMNv5jLarGQHjUndwe/St3Q7B50hvpbqV2jJKg4+6T3p8tiFWktTuLO+hvozJbtuQ888Guf8RXE&#10;Mmq6dbRyJ5/nLuXdnCgj9ahuLG1a4Z1d0YjkocZqpepbWmkznaA0Y3ozdS3alKLKjXudFqepSWzr&#10;FEhkb6VnD7Vq5XzI4oxGf73NTrpgvdMimI23DxKdwPtWZY2ci3ca5lVlbk5FedK/MdC2OvTEMKgl&#10;Qqj5vmqo+rWKhszqHXgIDndUt8jvp86oTv2cfWuaggt59PN1LCJ2BIIY42VsloN7EtpcxrrFxdu2&#10;0MpZA3qc1bjvZtSzaMR85yOP4azLTTUeBplnkW3ALZBBIx2rZ0SxaNHuJmZi4+TPULS9BXZbm062&#10;m2mRNpQYyjEEVPa21vaofs6gZ5ZmOT9akI5xningDGO1KDdyjKvrGSKQ31idsy8un8LCpP7ZtxZw&#10;yMctIu4J3rSbBBUjKkYxXIx24tNWvUyWDtlQf4Qc8CumOu5lUlyoiu7yW6uWeUOXOPKhDHAHqaRJ&#10;J7UhmVDG3UhANtIsbR6nIQPkZck+hHar5bnBxkjqK2UbHDKb3K02p22ADKrEnGfakVl2GTI2rzwa&#10;qakQIHQ4BxhcDuanij/0MKSclcE1duxi22QG/fJdYf3HZ/ao9NZZ/PuGbLu2BjpirFgp+wraucmP&#10;5CPXFS21lHZqVjyAxyRUgLJbM2ZkIWVTxjo31qTSpJNQ1mIMmw2qnzB2JPT+VTeXiPjml0GRJdbv&#10;RGQdqKMfnUzOmgveOkbcBlcAe9Ic+hqK7uY7O2aaY/KoyK5I67qULC8maMRu4VYSDkAn+dczg2d7&#10;kk7HZAgqTyMVl3d7dPeNbafGjyqMuztgLWhBIZYkkIIDjJB7ViXFxHaX001reRh3O2RHBIz+FZxi&#10;nIbZ0Fk8z2ym4ULNj5gvT8KsHoarWMzz2kcjlCxHOzpVk9K746IhkUH3PxNRQcXk49dv8qlg5Q9v&#10;mNULy+WwnmkKFjuUcfSmtQdkao6YorCfxHEoz5Dj6kUL4kjZgDAwyODkVp7OVrmftoXtc3CaM1nD&#10;WbQybCxDBdzcdqbFrunyiPbN/rPu8VmaXNSmkHPFVTqdsrSKz/6oZfHamHVLXz44TJ+8dcjjigC8&#10;KXNZb69ZRxTOznET7Dx3pza3YrcRW5lxLKMoMGgLmlRVA6xZLF5pmATdtyQetSSanaxSRI0oBl+5&#10;70AW6Kgt7uG5D+W4YocMB606SYRAFh1IAxQBLSZqH7RxyhpGuAv8DH0oAsUVFDMs0e5T3wak79RQ&#10;AtFITgEdwcZ7UZ/H6UALRSZ54paACuBn/wCS6aV/14zf+giu+rgZ/wDkumlf9eM3/oIoA9MooopD&#10;MzxAc+GtU/685f8A0A1474VspLrwho7JKAkQ3NGeQ3TtXsPiHH/CN6oT/wA+cv8A6Aa8v8BafqNz&#10;4KsDEsJjK/xEAchJN7aD+lJuyM6ibWhvwa9qFu6mcQzxA7WKrtwPausiljmt0mXPlsM+9c7B4dnm&#10;lU3soSJTnyo+9amrXBtNOKRYDyHZGB2zxXM7N6Dp3S1IU3ards7Y+ywHCj+83r/Om3rxT61aRoRI&#10;IixZFOQpx3qSYnS9HVYl3TsoCr/eY1NYactnZhWG6fb+8fuSaJvQ0Od1LX9SuJ5LXSYAJkY4dm4b&#10;b1p8L+JHt4gyqjqD5hJ5Y8//AFqxZr2+8P6jPd3GnMbaESbWXncWOR/Ku7066+3afDcdDIu7HpWH&#10;UaMXQU1W3vfJvy0geJWDkcKecitHVWK32nsP+ewX+dau0Hk1kXci3Wv2yIdwt1LuR0B7D61py2Vw&#10;ZrdWw3SsDWHN3qUNihyoOW/Gt8kICfQHn6c1z+kKbnUrm4bkg8H2NStFcDcjQRxxxjooptyCbaYA&#10;kblOCPXFSAUMucd+elYu4ylpUiDT02kDkg/XNW3u7eN8PNGrDqC1c67yw6HetDw4kYf7oyahhgtT&#10;bxHG8EddxJetaC5mZ1J8qN7UtTgtbUsJUd26KpyTXNWweKLzH4MpLEH/AD6VfNtbWkTXPlZCDOSc&#10;4FZdx4g07zdg3OejADpXdGNmcdao2izHrMCsVVXVAcb2HANQavdxS2BKSq21gxGckiodNlt5bm5g&#10;iBkRDn5gKsXlhDNZyFFG8DOR6+laHOmzLGqSnVMWVuZtyBF3HAJ9a2rPSdWcM0wjilkOXmb5uPTH&#10;tWNbrHPcxuHWN1QMmOMHPSuxs9YjmIgux5FwDhQfut9DWNVyXwnTRjF7ma2i3tt/pCPbSlBnb5IU&#10;kf41Zt7hbseagIz1BPzKT1zW4AB8wYEHrg5zWTNowFw89pMYHfqDyDWEK8tpHRKhF6xKkj3N1dmy&#10;sxGm3G6R1zjNVbtry0uTZ3EiszJlJUG01v6fpq2CORIZZpSCzH9KxdTQ/wDCRqW+6YMJn1yatVLu&#10;xnOlaJm2unW0bGeQGWY8l35P4Ve021g1+eW4udht4l2JHu5B9fao9gBHPQ5I9PSm/YoS5IDxyHlX&#10;RsAn3FbzTtoctK19RZoJdCu/KlZntJDiORjnb7Zp0yrcHLfLIB8ki9fzrY0uQ6pbT2t+qPKh2nI4&#10;x2NZl/pM+l5ltw1xaj7ynqv0qITtpI3nTe8R5bUJITG88EyjGDIozSQX7wPIpKwyp8xiY/K/0qGG&#10;VZIVkhIcfw8/zplygE8V20RkVFKSJ3IPcVM4KWqCnVadmdbbyR3MKTL0YZx6Gp9vOf581S024tZ7&#10;Rfsh+VRgqeq1cB9awSd7Hbo9R2SD16dKQnHYUrYxxUfU80pSsA/I7DFJ228888UoxisLVNU3SSQJ&#10;IY4kOGderH+6KL3QbCa5Ot+E063w8pcMxzwoBzzWG8g09RpmVlnMpnhdWyQc9D+dXRZ7YmlnR4YB&#10;9yIH55D7nr+tX9I0WJJPt00QMzfcTJJQfj36VKTEbcZOxTtwSBmn8A4zmjpSYoaKA0AUqrTgKqNO&#10;4XE29OO4rlfGsiGOwt0+a7kl/djb90d8+2M11nbPcdq5nxEEt9b06cjeXymPQYJz+ddNOCiZ1NjF&#10;OgzWtzKbSVUhmBWRT2z6U7RNDOmWc1vLKJYnYsCRg1t3LGON3UA7FJx61y9uj3x86S7Mczsdi54A&#10;zXQlc8+W5JrenW1taKYVJnlkCh2HOMjP6UaOGtZVV5GDQSYJ74PPP5Ux/t0uqbrlRLDaDkD34zV2&#10;xVTrZQkNDcwlgT3Ix/jTlCyFGbubWlSJfa3PLERtiTy2Oep6/wBa3WVGidHwFYbSPWuOGl/Z7xru&#10;xvpbWR/vKACP1pJoNQnjaKW5BQ9ZlY5/LpXO463OtVVy2I7FjZst2p+WCdlbHdMn/wCtXQ63qL2X&#10;2Zkl8pHJBYdWOOBXLlksbKWwdtysmY/Vjmt2fTv7bTy5GKi3ACn/AGx/kUT3HTldaGTJeX010k2o&#10;7haJ80e0c59/Sr/9oW8TbWlw5Hygc5FVEnmv5HsJY9rRHbMexA4H51cm062kCSbjGyDAIGf51pHY&#10;5ql7mZqE1nO8dvsMDynltu3IHvVC80qC40XzURUljY/Oq8EZ6+9bsdmouRPNJ5zINoVlHSrcjxW1&#10;rIxClEUnZih3ZNzmybzToIoJraGa1J4uQAQufUdq0tPt1tNSKxXImSSLcdv3R9KzfC3imzvtTubB&#10;YsWpBb95zUtz5EKXGraPKVlhLK0Dch1HcVhdqWp0qKcTfa3XzTjp7Vl67bibTtrfdVwW9cA1U0Dx&#10;bBrVxJD5RhZDyx6Z962b8xRWrM4L8fcHetr3Rzyi0ybQp3SVbPeJIWj3xkjJ+laclgJL0TrJgYBx&#10;jFc/4UWQXbCVSjRo2B6AnNdcMBm+YEY71xVUk7nfTd4oXI5ye9cXZ3UVrBrFlMRgSYjyM9cf40XN&#10;99q1CWFrgRtGx43EZqTTtJS5uTMxj25w3J5qL2RXWxPbwyW3hpUlIAMi/dGAQTXTQkCGML12AfhW&#10;bqaK0UFqB96RTtHYZqa51O0sh5Ty/OOAg6miKbE2ol7A7dqVTxWVHr0Lld9vPCM43MBj+daqlWAK&#10;8qeVPrV8jQ4zTFJrnbsq2qXBXg7VB/WuixWHrFk0bNqMH3lBEq/7I7/zrSndMzrRvEwZ1ubeVpoZ&#10;Ayk5ZT6VdS48+MSgYBGD7UmElRJB92QZx7VXjBt7poT91uQK6VLQ8x3G3cDSBJoyGaM5CnvTFhuL&#10;lvMlcxKv3EFX1XYvIoGGJqriSKlhDcRySmYqVYAg981oPgqDTE5bHapyqAAdaVy0iNNxyM8Y5qqL&#10;fZcG4tm8i4Pp0P1q7J8gG2qExZmyvFKSuJScQv7m9urcm9KCOLnYhyGP+FUktZLya3WRvMlZlZUH&#10;RcHJNXzFmEiQYDDmorQXel3jXUCrOrIEKHqMZ6fnUSVkaxld8zZ2KYCqu7J27T6ViNZnTbiVjZpd&#10;WszbmOMsPw/CpNJ8QQapK9u0bW9yPvROOfrW12xwQa443UtT0lZxTQli0T2qGCMxxnomMY/CrR+6&#10;aYgCptxgeopxwBgYxXfHYhmddagNPs/NaNnJc9BWNrFz9os2nClSzJwfpXQG3iuoSjj5QxqodOgu&#10;Jprds7RtI9uK1hKzMqkLrQ43VfM8pMb+oztqW2V8JtzggdTnFdd/YVqQMknNINAtkKlWNdLrRasz&#10;jWEk5XuYy32mw3LxSRyGUw8kDtmq+7Roo7FVEqAyYUnsRiukXQ7NZRJs3MeCT6UNoVnIkQaL/Vtu&#10;H1rllq9DujFxVjPDacxvDlzgfveOtPR9PE1s43bivy/LzjmtE6VbFpSq48wbWqM6HbC5jlDNui4U&#10;dsVJRj3I0eWK5DSOFMo3ADvmpWtdLOqQStM5mKjygewxWnLolpIzh1+WQ7uPWkOgWRuI5yG3oMDm&#10;gTMtk0yW0k83eIxJ34GfWrp0WC+a2uhKzLGBsBPAqwNEtfIMJztPJB9auQ24hVEQnYoxigpEFlpq&#10;WMkjQ9ZDls+tT3KqQpbgbwasdqguIvOQKGwQwagAmkeNB5abmPA4qompI14bPy2DgZLY4qwYZ8EC&#10;YcHjik8ibO9ZE3dCdvNAHO3mp6haajFDaxZgdjuO3OOaSbWdYTT/ADEiHnZAAKe9dPDAscQVyrNk&#10;nOKf5YP3gpH0oA5uDVdQe6ZXC7Gj4G3+KrM15qUNxaR7AQ/+sKjgVtCKMnIRQR7U8puIJAJFACK6&#10;7yqk0+mjlicAU6gArgZ/+S6aV/14zf8AoIrvq4Gf/kumlf8AXjN/6CKAPTKKKKQzL8Q/8i1qv/Xn&#10;L/6Aa88+Hmt2Vj4F05JWcsVwAqk5Neh+If8AkWdVz/z6S9P9w1594B09bv4c6esSos3Dxkj+IdMn&#10;0rOpsCOlm8TWsTJEscxkl4j3IUBP4iqmoWkrx/2jqVy8Yj5SKNgKzfEDyXKQtMskc0BwcjCk+ord&#10;gWHV9CWF5UlLKATjofrXPdCMvStTN7r8cLSNJCi5TcckNx3rrSeTnp6V5sthe6LrkhhO8ROp2qO2&#10;K9GhlWeJJF7jmi9yo829hstvFPGY5Y1eM/wkcU6ONIYwsagKowAKkyCM5oJ446Vm1qUZ+q3EqJFB&#10;bnEsrYz6Duals7GKzh8pRl2O52PUmq9wD/b9lnoI34/CtLIJyAcjitJ6RsSUdVuhaWErH7zDaPxq&#10;voVuYLAFh8z85P6VV1wvd39taqflzk1uogRVQdFAX8ulRdcthjlGaJjsgdu6qTTxxSPgrg8g8Gny&#10;6DZmabEv2La2DvLMT681n6jpQtcT2IKjPzRAcH6VoaYWgmuLNj8yPuQnuDzWljLA9h0yOlKl7rIn&#10;FSjqcpK8d1p8sSOEkYbdr8EE1z6eHryBpsNFM0mOWXlR+ddtf6NFcxuQirMSSJAcc1k2dzJIoSbL&#10;SRkqxxjFdync4atNpGRo+lS6VeyNPLHsckJxyT71tWljHa+bt3fvG3HJ71U1PcbVHC5aOUEepGRk&#10;1diukuYPMidWUdcdqsxTMa8sIGvbgpCpcIpAA/2qszahDPbpE9tJIF6goeKRriKDVpHlbAMY/Hmp&#10;p9XUMPJgd4x95tvSkClYfaESnbDPcQyKOFY4H5eladnqMsdwtreqPm+5OowrVmPIkup2csRyDGfm&#10;9s1dvkWXTJiT8qKXXHYjmsqtNbnRSqPY6AHcNuc+hNZ+q6WNQiUxkpPH8yMD+hqxp83n2FtIRy8a&#10;/hx1qbcdrH07VxxfvHbLWJxsDvI7o4/eRsUf0Jq4FAwSASO3pVazJke7mxwbhz+ANTXJmhSMRr++&#10;mOEBrvi7o8x0vf0GTNPHOL22JS5Xhs/xKOoP61r3N8t5pMMsLFRJIEZR175FYcovLfUms7ojzAu5&#10;WX+Km/aH047XU/ZZJFkz/dPf+dZzjc6Kc+XRl650P+zD9osgTAfmkjPOPcURXAkRZIjkDvnpXQQ3&#10;1pPaCYSp5RGDk/zrnbuC2W9P9mXUJkc5aEvwSfSlB23HOnfVArS2l79ptQMsMSRf3vfPrW/Z6lBe&#10;qyhTHKvBjfg+5HrXPGdoPlntp0YHn5ePwNDyNey24tUf7QJAfM6bVzzn8M1UrWugpOV7M6zPp0o2&#10;8e9GD3/lS9wO57VxPVnZ0Kl/cfZLCe4H/LNSQPU1znhO2N/apeXbbn3sVTshyecetaniGcjThAh/&#10;eSNge1M0LZY6AblsDcGMhPTIOBirUSSUob/WzG3zRWoBI7F+/wDStlgGB7j3rP0aJ47JriQASTt5&#10;jZ9+1XyeRgDmtHorIaQEZpwAoA4ye1V7+7FjYTXJ/wCWalh7kUU4NsUnYsdO4OPwp3A69D+lcFb3&#10;d1JItxdyvDcyndEyuSv0K9K6zStQOoWZZsCVDtcehrocGkZRqpuxoZAJxyR+tc34ogaRtPliQtJE&#10;5OB6YNdHjK7cYH61m3+Ptlpg4UsV5+hrNPU0mtLGLqF9EdIkul+UFOAfU9qxNFsIzazG4A83O4Mf&#10;4c81qizS5triyk7SsFH8jWZHM1jdvDOm8bcMc8MPX+lddNnnVNGVl1aG21No5nWSNkId1OQcZOKS&#10;C4+0Wi3VsSqpIfLduiDPf1FZP/Eo89Y50cyPMQNnAwcVt2WmxxyzaaJm+zMpbYvoeoPpWrWhinqa&#10;T6hdLCRNZs20ZZg42mrEV0smktdRRkIFJ2+9ZZWTUJ7iN5jHZW5CsQ3LHA/StO1v7COFYkkURgYx&#10;2NYNGnmUTpbTTQXjTqbgEMoI+QD0IrStr/UbC7e6nSOa0k5cR8FT64qhbywtfyQwyeZCRnI7H0rS&#10;kuIraFTPIiRk7ee5qGl1LhUsyCW6ig1wzDBtb5QVk7IRxhvTrV+UK8TD720ZX3rHl0CNhMiXUkcE&#10;/wAzx53jn0JPy9e1akCrEkcSksEGATQkOUkyjZyahOjTxxxOqsVMY4Ye9Q3c262kVt6SEFcMpHP1&#10;rVks3S4W5tX8qbHPofwqC316We5mtrrTBK8P3yEDZpPmT0KUYtHDaRoM9pqMXkvG08sbqVVgcnB6&#10;4re0vw3rUJaOdECSDBZeqg/jXWWMmlSXYEdqLe4IyN6BG/CtgjPJJ2jsO9YVZO51U4qxw+k+DVsd&#10;VuUWJhayrh2Zgdx68U6+t9V0mdzGBcaeozuY/MvtXYXFzBagG4mCDquTWTJIdbvBEnNnGd0jKeHP&#10;/wBaoVRobppmL4LmuL29ur2edfm4WIfKQPcGu25247n8KybvQ7aciWEG2nXG2SPjP1A61WXVr7TZ&#10;fL1eMGMnC3CdPx9KzlK5UFyox9Rto49RuV8oPI3I+XnPauh0PzF05Ukj8sryeMVQ1GaNtStbm3YS&#10;RzHhgM5xXRfejIbOCuRx3pNqw49zlr/UJwLme0+adtyrz/q0HUn8DUdp5QjDK6tKygsxPOcVT8Kk&#10;3eoeIUf5mDGMA9hz0qlpUS3RnjIYNFIU5OCMGuijY5cRe10dMWWVSsgBVuqt/OrWiXbrLLYytkqd&#10;0Wf7v+cVj2MjEOkh3PFxu9qss7xzQ3UYBeI9v7p61tNJ7GVCprqdUTgc+uM1g+Irp/3VhEcPPneQ&#10;Oi9/0q3c6zbxxAQMJJpBgJ/d96xEjla+kvJ5fMmYbcDkAe1ZqJ0VaumhB9ot4ZEg8z7ox908Youz&#10;tuorhSrL0Yg5AFJNCLW9Fw6q0Mhw+R0PrU8+lxTSfKWTd0weOOelaHFa5Oy+aBs+bvwao3t6lkUi&#10;XDyOM4A5H4VGLRbbUlWa/aKHGWydufYVfVdKfa0FpeMynIlKbiD9c9KTnY1jRuZR1Saz2vcQSGNj&#10;95YWGKuLqiTqGgiLDsScE/h1rTg1mIQkXiq8QbbvxnB9GHardxoVjdp5iKYHYZV4z/SojVTeppKg&#10;7aHO+fcRzq8xHlSHHTGK0R5Kry6kHoc1WnRraL7PqMTttPyyqOCP8aqMumMAFuzj+5u5rVSTOeVK&#10;RIl3OZXdbcPFnjBpHlvVHnNsMf8AFEvJUeuau2mn3F8AkafZ7Pux4Zv8K0JfDlmqqYJJo5B3Lls/&#10;UZ5rOVRLcuOHdjm9I3T+KIplZlRh/dPzDiu9A4ArEsNHe1vBdXEweRQVG1QoAPsK2xyK5ZTUpaHb&#10;SpuEdScfcrKmtrptdScO4gC/dzxWoBwPpSnO0jnpXdDYOpDa58ncepJJpkf/AB/z9s7f5VLb/cI+&#10;tRRn/T5h3+X+VVew7Fo8/hRQO9JkUrAKAPSj8KOlJkUwHd6TtjNGRRkce9AWFHB4oxwRSZHrS5oC&#10;wHk5opMjnnpRuHrQAtH40UDnPtQAUmKWjIzigA+po59aKKAD8aKOtFABRRRQAVwM/wDyXTSv+vGb&#10;/wBBFd9XAz/8l00r/rxm/wDQRQB6ZRRRSGZniH/kWtV/69Jf/QDXGfDHnwBpoxkba7PxD/yLWq/9&#10;ecv/AKAa4z4Yf8k/076VjW+EaM2+Bf8AtC4s2PmPII40bn05pvzWEYKpJFegSLcFem7HB+mfSu4+&#10;wWkbllt4wScn5e9VtSurCxUS3ca/vDt5GSc1xqXQTjdHnE1xqNvDdR+ZvLoC0qDOOO1SeE7y6Gvx&#10;JC8jBh+8XORj1rupJNFhhWREh2gYEaAc5qvfaRa6di808JbTEYIUcsKo6adZRhy9Toyc8En3p4wR&#10;wOKwNBuJ5XuPMlkdFx97J+tbTzR28DvKdqqvU0QuzG5QvQRrVgQcsVfP0xV8kHL5woGPxrOs1e91&#10;D+0WQrFs2QoeuO5/Wp9WnFtpkhH3j8oH1qpptpiWhnabi81a4uTynVfat1Tlh7jNZeh2/k2IY9ZO&#10;fwrUUdPasm3zDJKQnigUvf2rTUTMyT9zrcT/AMMqEfjxWliqGqKVSGcDPkuHIHpV2NhKqlTwwyKq&#10;KuApTI2k/SuV1RUs9TPVRON6Y9eldbgcnn8ay9c077bZB0AE0PzxkHPNbxTRnWjeOhhOWVysm1kA&#10;x71RaGSCRbmzU4IIZD0NWoV+0Qrc7B+8AJB6g1ONo3BiTnA4HArY8ySaZkWdiF1dnnbfMYwxHYc1&#10;utF5o2YGxxzgVRhi26xLx8wiHPrzVmfzma3tImKtK/Lg9F70m9Soq+gyzs47SUyclj8q57VLqExT&#10;T5FHJbEY/HiozDNp+pPaTSGWNl3xlutM1TctqjKPljmRiPYEZoeqNIrlkrnT2cPlWMEfQrGo/Smz&#10;3kFsRFK5BYY5HQevFTRSrPAkqfdZQao2yi7vbicqDFjyl3cgnrXE42kehF6Gauh3p3JbXEAtHcus&#10;nO7B61qWGjW9lIJmd5JQMB2704afLEWFtOI07qwyFPtVeArduyjUmdlHOzjH61vfQmMY3uyp4sRP&#10;KtlRdt55gKY67cjP6VCBldkqhww+YetGs6XqYkiuLZxcyQk4Un5sHqM1Si1OObiSB4JVOCrjv7Vp&#10;GVzkrRs7ox9ft4rJVa2tmZXPzFScJ9eaqaXDb3F/G093BHHEwk3hJNxx29K61ELOVI4YZPfNWUs4&#10;HhMJgTDjnim4kU6jvZm9F5UsMboVkQjKt1zTyAOiqP8AdFcx4JuJBBeWMjZ8iUhR6DrXUnjpxWE0&#10;0d0VFgOlMlZUhdmbaoGSacAevXHUetYWrXyztJbq5WCP/XOD1P8Ad/lWSVy27GfPfLfzzzREyykG&#10;KFAPlXPBY/pVyGI3n2eyj+aC3+aYjo5/u/r+lVdIhee3+y2sYiVyWkkAxtU9B9a6ErFplgwjGFRc&#10;cdz61ohDpr+1tm2SSjI64HApItRspG2JcxsT0zniuasYJdRuJmlYrEpw+04LP3/pVyTQrNkIUyox&#10;6MHrRQurmbqJM6Q8tjuvHHeuQ8XX7TBNKgbDMwaQ/wBK1fD1/PcQTw3OTJbP5e7+9xnP61zir9r1&#10;+6kIz5UhDE89+K0pq0iK0/d0Lhtlmtwsi/wAZ/u44rPtmuNG1XcjmSJ8bh6jufw61t4KxfMMDuay&#10;7+YDUbeCOIzSyRsFjX3B5roq/CcdK/Nc7aKXzokkQ/eUEfTsarahC0sKug+eI7xjvRpUMttYwwzH&#10;94q5+ntVxevptHWvP1uelF3WpyMF3FLq91CMK7qH2twRnOapa4ix+TefKxjO0q3dTWjcWMVzrExw&#10;v25iTFIORgdmNRSmO/8APsL6HbJGBvCnP4iuqmziqw965nXnhSC8uYZI5FiiTnYPWn3MiaVst7Zf&#10;NuZO/cU0Xf8AYlyI5biWa1kTcm7JIb0/lUFm7/aGuHRnupiSgPG1ew/lW7noczWpZtrE2em3Jnkz&#10;LN87kdM+laNssbaZADGpHlgHjvVdbGeQqbqQ4JyI0OB+NW5bqKACEKWfHCRcn8hWDZaVyh9tsYWa&#10;NHUMOoCk4/Km3AS/e3hRlfhyB6nbxSHSr2SZprO0a239WMu3d9Rjmui0XS0treOW4t4ReEfMVAwf&#10;espzN4UjL08mbT41PDoNhPrjg1NDGwfk019uk3NxBNE/lySeYkgQnGckj9aH1G1BBBkx67DVxloS&#10;6bTLZOO/asqFhF4nnQHiSIMfrxWoksU8avCd3PIHJrIYY8VTnH+rjAOO+QD1rSLbZMlY0boCXU7G&#10;KEYlZs59hya6XH3gK5eOZX8R2QjxkK27nOODXTk+np0rnrNXOyktLmXrdmrwLdrnzIMMF9eef51Z&#10;tpIZ7dJYQpiflNvHPvVe61GVrp7W0tvPZBmTLYC1nWn2u31ERx2zJFJywJyq/T0rmkjW4281vULS&#10;7vBsha3totzMM5B44qm/ih5tLS6EEJikcIFYE7gcc+3WtGfQotlz5l3timOXyeF/GqE+maSxMEWo&#10;vEjgExRvwc8VAmzDu4bm2S61WJdqW5IEeco4PX37UuneN9QF5FFfCNoJCASOicV11r4fgh097N5H&#10;a3YcKTkg+tcu3hS2tNZjjum82BjkDGOPf3q0r6HVTlTULSLXh/WNPsdZ1hBGFdrkK7DkHcxAqPxQ&#10;LfS5W1G1uVETsNyr1z61QtPDV1ba7qq2SeZab1yJDydpJ61i3VpJdaz9lW4AMmUMUo/1Qz2remrH&#10;BV2aZ2LM0Nwk4G6NkG4jpWlG6SkMjgqwxUCxrBFHDwVUY9jTTArYaAbCOw4H5V0LzODbYnd0yxWM&#10;b14BqqZhAWkl/h6Ad6nt51uIThfnXhhUF9EJLGQA7mHJPpik0Nu5FealK1u6NaPtI4LEYqvN4ih0&#10;+GBJJMyMMFVINaAhWe0VZAGVkGfyrkIbXSFvV+0fLMzFVXPBoSYm7HcWt9FfRiVVQjtuFXkGcYwB&#10;7dqwtPtU09GRNxUc4JyAKeus3V/cm20u3WQoMsztgCj1NoO4l5aC18Q2moEboJ2COnYNng4+prsh&#10;nPAwfasOz0e7kmSfU50k8s7kjjXgH3NP1K+uW1FLC2kEJMZcsRknp0/OsHDmZ2Rbirmwyh/ldQ31&#10;FR/ZYM5EMZI9Frn2iuUO5NQmL99xOB+FAfVmGP7QQA+kWD/OhUmJ1Y9ToyyL95lHopoOByW/UYrn&#10;vsSmMmee4kkPcsaYunLwHubpox0VpDTdC+5PtlbQ6EMmflmXPsRUgXnkcexrBGmWhGAkiH1VsGgG&#10;+08h7Z2uIh96Nz8w/GhYdR1RUayasdMvSg9DUNpcfaYFk2lM9VPapj0roWiGRW5/dn2Y1nahdtZP&#10;cTqAW+Xg/StGDhGH+1WZrcDfZJH34yRx9KpK7Jm2loUH8RTpGHZIhn1zQniG7bny4iOvesW8tGmh&#10;R0Zcj1GaIsxou5stjBxXVyw5Tz1Vnz2Z0MXiFnu4YGg/1ilsj2p8PiET2wn+zlQXKYz6VmWtxjUb&#10;eJrVGQocOw5HtRFfxm2QiyjG6UqVx9Oa5Ha56EW2jYh1xZ7G5uUib9xxjjmiLX43t7aRo3XzjjPH&#10;FUmlS2uJ4I7IeW0QfGepx/8AXqJ7uGO3tQLVQGfG3+770i9TT/t1Fa4DROFh78fNSLr9uz26bX/f&#10;DP0qnJcxi5ulFsGSNcjnqaha5txe6dCloMSqTnH3eTQBqf27Gy3RSN/9HOD05py61Ebi1hEb5nAI&#10;PpWQ9/apDeyiABt4G31GetEer2i6hDALfdIqBlI7cCgDq85FQzyGKIlQMkiss+II1to5fJcB32gV&#10;oXTB7VH29WFAC+ZchSSi7fUmhZZyOI1YEdQaj1GGS70yaCCQJI64U+lV9Asrmx00Q3kwkk55oAtW&#10;t6sqFpNqMGIwT6Gp/Oi25Eie/PSsB9MnvZw8bhUR2z781FF4cvI2uSZyRJjaM/SgDpfOjLhA4ywy&#10;tScdqyI9MmS5tJScmNdrfNWou7cQQAKAH0UgpaACuBn/AOS6aV/14zf+giu+rgZ/+S6aV/14zf8A&#10;oIoA9MooopDMzxB/yLWq/wDXnL/6Aa4z4Yf8k/07/drs/EP/ACLeq/8AXnL/AOgGuN+F3/JP9N/3&#10;TWVRXQI65hmuS8SfvrnD4MdsofB7lv8A9Vdca5nVYturFnjJiuAqhgdu3b65+tcqirjZyml3mmzT&#10;x211IUGGL5JGPm4rq9QuoDLGolDRQruGT970rnvEmlRTTEIESORRghhyRxyaSCMN9nY7mijAYkHh&#10;ueB+dW4Gaudto0Pkad5sxx5paQ/Q81C5Or36opJsoDyf75/yf0oh0+a9RWv2O08iBeAo9PetWNUi&#10;RUjQKg4UDtRdI1Q8KQgXAGOOOn4Vg6w7XWoRWaeo3H0Pat53EalmPAGTXP6XEbnUZrls4ycH8eKd&#10;0lqDNyGIRRrGBwoxUhAFMViQCe9ScVlFpjAUpHr0NNzSSSrEm52wvc+laRaEVNQm8q0ZUUNI52Kp&#10;7ms241G4s9un2oDSoMu7dBV+2V728F04KxR8Qr6/7VRajorXk5uLefyZn4O4ZzWkEjOpe2hlm81M&#10;Nu+3D1ChBj88VKuu3yIy3NmJhjAaHv8AXpVNopba7NlcyK7oAQyjGal3BfvH5q6LKxwupKOjIrZC&#10;1uWmVoyzkqn90VZYLDbs5ClBy3NV0IafGC1WJx51jcKqj7mOtGyFD3nqV4IdQk1AzJbx7WiBCknO&#10;M1q2dldzXqXF2ixpGGCqvU5//VU1hJvukwMZtx/M1rDpzWd9TvjTijC8SWshgivYlJkhboO4qilw&#10;jgqSro2RnsQa6pgjROjAFWGGBrlLvTJdJcvEryWTHhVGSlWmY1qb3RDHPc6d+4R2axc4Zu6fT2rq&#10;bJ7aW3ja1dWjHTb6+tc3bypJ9wjHde9P3tp17bSQHas77XjHfjrScFuKlUktGdO2SpBI5zmuUltp&#10;NMvQI8KUPmRH++O4P5n8q6wnIJ9KoarZLeWZwv71fmjI/lWV7nU31LNtcR3dsk8b/I3Xjke1UNV0&#10;OLUY3AIil7MP51Rs777MRexo3kyNtngH/LN+5/z6V0AniZN6zR7SM53AA0bEtJo5A/b9HZILyEyw&#10;f8/EfJ/GtBLmBk81J18tRnNbP2uzlJQXNux/uBwTUbaVp87h2tULdd2KpTMXR10MTwzAp1jUr2LI&#10;gkYKh7Hgc11DHHJ9ajBht4/lIiiUc5IFY9zqY1DzI7SULAnEkpYfNjsKU5Jm0Fyoff6qMNFbyqsY&#10;OJpz0SseX9+I4rdT5TNtiz/y0bux/D+VXdJ0WEwm5u1LEuTHuPCjPBxVuw/0vU7i5KYhh/doPX/a&#10;/Ws1a9itzRsrRLG2WJeSMZPqfU1ma5ebYpIxyE5f/CtW7uEtYy+3c2cIPXNcxtkvr4o75jjbfJ/t&#10;N2H5GqitSJuyL+mwm2skic/O/wA7fU1PLIFYFm+UUwsF/GmyrvAX1re1lY43K7MzSdQubS0vbuS3&#10;YrJIXjP8OMAfzFZ1j9vGqSXJh8uK5O6QHt9PzqeW926dBojhhOrndxxtHPFUbrxHDbrvW3kdVcq2&#10;TgjH1ranDqFWWljpWYSBQvRjjBqpJBJB4nsLqLGGVomHfp1H51naDrL6mbmZ4mjgjPy76mt2bU7r&#10;+0FvzbrGrBYXGPlxTq7Co2Onk1nTor37K95F5/Tbmp9SZ1sJWRsHjp6ZFcNJosU+hPcImbkSNKrZ&#10;5bBOB+tW/DviQ61YCycsssTfvge6j/69c6irHV7VXsa14Ak8VnbHZlN8snViD0H86xr3U7fQ5NrQ&#10;TSvJy0g5z+JNaFq/nTz3r8+YxRB7Dp/OsfXpZP7SszHEZPKO9lx8pGO9aLRHNUldkej6+NWuVjub&#10;VEJ5j3rWjBJDBqFw0h3ycBUA5/CofDl7/alo8kkH2eVCVXjAHvVK2OpQ6pcRWvlFpWG6eQZwKTeh&#10;nG1zWnkmELXV/OLKA9Fxlz7VRtr+4ucrY2skMIPEpUF3/OnlrBJM3lyLm49X5I+ntU6atbR5EZLk&#10;dhxiosmaNvoQOdpbzYbyQYyWLkY/I1Hbwi3dme4mktZjujlMh+Q+nWrIllvGwLqKCMjkZ5NWbf7J&#10;a2X2diZ/VUG7d+VXGMRJzuTg6jbhWilWaNhnZIAQfxqaPWmtx/p2nJGp/jjUEfrVaxj1UQNFiK3i&#10;zujaY8KPTrUF42m2g3ajeSXDMfuRDcCfwFKbXQ2i5dTRJtrxzeaTOhmjxujX+IemK5catK+tXJkU&#10;W3nuFV5OgIGCB+VbcMllp9vLcQabJB50ZCSseTxxx+NZGm2GkXdxIbyWPAYEfMDknk1jzNItwTNu&#10;11bRdLgNx5paaQBzuHODwMfjW1perQ6pC0sXC993BrEvrbQtLVR5IkkwFRB2A5wfQfWk0+xhuFuL&#10;1ZFhtyP3kMTdf96sXebNItJWEutUGi3d3LBNDN57byrEhugGP0qtD43mkQhNOk83PAxwadDYRyYu&#10;Lgbw5/dw/wAKitJERI8RxquO2K3jT0MZVrMyNY8SRTWEMV/E1oTMPNQ8ZXB5/lVLR9A0u/FvMuoO&#10;L5wJNgOcAH/61aN7aW93qlmLyBJY5D5bKen+eK17Lw1Yafqv263Uo5GCg6CsKqUS6bcjVklW0tw8&#10;jEkADNYWtXtnd2bEuUuYxmMdz7VoeIJDFpLkHB3AU6x0y1e1imlt0kmK5LHvWce5t5HDaFrd8l3q&#10;csxIZoVKxt03nNWHitXtVjvLdopm+fzfc89etPvbS2hv7h0kxM9yqCIf3d1bUqZOCM4wBkV20kcV&#10;eTOYhuby0DLDJ9shzyp++tbFjqkFyqqJAJOytwRTbqFftUIjUCQnqPSpLrRre7G8oRIpyJBwQa1u&#10;jk5WLcuLW4gePgyNtI/vcZqBrq5uTPFbovl/cJrMvk1O0jUzM1zChyJI+HA9/WtHTLq0lgC28oz3&#10;DDB/WjcC0oIthExIwMfLWTdeHYJ7iEglRE27Pqa2mKrk5IUdc0+ymjvIhcIOM4xS2CzYBQIivRfT&#10;vVFNJtjMZVklhY9QhwCK2HjwtVivqOO9K1y1eJVa0GnNHPb3c6qZQHBcsCueTya2I7AatCZxMysG&#10;IilXqKzLqJrmxltg21XHDelQWQ1TSo40t9SSSNOqTA//AFqiUex1U6qt7xrmw1WLPME+P4mJBP5C&#10;kebUoADNp7Mg7xDP86rr4tmgdVu7TduOMwuMflW5Zava3nCN5bH+FztP5GpvYtKMjBj1g3e77NZX&#10;Mu3hsAcfrVq21KEsI7gPBIf4ZBirt7puZGu7JvKuO57N9fWoZL+CdBHqdiQ/RiEJH1yKOcfsULc3&#10;kFtHuZt0n8KL1NRRx6xd8iGO2Q9HYnf+XStCwstNU+dZxoWHRgeR+FaWcir5hqmkMtI5IrdUlfe4&#10;6tjGanPSkXpS9qpamtrEUP3W/wB6lZN4KsAynsRRHjDY/vU+ncSfchFtCP8AlkuP90UC0gyf3Kc/&#10;7IqeijmYnCLdyLyIuP3a8DA+UUn2aLoIox+FTUUkO3Yi8pT1QZ7HHam/Zou0ScnuOlT0UwIhbxKc&#10;+WvPBGOtR/ZIQVPkqSDx7VZooArfYrYE4gXnrkUgsLdZPMWBA/TdjtVqigLFZrOBgFMQ2jkDHQ09&#10;rdHjKMMjtyamooAr/Y4h2J+jGk+yR4Aw3H+0as0UAQwwpAu2NSBnPWpevrS0UAIR1A70dO1LRQAl&#10;LRRQAVwM/wDyXTSv+vGb/wBBFd9XAz/8l00r/rxm/wDQRQB6ZRRRSGZniE48Naqf+nOb/wBANcV8&#10;LJUfwBYKjbmReVrtfEHHhrVf+vSX/wBANec/Dy2nt/BenXlmCx2/NF/e6VnUegI9DOfpUMsEdxH5&#10;cyB19G5qlHrMOcXMTwSHruGf5VfhuIJ/9VIrVy7sroc5r+kWC2QjSNzPIdsSBuCfpU9pZwHU47NI&#10;0S3tIwdoUfM/ofpxUmuSPa31ndqN4Q7dnue9SaWd+p6i2MEvznt0rS9iUa4znPelUYpwFBH61Chd&#10;lGZrNwYbE7ThnO0fTvT9Og8mzUEYLDJ+lUtUT7VqMNvn7uGx9a2QmAo7Abaqa6CBenPOaD047daU&#10;KcHtWdcvLc3/ANkgcxqi5dx61io2GXJZ44IzI7Db7GqqxS37Bp/lg6qnQn3NOj08rIJJp3mI6BgM&#10;fpVsLnOOPYVUdwY8JtUYGAOmOwqnqepx6dACTulbhEB5NN1LURZiOGL5rmQZUenvWO1tlmnnk8y4&#10;b+LsPpXVCOhjUqJIoxxzSXD3M7Ezv1z2HYU5hztHJ9zTyfLJOcmiKPcxdug5Oa1SPNk3JkFyssNj&#10;LJCTv25z6Vq2egW01hDKlzMBIgMgLk5yMmqCLfahvFlDiJhjzn+6VPHFdPp9mLKyitwxYqvJPrWc&#10;5HZQp2WpXtYkg1XykDCNYBgsecZNXpLq3iBLzIMds81gJCb3xTcrO7hEiAQA4yM1sCwtUI2RDPqS&#10;TWfPY6kRnUXlO62t2kVf4jwD/jTDqNzOojgtZFfuzrx/9er6pgYVRjsDxj8qo6nqcWmRI8qsxY8K&#10;vp3P4Vm5sbKD+GkupfPnnMcnUiE7P5VctdGtYJxMGklkAwpdiQorAt/FV7c6ikRs3SBpRtcjgrRL&#10;qfiGWSTyrcqq5PTtT5pNE2XY7LOWBX2FKMYIHGTx71n6RdSXmmQPKpSQLhgR3qe9uvsdo82Msvyq&#10;Pc06adyrmVraJp84vYSBLIVjeA8BwTgnH49axLy60u9T7LZtOkzSCJgSQFz1IHoMVbdLiCCSaUr9&#10;p37Cz5LN6BR0q5YeHnu0WXU9oxyI0GM+5PXNaSV2S0ZVx4fsNCms7iIP9nmbbI7OSenUHtzVyS5l&#10;il8rTb2WZB1LruA/HNaVx4eRkMcVzJFET8sa4IUfjQmgadaxtLNltoyzMxH8qlxGtDnbu7W9byJG&#10;mlnJwQjHH4CtCHw/JdhV2fY7RQMDOWb6jtWnZ6to8kwht3jU9Blep+tXdSkMOnTyIMN5ZAC9Bx1p&#10;coJ3MexuWt9Nv5fMMkVvlULc4A4Naukw/Z9OhGOxJ981nz24XR7KyXA+1FRIfUMMk1uIoSNEHUDF&#10;DiBg6veGOcpHkuuFjHqW7/hS29v5NsEA5HzMe5NM1mxkn1VHt+JIgrqn97FOj1C3PE5MM3dWU1rT&#10;iY1E2J5ivjnnPNSeZlh7UhWGZQ8Tqy+oqP7r1o0ctrGZrybZrO+CjCNtkPtWDeagkDsxskuFec8u&#10;uO/WtzxHexxaZ5JG+ZmAQD606SwupbKOZmUSIM+WqjBraDJlruV5J4L6SPTbX90uA0u1cbvYVtSa&#10;fa3caxvCBjoRwawdMMNxc3NvISJyQyN0I4rSjvpLWTyrv1AEnalIE7Fma5tIZUto3AIAUADp7Vzi&#10;WX2DXJkhkEDzKWibHBHcfzNaVpGLuC76eYZSUb6E1DqULXVktzF/x8Wjbsdz2I/Ks2Nu5fsYGhtV&#10;i3FnQZ3diap20P2hHczss24hgeQPwqe3u5L9oxbMqRmPeWP8J9Kpb7exu3nub1XL/wDLKPkk1Sjd&#10;E3NCLSyyMjTHZn7qfJn8qsS/ZNMhLyOkSAcFjiuc1PxPeQqtvbWbxbgdssnfA7YrK06/lvdWtvMt&#10;5Z5CfneX7q/0qlTuHOkXbm1ma9S40GATL1kNymVP+7nNa8OtPbKBdaHFgdZFUf4VVvd8FwZre7RZ&#10;EOGiY4XFXLfURcIQ+zI4Kkjmq9igVUW+1vS4bYznSV56ErgfniprW9up4lns7e0tYmGfMXDH+VNu&#10;7KJ7GXYoUlecc/zrO02KaDSBLbAPG8ZypJ6+oqXTSVzRVr6GnbaXqGtMZpbhxDuKktwD74rZsvDV&#10;hZOJNpkk9WOR+VWtIkSfSLZozkeWAfXcBzV7cFBPACjmuOc9bHaldGRryJItnEQMGdflI4xkZrK1&#10;TwlosFtLc+W8bo3mgo5GT/k1rQltR1MXLL/o8Pyp/tE9T+HFJrq77WGBjkSybP5n+lYTk3oi7I5q&#10;C0E+oFLj58IHkz3b0Pt04q3Na3Ks502NFWaMxyheAPQ4/OpbdBJfXky8gybQfpir8cYDDaccYx61&#10;1U4Wjc4pyakMjtilvHGCCEXGc96a5KcZNTyvsQlQMH0qJFEgJJ5xmtTJ2Zn6ijvAJIhhoWEgP0rp&#10;7Wdbm0iuI8BXGawrkH7PMyjJC4x61qaWEj0a22cgR1x4hHVh9GUvEc++CGxQBpZ5V49B/k1tQRmO&#10;KJAQNq7c1h2EP2nVvNkO5hvwf7vPFb/YDoDWEXZHS3dnnMiLN8RZUkVh5QZhzwTz/hXS5+c81RuZ&#10;orfxdNEYw0sy5V/Qc1f2AyZzz6V6NPY8+t8RWkt0mkGWKuBwRwR71Wt71vtJtWy5XOJF5B+pqbU4&#10;ZHgIjfaw5PoRRZIj2qPgDHAA9aowdyYr/LFY19pdvNKHTMUwPDLxz7+tbhG8dcelUygdjtOfX2oR&#10;JymsapfaZZ7LtgyOdgcf4VtaJrNgtnHFauX2JgjHOazL7SzrmrMQR5VnjC9mNWX0q3klDKTZ3Axt&#10;2jg0w1N1dSViFcSIp4yy4pl3exw4RTl2+6tVDfyWi+RqUAePp5wHH+NWbW2tHHmwEY65Bz/OkN3Z&#10;GLmaDH2pV2N/Ep+7VWcpeXwAkZ4whPBxzW4IxJGRwV79KqiBYZQEUDjk0XCUXYZFDEBvEagjgEDk&#10;UskKOwdl5/vd/wA6txxpsGPxqQxhgFxxRypji2iO2v7uzYYJuIR1U/eT6HvXRQTxXdsJUIZD/nFc&#10;8AgY+W43DrinW0p067WcEmKYhHQdFzwD+tYzgddKo1ozSn0opL9osJPJuB8xT+FvbFNTVri2GNQt&#10;GT/ppH8y/nWr049Bx6/Wmsu7OVVs/wB7pWV7HZbS5Lbzx3ECSRHKt0NSEjp0qOJAsYVRge3Ss6XU&#10;5V1dbPyTsI+9XTF+6Sy2Jkt7aSWVsKpJJqW3uI7mBZYz8rVBKqNZzB0Lrk/KKz7+5NnoAltsx4OM&#10;elUo8xLdkbh7nsKB154GK4dNavOFNyxJGcYFC61du5UXZLAcgYrf2Dtcx9um7M7gHIoJwMnI9BXO&#10;2t3eyPC5uMR7DlSOvv0qnLrGpQ2NsyrukaYq+R0HFYtWNlZ7HW7skY/AetLu/wD1Vzd1q2oxfaWW&#10;NSEhDIcd8VHBreoR6ZBLLBukaTawA6CgZ1PX6d6OTnAPFY39st9snhMB2hN6nsTUEutXAW3aOBcu&#10;3zDnpzQB0HYe4pAScfrWC+uzLFdyC2P7psLjvTYvETPJBHJbMhkxk+lAG/k9Oppc49/Ws3TtWj1G&#10;WaONDG0RwSatXTvHbMycNxzSAsDpycGjNUWWeNBI9ygXbyT2p0QmddyXKMO2KALufWiqkM+GZJpF&#10;3D3qYXEJ6Sr8vXnpQBLRUYniLBRIuSMgZ6ipKACiiigArgZ/+S6aV/14zf8AoIrvq4Gf/kumlf8A&#10;XjN/6CKAPTKKKKQzM8Q/8i1qv/XpL/6Aa4z4Y/8AIg6djOdvaux8QH/im9U/685s/wDfBrz34ca9&#10;pVn4G0+C4v4Y5AvKu2KyqJvYDvyoYYZc/UVRuNKicl4B5M3VSnf61D/wlGhH/mK2/wD33R/wlGhZ&#10;z/att/31WCiyrlPULsS2X2a9jYzo4VG6c+oNS6AkkV3eQuwLghmYd/xqlqOt6DcahbMdRgZG/duA&#10;/QHv+lZ2g+ItMtNdv7eXUoTbxgeU5b73NU4tko74Hikzzg/hWP8A8JRoX/QVtv8Avqo5/Fehxws6&#10;6nbswHA31ok0AtuRPrk8o5CEgfTtWylcpo+t6NCJZpdVtwznBG70q3c+LdKWRYrfULZs/wARes5J&#10;3BHQlgAT271n6WnE0rcs0jDPsDxWW3ieyKmM6lYpngt5n/1qsW/iLQbeARjVrVucn56fJcdzbNIo&#10;65xjvmsv/hKNB/6Clt/33WNqfifTbm6NqmqQx24UMZFb7x9KIU3cUpaFhJBdahd3jDOxhEj+3cfp&#10;SyHd3rOGvaPFGEivoNnQ/N+tNPiDSf8An/g/76rpWiOCpe5eEW8kYzTLkbbNkAw0jBBiqH/CQ6WG&#10;41CHpnO7pUtprWj3GoRtLqMCRQ/OMt949P60ncKdPXU7WG3S3t0gQARqMcU8jHI7Vk/8JToWP+Qr&#10;bf8AfdH/AAlGhH/mK23/AH1WLi2egrIjZX/4S1GQYT7ON35mtk4zXI3PiTTE1cTwalbEeUFILdeT&#10;V628YaNM+yW/gjk9N3B/GocWFzoSeOOtcp4x+1Q/Z54LVpwFeMqvXLDGa1P+En0IDnVbb8Hpn/CT&#10;aCeDqlsee7VDiwuZuh+IN11b6RNayRP5QG49jge1dWTnBOSelc//AGz4a+1faf7QtfO/vbqtDxRo&#10;XX+1LfP+/VRTDQ2APlxnOOgrI1x8G0jLYV5fm/I0HxToX/QUt/wasnXfEejy28TwahbO6NkfNV8r&#10;EP0Y/a9dnLnfHHmRQe5bj+ldWOB9OlcNo3iDSLfU3Z763RXhUEb+/NdCfFGg5z/atsD3+ehKVho1&#10;mrjfEl9NfavFpEDERRgSTEHjB7GtW68YaFbwtINQhdh0UNXByavbXl9cakLuGNZG2ld/JUVUU+pn&#10;UvbQ2bCBdU1aWyso1SCMAOx6A8frXc3tt9o0+WBcDehHHrjiuR8La3oVrZTu1/BE8j5IY8mtO48d&#10;eHrWdIzqETEnqp6Zq5CpX5dRRLJcaVbzwrm4sWAKHqdvH64ratbhLmFJ0OVYZHtXNSeIdGg1KG5g&#10;1O38qb5ZV3frS2HiHRbW9uoBqdv5Lneh39OnFZNM0N3UE8tFu0YB4Of94d6tIsd3CshQNlc8iue1&#10;bxFoclpuTU4Hw43AP1FXovFGgiBFGp2ygAcb+laU7g7MrXdrHZa8nlxiOKdMYHqMmlmGwlsfdP51&#10;T8QeI9GkggeDUbdpkkGCG6DIz+lMfxNoztn+0IANuPvd61OWpHXQ5vU7onULe6uU/wBHL4KIPmXH&#10;c119jexahYiW3bdGc4PYVS/t3w/kk3Vodww2QDWLcanZ6ZOZtJ1G2eBzl4S+B+FVFmTg7FybTjca&#10;1JNFiGeNOHXv0p9xNdRwk30cM8WMsyEZx7is99Xg1G7E02o21tEww6o3J/GpZZfDbLj7ev8A3+PN&#10;NsXK+x0Nv9lt7JJIkKxFQ4APY89Kw31GZ7yR9LtJJgwO4SAqP1q1Fr2jpCE+3wbVUKBu7Cnr4h0Y&#10;KFF/bgD0OKnqJRd9jE0azubi3l8y88iOSRi9vCcMp7jNJdzaZok4CQZnY4DMOfxNVNSuNNbWsQ6j&#10;FHb3K5MiPjY47fjmnyrpGorH9t1KEPH8ud33h61vFpEyhJly+a8vbW1kaBhcB87SNwxUml6zJDaX&#10;IvofKZHIjEa439e1Lq2q6bJpyxW+pxAow3FW5K55q3pb+EU8q6fVI5JMg7ZZD8p+lZzqWLhRbOVu&#10;9GutbvJXBSMudyq42kj8a1rbQ7ayhtopdqlkIds/dYDg10up3/hvUNjDVbaGWI5jkUgA+1Z/maRe&#10;Ef2hrVr5YYMEQ4zj3qVWuaPDmdLqt9Cux7QmOUeXGwQ4JHGf0rOjm1uOJ9PjeNRAA21eDgnGK7DW&#10;dU0K40ryrfU7ZXhIeMBvQYriL6e0vP8ATk1aGOUkfKrY4BzzVqd9yHRa1R33gnzY9HeC5G2YSsSB&#10;1wSa1dYmaHTpWH8WFBHuRXNeG9f0uKOWafUbdXkCgZf0GDWxdeINAu7Z4TqlsARgHf0NcE4tyO+P&#10;wmtawLb2ixL/AAqBn196yNTmzqJGMrbwmXHvwP61BpvizSVha3uNRt98Hybt33qgTXdEk1e8E2pW&#10;4jljCht3bApRhZhJ6E+nQrHYQjqx+Zj61FPcTjzZEAEcbdKz59Q06xtFe38QwTeUAPJwOmfWmRa/&#10;pFw9wkl9CiyqOd/TiupPQ4pwdzd+ZoRxkFc4qm919kG3Zk9T9KpnxPp0cDxm/gZ0GFO7rVeTV9JW&#10;3klOpQvO8eMbulO5DhI21feQyj5WHT61Z0ORkiu7VjlYXIU/7OKw4Nd0lYk3ahACEA+9UujeINIV&#10;r4y6hAu5zty3XisK0W0a0U09TX0PJmuX/wBsgVtD72BwT1NcfpHiXSIJ5oZL+3X5sht9bP8Awk2h&#10;9f7Vtx/wOuPklc7tLGBqdrM/jVLhVHlJFgn861lQkliK5zVvEGmt4ut3iv4/KMZDNu46cVqjxBo/&#10;Q6jBj/ervpPQ4KsG5XLs0e44Hes1C9pefZjzHJ8/0pzeItIxxqFuef73SqM+uaVDfrL9vgdXXBO7&#10;p6VoYuDL0ruscgz2OKyFkex0sX6M28IfMD9G47VZl1/SER2N9C+RgDdXP6jrlgBYWnniWJ5N0m08&#10;DpRcn2cjQ0PT72Odb4XhMM+WaH6810k0KzxsrKCCOP8AZrn49XsbORhBdQtC3IBb7tW28U6dGyBr&#10;iMjuVNFw5GXIZoRb+TckHb8pDDlhVC+0yRohNospjA5ljQ4BFXRrmgytva8t8n1IqCbUtFeTfHqs&#10;MLd9rYB/CkylBkmlzWjokWox3lo4/iydj/pW5NoKm383TbhlB5wxyjfhXOW+v6aLh4J9RgmgKDli&#10;ODzUUusxaZcxy6VrEHlOcGGV8ge/eoaZ0xSejRrwySxztb3ERjmUd+QfoauhiOCKwLPxhpuryvb6&#10;rJDazocxzI2QavDXrKFjG17aSEfdcvjdTTZE6L6D7XTDJq119llMcww53dDwBitSPSL15I1uJIxC&#10;jByqjJY1U03VdFtHlnn1a2aWXr81aP8AwlOhgbjqtt/33Wd2dFOmluactzBBIqSTRpIeilgOKeGV&#10;vulSe+DXHajqOkz3puYNZs2LDBWRqp2fiHTLFzMb6NWjfbIvmlgR6jNZyi2a3PRFAKggUxoYWl8w&#10;x/OO9Y0Hi/QJoQ41SAA9AWqX/hK9C/6Ctt/31XTD4bCLlxPHYWryyBmjz0+tZl+6al4fb7MjYJ4F&#10;On8SeHbiJo5NVt2Ruo30228Q+HLSHyotTtgnpvq1KxLVznH0aeYHeJ1IXHyg1Xt9Gns9xWOVmIxn&#10;Fdj/AMJVoOSf7Utuf9qk/wCEp8P/APQTtf8Avqtvb6WMfYJu5jRyarbXNokausHlktweuakW91Ua&#10;czFGMokBAKnoTzWt/wAJToH/AEE7X/vqk/4Sjw/nP9p2v/fVYuVzVQSM641O+W+dEjUx+QCvHVsD&#10;P60lvrF7cW8btbLzLjGOgrR/4Sbw7nP9o2mc56ikPibw5jH9pWgHXAIpXHZjby7ljuJAIFIERZTj&#10;vis3+1541s1kslZpc5+TpzWqfE/h09dTtfzFB8S+HCwY6naZHTkcUXCxXGohbu6he0RUiGclfvVF&#10;Lq0fn2hNojCT5Scfdq2fEXhtiSdRtSe5LdaT/hIfDWMfb7PGc9RRcdiXSJ4J7u5McKxY6471evT/&#10;AKKW4IyKy18QeG0LFdRtV3dcNipf+Eo0DZsOp2xX3agC3Olrd24jkkxkYIotBbWluEWTjAqp/wAJ&#10;P4e/6CNp+YpP+Em8O4/5CNp+YoAq3mmS6ldedazf6txuHqKaPDM4vriX7RiOQY2Z71dHinw+oIXU&#10;7VRnPDYpf+Eq0D/oK23/AH1QAkOivHPaOGB8lcNz1rXXI7YrK/4SvQeP+Jrbcf7VH/CV6D/0Fbb/&#10;AL6oA2BS1jf8JXoP/QVtv++6P+Er0H/oK23/AH3QBs1wM/8AyXTSv+vGb/0EV0v/AAlmhY/5Clr1&#10;6765CDUbPUvjhpkllcpOi2UwLIenyikM9WooooAgnhjuIZYpl3xupR1PQg8GuXHww8FHr4etP/Hv&#10;8aKKAF/4Vf4K/wChetfzb/Gk/wCFX+Cv+hetPzb/ABoooAQ/DHwUG/5F61/Nv8aQfDHwSwB/4R20&#10;Gf8Ae/xoopgP/wCFYeCf+hdtPzb/ABpD8L/BXbw9afm3+NFFIA/4Vh4KH/MvWn/j3+NA+F/grP8A&#10;yL1r+bf40UUgD/hWHgo/8y9afm3+NIfhh4KyB/wj1r+bf40UUwHf8Kv8Ff8AQvWn5t/jSf8ACr/B&#10;QOf+Eetf/Hv8aKKEAn/CsfBW7H/CPWv/AI9/jS/8Kx8FH/mXrX/x7/GiimwsgPww8FD/AJl60/8A&#10;Hv8AGg/DHwVkZ8PWnoPvf40UUgsL/wAKv8E/9C7afm3+NJ/wrDwTn/kXbT82/wAaKKAE/wCFX+Cv&#10;+hetP/Hv8aX/AIVh4L/6F61x/wAC/wAaKKAAfC/wVjnw9aZ/4F/jR/wrDwT/ANC7af8Aj3+NFFAB&#10;/wAKw8Ff9C9af+Pf40f8Kv8ABX/QvWn5t/jRRQAH4YeChj/inrT82/xpD8MPBPI/4R20/Nv8aKKA&#10;D/hWHgrOf+EetP8Ax7/Gl/4Vf4KIz/wj1pk/73+NFFIBD8L/AAUMZ8PWuf8AgX+NI3wx8FgE/wDC&#10;PWmB/vf40UUIBR8MPBeM/wDCP2p787v8aP8AhV/gnqfDtpk/73+NFFNgL/wq/wAFj/mXrT/x7/Gk&#10;/wCFYeCh/wAy9af+Pf40UUAL/wAKw8FZx/wj1p+bf40v/Cr/AAT/ANC7afm3+NFFAAfhf4K/6F60&#10;/wDHv8ab/wAKv8Fcf8U9a/8Aj3+NFFACj4YeCuv/AAj1rz/vf40n/CsPBXQeHrT/AMe/xoooAP8A&#10;hWPgrOP+EdtP/Hv8aP8AhWPgrP8AyL1r/wCPf40UUh2D/hWPgrP/ACL1r/49/jS/8Kw8Ff8AQvWv&#10;/j3+NFFMVkNHwx8Fjj/hHrXOf9r/ABpw+GPgo/8AMvWv/j3+NFFFwsg/4Vj4KHA8PWvP+9/jTf8A&#10;hV/gvt4etPf73+NFFDGhf+FYeC+3h+1/Hd/jS/8ACsPBWP8AkXrX82/xooqQEX4YeDFA/wCKftcj&#10;vlv8aD8L/BWP+RetP/Hv8aKKokB8MPBWf+Retf8Ax7/GkX4Z+CiFP/CO2vPu3+NFFJblMU/DDwVn&#10;cfD1p/49/jSH4Y+ClXnw9anv1b/GiimIX/hWHgvnPh606f7X+NJ/wrHwTtz/AMI9a/8Aj3+NFFA0&#10;g/4Vh4Kzz4etMf8AAv8AGlHwx8F9vD1p6fxf40UUBYP+FYeCsZ/4R61x/wAC/wAaP+FY+Cuv/CPW&#10;vP8Avf40UUxWE/4Vh4Lyc+HrT/x7/Gnf8Kv8FHj/AIR60/Nv8aKKloYn/CsfBW7B8PWpwP8Aa/xp&#10;f+FYeCv+hetfzb/GiihEsT/hWHgvPHh604/3v8aU/DDwVj/kXrT/AMe/xoopjsJ/wrDwV0/4R609&#10;f4v8aD8MPBRyT4etf/Hv8aKKAsg/4Vh4L4x4etMe+7/Gj/hWHgo/8y9af+Pf40UUBYB8MPBP/QvW&#10;v/j3+NL/AMKv8Ff9C9a/+Pf40UUBYT/hWPgrH/IvWmP+Bf40D4YeDB/zL9rzxxu/xoooBoP+FYeC&#10;93Ph60yP97/GgfDHwWcn/hH7X82/xoooBi/8Kw8Fd/D1r+bf40f8Kw8FA8eHrXn3b/GiigAPww8F&#10;k4/4R+0J9Tu/xpv/AArLwVtH/FPWp477v8aKKAFX4YeCslT4etOP97/Gnf8ACr/BP/QvWn5t/jRR&#10;QAf8Kv8ABX/QvWn5t/jR/wAKv8E/9C9afm3+NFFAB/wq/wAE/wDQvWn5t/jR/wAKv8E/9C9afm3+&#10;NFFAB/wq/wAE/wDQvWn5t/jR/wAKv8E/9C9afm3+NFFAB/wq/wAE/wDQu2n5t/jR/wAKv8E/9C7a&#10;fm3+NFFAB/wq/wAFf9C9afm3+NH/AAq/wV/0L1p+bf40UUAH/Cr/AAT/ANC9afm3+NH/AAq/wT/0&#10;L1p+bf40UUAH/Cr/AAT/ANC9afm3+NH/AAq/wT/0L1p+bf40UUAH/Cr/AAT/ANC9afm3+NH/AAq/&#10;wT/0L1p+bf40UUAH/Cr/AAT/ANC7afm3+NH/AAq/wT/0Ltp+bf40UUAH/Cr/AAT/ANC7afm3+NH/&#10;AAq/wT/0Ltp+bf40UUAH/Cr/AAT/ANC7afm3+NH/AAq/wT/0Ltp+bf40UUANPww8Ff8AQvWmP+Bf&#10;41f0jwP4Z0K/W/0vR7e2ugpUSpnIB6jk0UUAdDRRRQB//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nUwEAW0Nv&#10;bnRlbnRfVHlwZXNdLnhtbFBLAQIUAAoAAAAAAIdO4kAAAAAAAAAAAAAAAAAGAAAAAAAAAAAAEAAA&#10;AHZRAQBfcmVscy9QSwECFAAUAAAACACHTuJAihRmPNEAAACUAQAACwAAAAAAAAABACAAAACaUQEA&#10;X3JlbHMvLnJlbHNQSwECFAAKAAAAAACHTuJAAAAAAAAAAAAAAAAABAAAAAAAAAAAABAAAAAAAAAA&#10;ZHJzL1BLAQIUAAoAAAAAAIdO4kAAAAAAAAAAAAAAAAAKAAAAAAAAAAAAEAAAAJRSAQBkcnMvX3Jl&#10;bHMvUEsBAhQAFAAAAAgAh07iQFhgsxu0AAAAIgEAABkAAAAAAAAAAQAgAAAAvFIBAGRycy9fcmVs&#10;cy9lMm9Eb2MueG1sLnJlbHNQSwECFAAUAAAACACHTuJAgqTgPNYAAAAGAQAADwAAAAAAAAABACAA&#10;AAAiAAAAZHJzL2Rvd25yZXYueG1sUEsBAhQAFAAAAAgAh07iQBVI+Tj5BQAA2BYAAA4AAAAAAAAA&#10;AQAgAAAAJQEAAGRycy9lMm9Eb2MueG1sUEsBAhQACgAAAAAAh07iQAAAAAAAAAAAAAAAAAoAAAAA&#10;AAAAAAAQAAAASgcAAGRycy9tZWRpYS9QSwECFAAUAAAACACHTuJAeY0XAtFJAQDHSQEAFQAAAAAA&#10;AAABACAAAAByBwAAZHJzL21lZGlhL2ltYWdlMS5qcGVnUEsFBgAAAAAKAAoAUwIAAOtUAQAAAA==&#10;">
                <o:lock v:ext="edit" aspectratio="f"/>
                <v:shape id="IM 336" o:spid="_x0000_s1026" o:spt="75" type="#_x0000_t75" style="position:absolute;left:2636;top:2033950;height:8408;width:12702;" filled="f" o:preferrelative="t" stroked="f" coordsize="21600,21600" o:gfxdata="UEsDBAoAAAAAAIdO4kAAAAAAAAAAAAAAAAAEAAAAZHJzL1BLAwQUAAAACACHTuJAMgxwrb8AAADc&#10;AAAADwAAAGRycy9kb3ducmV2LnhtbEWPQWvCQBSE7wX/w/IKvdWNFaRENzlIhVLbQ43i9ZF9yQaz&#10;b8Puqqm/3i0Uehxm5htmVY62FxfyoXOsYDbNQBDXTnfcKthXm+dXECEia+wdk4IfClAWk4cV5tpd&#10;+Zsuu9iKBOGQowIT45BLGWpDFsPUDcTJa5y3GJP0rdQerwlue/mSZQtpseO0YHCgtaH6tDtbBedq&#10;bA4fn/Er3Ort4E2z3x77N6WeHmfZEkSkMf6H/9rvWsF8voDfM+kI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McK2/&#10;AAAA3AAAAA8AAAAAAAAAAQAgAAAAIgAAAGRycy9kb3ducmV2LnhtbFBLAQIUABQAAAAIAIdO4kAz&#10;LwWeOwAAADkAAAAQAAAAAAAAAAEAIAAAAA4BAABkcnMvc2hhcGV4bWwueG1sUEsFBgAAAAAGAAYA&#10;WwEAALgDAAAAAA==&#10;">
                  <v:fill on="f" focussize="0,0"/>
                  <v:stroke on="f"/>
                  <v:imagedata r:id="rId83" o:title=""/>
                  <o:lock v:ext="edit" aspectratio="f"/>
                </v:shape>
                <v:group id="组合 56" o:spid="_x0000_s1026" o:spt="203" style="position:absolute;left:6643;top:2036552;height:1149;width:2127;" coordsize="2126,1149"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_x0000_s1026" o:spid="_x0000_s1026" o:spt="100" style="position:absolute;left:0;top:992;height:156;width:40;" filled="t" stroked="t" coordsize="40,156" o:gfxdata="UEsDBAoAAAAAAIdO4kAAAAAAAAAAAAAAAAAEAAAAZHJzL1BLAwQUAAAACACHTuJAFB7e0r4AAADb&#10;AAAADwAAAGRycy9kb3ducmV2LnhtbEWPT2sCMRTE74V+h/AK3mpiq9KuRmkLgniodN3eH5vn7mry&#10;st3Ef9/eFASPw8z8hpnOz86KI3Wh8axh0FcgiEtvGq40FJvF8xuIEJENWs+k4UIB5rPHhylmxp/4&#10;h455rESCcMhQQx1jm0kZypochr5viZO39Z3DmGRXSdPhKcGdlS9KjaXDhtNCjS191VTu84PT8Pm3&#10;UkX4Xrtq8z7+2DX5ry2GVuve00BNQEQ6x3v41l4aDaNX+P+SfoC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7e0r4A&#10;AADbAAAADwAAAAAAAAABACAAAAAiAAAAZHJzL2Rvd25yZXYueG1sUEsBAhQAFAAAAAgAh07iQDMv&#10;BZ47AAAAOQAAABAAAAAAAAAAAQAgAAAADQEAAGRycy9zaGFwZXhtbC54bWxQSwUGAAAAAAYABgBb&#10;AQAAtwMAAAAA&#10;" path="m20,0l20,155e">
                    <v:fill on="t" focussize="0,0"/>
                    <v:stroke weight="2.04pt" color="#FF0000" joinstyle="round"/>
                    <v:imagedata o:title=""/>
                    <o:lock v:ext="edit" aspectratio="f"/>
                  </v:shape>
                  <v:shape id="_x0000_s1026" o:spid="_x0000_s1026" o:spt="100" style="position:absolute;left:83;top:20;height:1023;width:2023;" filled="t" stroked="f" coordsize="2023,1023" o:gfxdata="UEsDBAoAAAAAAIdO4kAAAAAAAAAAAAAAAAAEAAAAZHJzL1BLAwQUAAAACACHTuJA9zviqb0AAADb&#10;AAAADwAAAGRycy9kb3ducmV2LnhtbEWPzWrDMBCE74W8g9hAb42c0pTgRAnUUCj0FKeQHDfW1nZr&#10;rYwk/8RPHwUKPQ4z8w2z3Y+mET05X1tWsFwkIIgLq2suFXwd35/WIHxA1thYJgVX8rDfzR62mGo7&#10;8IH6PJQiQtinqKAKoU2l9EVFBv3CtsTR+7bOYIjSlVI7HCLcNPI5SV6lwZrjQoUtZRUVv3lnFHye&#10;e8xO0xv/0OCmonPeZpe1Uo/zZbIBEWgM/+G/9odWsHqB+5f4A+T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O+KpvQAA&#10;ANsAAAAPAAAAAAAAAAEAIAAAACIAAABkcnMvZG93bnJldi54bWxQSwECFAAUAAAACACHTuJAMy8F&#10;njsAAAA5AAAAEAAAAAAAAAABACAAAAAMAQAAZHJzL3NoYXBleG1sLnhtbFBLBQYAAAAABgAGAFsB&#10;AAC2AwAAAAA=&#10;" path="m483,92c483,41,525,0,576,0l740,0,740,0,1124,0,1930,0c1980,0,2022,41,2022,92l2022,323,2022,323,2022,462,2022,462c2022,513,1980,554,1930,554l1124,554,0,1022,740,554,576,554c525,554,483,513,483,462l483,462,483,323,483,323,483,92xe">
                    <v:path textboxrect="0,0,2023,1023"/>
                    <v:fill on="t" focussize="0,0"/>
                    <v:stroke on="f"/>
                    <v:imagedata o:title=""/>
                    <o:lock v:ext="edit" aspectratio="f"/>
                    <v:textbox>
                      <w:txbxContent>
                        <w:p w14:paraId="2A07C06B">
                          <w:pPr>
                            <w:jc w:val="center"/>
                            <w:rPr>
                              <w:rFonts w:hint="default" w:eastAsia="宋体"/>
                              <w:b/>
                              <w:bCs/>
                              <w:lang w:val="en-US" w:eastAsia="zh-CN"/>
                            </w:rPr>
                          </w:pPr>
                          <w:r>
                            <w:rPr>
                              <w:rFonts w:hint="eastAsia"/>
                              <w:b/>
                              <w:bCs/>
                              <w:lang w:val="en-US" w:eastAsia="zh-CN"/>
                            </w:rPr>
                            <w:t>项目位置</w:t>
                          </w:r>
                        </w:p>
                      </w:txbxContent>
                    </v:textbox>
                  </v:shape>
                  <v:shape id="_x0000_s1026" o:spid="_x0000_s1026" o:spt="100" style="position:absolute;left:63;top:0;height:1063;width:2063;" filled="t" stroked="t" coordsize="2063,1063" o:gfxdata="UEsDBAoAAAAAAIdO4kAAAAAAAAAAAAAAAAAEAAAAZHJzL1BLAwQUAAAACACHTuJAhhixNr4AAADb&#10;AAAADwAAAGRycy9kb3ducmV2LnhtbEWPUWsCMRCE3wv+h7BC3+qeLVflNAoKBSnUom0pvi2X9e7w&#10;sjmSVK2/3hQKPg4z8w0znZ9tq47sQ+NEw3CQgWIpnWmk0vD58fIwBhUiiaHWCWv45QDzWe9uSoVx&#10;J9nwcRsrlSASCtJQx9gViKGs2VIYuI4leXvnLcUkfYXG0ynBbYuPWfaMlhpJCzV1vKy5PGx/rIan&#10;3SviOryP11/5ZfS2QrF+8a31fX+YTUBFPsdb+L+9MhryHP6+pB+A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ixNr4A&#10;AADbAAAADwAAAAAAAAABACAAAAAiAAAAZHJzL2Rvd25yZXYueG1sUEsBAhQAFAAAAAgAh07iQDMv&#10;BZ47AAAAOQAAABAAAAAAAAAAAQAgAAAADQEAAGRycy9zaGFwZXhtbC54bWxQSwUGAAAAAAYABgBb&#10;AQAAtwMAAAAA&#10;" path="m504,112c504,61,545,20,596,20l760,20,760,20,1145,20,1950,20c2001,20,2042,61,2042,112l2042,343,2042,343,2042,482,2042,482c2042,533,2001,574,1950,574l1145,574,20,1042,760,574,596,574c545,574,504,533,504,482l504,482,504,343,504,343,504,112xe">
                    <v:path textboxrect="0,0,2063,1063"/>
                    <v:fill on="t" focussize="0,0"/>
                    <v:stroke weight="2.04pt" color="#000000" joinstyle="round"/>
                    <v:imagedata o:title=""/>
                    <o:lock v:ext="edit" aspectratio="f"/>
                    <v:textbox>
                      <w:txbxContent>
                        <w:p w14:paraId="25B75799">
                          <w:pPr>
                            <w:jc w:val="center"/>
                            <w:rPr>
                              <w:rFonts w:hint="default" w:eastAsia="宋体"/>
                              <w:b/>
                              <w:bCs/>
                              <w:color w:val="000000"/>
                              <w:lang w:val="en-US" w:eastAsia="zh-CN"/>
                            </w:rPr>
                          </w:pPr>
                          <w:r>
                            <w:rPr>
                              <w:rFonts w:hint="eastAsia"/>
                              <w:b/>
                              <w:bCs/>
                              <w:color w:val="000000"/>
                              <w:lang w:val="en-US" w:eastAsia="zh-CN"/>
                            </w:rPr>
                            <w:t>项目位置</w:t>
                          </w:r>
                        </w:p>
                      </w:txbxContent>
                    </v:textbox>
                  </v:shape>
                </v:group>
                <w10:wrap type="none"/>
                <w10:anchorlock/>
              </v:group>
            </w:pict>
          </mc:Fallback>
        </mc:AlternateContent>
      </w:r>
    </w:p>
    <w:p w14:paraId="2D913B50">
      <w:pPr>
        <w:ind w:left="480" w:firstLine="0" w:firstLineChars="0"/>
        <w:jc w:val="center"/>
        <w:rPr>
          <w:rFonts w:hint="eastAsia"/>
          <w:b/>
          <w:bCs/>
          <w:color w:val="auto"/>
          <w:highlight w:val="none"/>
          <w:lang w:val="en-US" w:eastAsia="zh-CN"/>
        </w:rPr>
        <w:sectPr>
          <w:footerReference r:id="rId23" w:type="default"/>
          <w:type w:val="continuous"/>
          <w:pgSz w:w="16839" w:h="11905" w:orient="landscape"/>
          <w:pgMar w:top="1800" w:right="1440" w:bottom="1800" w:left="1440" w:header="862" w:footer="1009" w:gutter="0"/>
          <w:pgBorders>
            <w:top w:val="none" w:sz="0" w:space="0"/>
            <w:left w:val="none" w:sz="0" w:space="0"/>
            <w:bottom w:val="none" w:sz="0" w:space="0"/>
            <w:right w:val="none" w:sz="0" w:space="0"/>
          </w:pgBorders>
          <w:pgNumType w:fmt="decimal"/>
          <w:cols w:space="720" w:num="1"/>
        </w:sectPr>
      </w:pPr>
      <w:r>
        <w:rPr>
          <w:rFonts w:hint="eastAsia"/>
          <w:b/>
          <w:bCs/>
          <w:color w:val="auto"/>
          <w:highlight w:val="none"/>
        </w:rPr>
        <w:t>图5.3-1</w:t>
      </w:r>
      <w:r>
        <w:rPr>
          <w:rFonts w:hint="eastAsia"/>
          <w:b/>
          <w:bCs/>
          <w:color w:val="auto"/>
          <w:highlight w:val="none"/>
          <w:lang w:val="en-US" w:eastAsia="zh-CN"/>
        </w:rPr>
        <w:t xml:space="preserve">          </w:t>
      </w:r>
      <w:r>
        <w:rPr>
          <w:rFonts w:hint="eastAsia"/>
          <w:b/>
          <w:bCs/>
          <w:color w:val="auto"/>
          <w:highlight w:val="none"/>
        </w:rPr>
        <w:t xml:space="preserve"> 区域地质</w:t>
      </w:r>
      <w:r>
        <w:rPr>
          <w:rFonts w:hint="eastAsia"/>
          <w:b/>
          <w:bCs/>
          <w:color w:val="auto"/>
          <w:highlight w:val="none"/>
          <w:lang w:val="en-US" w:eastAsia="zh-CN"/>
        </w:rPr>
        <w:t>类型分</w:t>
      </w:r>
    </w:p>
    <w:p w14:paraId="08964D6D">
      <w:pPr>
        <w:rPr>
          <w:color w:val="auto"/>
          <w:highlight w:val="none"/>
        </w:rPr>
      </w:pPr>
      <w:r>
        <w:rPr>
          <w:color w:val="auto"/>
          <w:highlight w:val="none"/>
        </w:rPr>
        <w:t>根据前人资料和我们野外调查所见的主要褶皱、断裂叙述如下：</w:t>
      </w:r>
    </w:p>
    <w:p w14:paraId="15DF0C42">
      <w:pPr>
        <w:rPr>
          <w:color w:val="auto"/>
          <w:highlight w:val="none"/>
        </w:rPr>
      </w:pPr>
      <w:r>
        <w:rPr>
          <w:color w:val="auto"/>
          <w:highlight w:val="none"/>
        </w:rPr>
        <w:t>1、华力西期褶皱构造</w:t>
      </w:r>
    </w:p>
    <w:p w14:paraId="64E743B5">
      <w:pPr>
        <w:rPr>
          <w:color w:val="auto"/>
          <w:highlight w:val="none"/>
        </w:rPr>
      </w:pPr>
      <w:r>
        <w:rPr>
          <w:color w:val="auto"/>
          <w:highlight w:val="none"/>
        </w:rPr>
        <w:t>华力西期构造层由三迭系下统三面井组地层组成。出露于区域西部蔡家营子以西；面积约10平方公里；为一套砂页岩、中性的火山岩、碳酸岩建造且夹有多层火山碎屑岩，为明显的地槽型沉积，该构造后由于华力西构造运动形成紧密的褶皱，构造线北东向，并有同向的逆断层产生。</w:t>
      </w:r>
    </w:p>
    <w:p w14:paraId="769AB170">
      <w:pPr>
        <w:rPr>
          <w:color w:val="auto"/>
          <w:highlight w:val="none"/>
        </w:rPr>
      </w:pPr>
      <w:r>
        <w:rPr>
          <w:color w:val="auto"/>
          <w:highlight w:val="none"/>
        </w:rPr>
        <w:t>2、燕山早期褶皱构造</w:t>
      </w:r>
    </w:p>
    <w:p w14:paraId="424C530A">
      <w:pPr>
        <w:rPr>
          <w:color w:val="auto"/>
          <w:highlight w:val="none"/>
        </w:rPr>
      </w:pPr>
      <w:r>
        <w:rPr>
          <w:color w:val="auto"/>
          <w:highlight w:val="none"/>
        </w:rPr>
        <w:t>该期褶皱有黑山咀—大河口向斜；郭家营子背斜；后七里河向斜；三道沟背斜； 平房向斜；花塘沟盆地；岗房地向斜；煤窑沟背斜；三道沟向斜。</w:t>
      </w:r>
    </w:p>
    <w:p w14:paraId="7277553A">
      <w:pPr>
        <w:rPr>
          <w:color w:val="auto"/>
          <w:highlight w:val="none"/>
        </w:rPr>
      </w:pPr>
      <w:r>
        <w:rPr>
          <w:color w:val="auto"/>
          <w:highlight w:val="none"/>
        </w:rPr>
        <w:t>对区内地下水赋存比较有利的宽缓黑山咀—大河口复式向斜盆地在区域占着主要 地位，轴向为北东—南西向延伸，轴长53公里，展示宽约45公里，北西翼见于核桃坝—牛心山一带，东南翼见于煤窑沟。据物探磁力异常显示在黑山咀—大河口复式向斜盆地中部为北东—南西延伸的多伦断陷，其范围向北东延伸至粉房营子，向南西延至马莲滩。这样一个构造特征反映出多伦县一带为一幅较大的沉降带。</w:t>
      </w:r>
    </w:p>
    <w:p w14:paraId="5633FEAD">
      <w:pPr>
        <w:pStyle w:val="6"/>
        <w:rPr>
          <w:rFonts w:hint="eastAsia"/>
          <w:color w:val="auto"/>
          <w:highlight w:val="none"/>
          <w:lang w:val="en-US" w:eastAsia="zh-CN"/>
        </w:rPr>
      </w:pPr>
      <w:r>
        <w:rPr>
          <w:rFonts w:hint="eastAsia"/>
          <w:color w:val="auto"/>
          <w:highlight w:val="none"/>
          <w:lang w:val="en-US" w:eastAsia="zh-CN"/>
        </w:rPr>
        <w:t xml:space="preserve"> 区域水文地质特征</w:t>
      </w:r>
    </w:p>
    <w:p w14:paraId="100E6571">
      <w:pPr>
        <w:rPr>
          <w:color w:val="auto"/>
          <w:highlight w:val="none"/>
        </w:rPr>
      </w:pPr>
      <w:r>
        <w:rPr>
          <w:color w:val="auto"/>
          <w:highlight w:val="none"/>
        </w:rPr>
        <w:t>（1）区域地下水分布规律</w:t>
      </w:r>
    </w:p>
    <w:p w14:paraId="6C8CACE5">
      <w:pPr>
        <w:rPr>
          <w:color w:val="auto"/>
          <w:highlight w:val="none"/>
        </w:rPr>
      </w:pPr>
      <w:r>
        <w:rPr>
          <w:color w:val="auto"/>
          <w:highlight w:val="none"/>
        </w:rPr>
        <w:t>区域水文地质条件是受着气候、水文、地貌、岩性、地质构造等综合因素的影响和控制，但控制区内潜水水文地质条件的明显因素是地貌、岩性和地质构造；控制承压水的主要因素是地质构造和岩性。</w:t>
      </w:r>
    </w:p>
    <w:p w14:paraId="12E4D40B">
      <w:pPr>
        <w:rPr>
          <w:color w:val="auto"/>
          <w:highlight w:val="none"/>
        </w:rPr>
      </w:pPr>
      <w:r>
        <w:rPr>
          <w:color w:val="auto"/>
          <w:highlight w:val="none"/>
        </w:rPr>
        <w:t>区域为一半封闭的黑山咀-大河口复式向斜盆地</w:t>
      </w:r>
      <w:r>
        <w:rPr>
          <w:rFonts w:hint="eastAsia"/>
          <w:color w:val="auto"/>
          <w:highlight w:val="none"/>
          <w:lang w:eastAsia="zh-CN"/>
        </w:rPr>
        <w:t>（</w:t>
      </w:r>
      <w:r>
        <w:rPr>
          <w:color w:val="auto"/>
          <w:highlight w:val="none"/>
        </w:rPr>
        <w:t>以下简称盆地</w:t>
      </w:r>
      <w:r>
        <w:rPr>
          <w:rFonts w:hint="eastAsia"/>
          <w:color w:val="auto"/>
          <w:highlight w:val="none"/>
          <w:lang w:eastAsia="zh-CN"/>
        </w:rPr>
        <w:t>）</w:t>
      </w:r>
      <w:r>
        <w:rPr>
          <w:color w:val="auto"/>
          <w:highlight w:val="none"/>
        </w:rPr>
        <w:t>四周环山，地势由南西向北东渐趋低缓</w:t>
      </w:r>
      <w:r>
        <w:rPr>
          <w:rFonts w:hint="eastAsia"/>
          <w:color w:val="auto"/>
          <w:highlight w:val="none"/>
          <w:lang w:eastAsia="zh-CN"/>
        </w:rPr>
        <w:t>（</w:t>
      </w:r>
      <w:r>
        <w:rPr>
          <w:color w:val="auto"/>
          <w:highlight w:val="none"/>
        </w:rPr>
        <w:t>1790～1230米</w:t>
      </w:r>
      <w:r>
        <w:rPr>
          <w:rFonts w:hint="eastAsia"/>
          <w:color w:val="auto"/>
          <w:highlight w:val="none"/>
          <w:lang w:eastAsia="zh-CN"/>
        </w:rPr>
        <w:t>）</w:t>
      </w:r>
      <w:r>
        <w:rPr>
          <w:color w:val="auto"/>
          <w:highlight w:val="none"/>
        </w:rPr>
        <w:t>，盆地内第四系松散沉积物广布，玄武岩发育，低山丘陵受强烈剥蚀，岩石裸露地表，风化裂隙与构造裂隙发育，大气降水渗入形成基岩裂隙水。而后以地下水径流方式补给盆地内地下水或以泉水方式排泄于地表，成为区内地下水的补给区。另外，腾格尔沙漠区沙丘潜水和凝结水亦是区内地下水的补给源之一。基岩裂隙水的补给是主要的，大范围的，经常性的，它不仅是潜水的补给区，也是承压水的补给源。盆地为区内地下水的汇聚场所。在盆地中部多伦县城西有承压自流水分布。滦河断裂呈北西—南东向延伸，垂直区内主要构造线的延伸方向，使盆地完整性受到了破坏，从而成为区内地表水和地下水的排泄通边。这一点可以从两个方面加以说明。</w:t>
      </w:r>
    </w:p>
    <w:p w14:paraId="33911E2A">
      <w:pPr>
        <w:rPr>
          <w:color w:val="auto"/>
          <w:highlight w:val="none"/>
        </w:rPr>
      </w:pPr>
      <w:r>
        <w:rPr>
          <w:color w:val="auto"/>
          <w:highlight w:val="none"/>
        </w:rPr>
        <w:t>第一、沿滦河及其主要支流吐里根河、羊肠河、小河子等有较多的泉分布，有些泉水有明显的上升现象。另外，滦河及其主要支流流量向下游渐趋增加，这说明了地下水补给河水的事实。滦河断裂的导水性较强，富水性良好。</w:t>
      </w:r>
    </w:p>
    <w:p w14:paraId="17C750F7">
      <w:pPr>
        <w:rPr>
          <w:color w:val="auto"/>
          <w:highlight w:val="none"/>
        </w:rPr>
      </w:pPr>
      <w:r>
        <w:rPr>
          <w:color w:val="auto"/>
          <w:highlight w:val="none"/>
        </w:rPr>
        <w:t>第二、沿滦河分布的勘探孔（包括自流孔在内)揭穿了不同的含水层，各孔静止水位标高有向下游降低的趋势，显示了滦河断裂为区内地下水的排泄通道。</w:t>
      </w:r>
    </w:p>
    <w:p w14:paraId="591F2AAB">
      <w:pPr>
        <w:rPr>
          <w:rFonts w:hint="eastAsia" w:eastAsia="宋体"/>
          <w:color w:val="auto"/>
          <w:highlight w:val="none"/>
          <w:lang w:eastAsia="zh-CN"/>
        </w:rPr>
      </w:pPr>
      <w:r>
        <w:rPr>
          <w:color w:val="auto"/>
          <w:highlight w:val="none"/>
        </w:rPr>
        <w:t>因影响和控制区内地下水形成条件、分布规律，运动特征有多种因素，而这些因素又互相影响，互相制约。现按不同的水文地质条件，将区域分为四个水文地质单元叙述如下</w:t>
      </w:r>
      <w:r>
        <w:rPr>
          <w:rFonts w:hint="eastAsia"/>
          <w:color w:val="auto"/>
          <w:highlight w:val="none"/>
          <w:lang w:eastAsia="zh-CN"/>
        </w:rPr>
        <w:t>：</w:t>
      </w:r>
    </w:p>
    <w:p w14:paraId="315C3560">
      <w:pPr>
        <w:rPr>
          <w:color w:val="auto"/>
          <w:highlight w:val="none"/>
        </w:rPr>
      </w:pPr>
      <w:r>
        <w:rPr>
          <w:color w:val="auto"/>
          <w:highlight w:val="none"/>
        </w:rPr>
        <w:t>1、小河子水文地质单元</w:t>
      </w:r>
    </w:p>
    <w:p w14:paraId="077FFDCA">
      <w:pPr>
        <w:rPr>
          <w:color w:val="auto"/>
          <w:highlight w:val="none"/>
        </w:rPr>
      </w:pPr>
      <w:r>
        <w:rPr>
          <w:color w:val="auto"/>
          <w:highlight w:val="none"/>
        </w:rPr>
        <w:t>位于区域西南部，似盆地状向东北缓倾，由低山丘陵、沟谷洼地、河谷平原三种地貌形态组成。小河子至中部在六里梁村注入滦河。</w:t>
      </w:r>
    </w:p>
    <w:p w14:paraId="6C6819AA">
      <w:pPr>
        <w:rPr>
          <w:color w:val="auto"/>
          <w:highlight w:val="none"/>
        </w:rPr>
      </w:pPr>
      <w:r>
        <w:rPr>
          <w:color w:val="auto"/>
          <w:highlight w:val="none"/>
        </w:rPr>
        <w:t>盆地周围低山丘陵基岩隙水含水基岩性由流纹岩、石英粗面斑岩、岩屑晶屑凝灰岩、玄武岩，其次是凝灰质砂岩组成。</w:t>
      </w:r>
    </w:p>
    <w:p w14:paraId="0849A12D">
      <w:pPr>
        <w:rPr>
          <w:color w:val="auto"/>
          <w:highlight w:val="none"/>
        </w:rPr>
      </w:pPr>
      <w:r>
        <w:rPr>
          <w:color w:val="auto"/>
          <w:highlight w:val="none"/>
        </w:rPr>
        <w:t>低山丘陵因受强烈剥蚀、基岩裸露、风化裂隙发育，有利于大气降水渗入形成基岩裂隙水。而后，由高处向低地流动，补给盆地地下水或以泉水排给河水。但不同含水岩层所处地形高低不一，裂隙发育特征各有差异，所以富水性亦不一样。其中多伦组玄武岩，垂直和水平节理裂隙发育，且多呈气孔状，加之地形低洼，故富水性良好。成为区内具有供水意义的含水岩层。头道洼—黑山咀一线泉水流量一般在107.04~357.12吨</w:t>
      </w:r>
      <w:r>
        <w:rPr>
          <w:rFonts w:hint="eastAsia"/>
          <w:color w:val="auto"/>
          <w:highlight w:val="none"/>
          <w:lang w:val="en-US" w:eastAsia="zh-CN"/>
        </w:rPr>
        <w:t>/</w:t>
      </w:r>
      <w:r>
        <w:rPr>
          <w:color w:val="auto"/>
          <w:highlight w:val="none"/>
        </w:rPr>
        <w:t>日。据民井抽水试验，单位涌水量0.35-4.8 升/秒、米单井最大涌水量8.62~165.89 吨/日，为区内中等富水地段。</w:t>
      </w:r>
    </w:p>
    <w:p w14:paraId="42078EE1">
      <w:pPr>
        <w:rPr>
          <w:color w:val="auto"/>
          <w:highlight w:val="none"/>
        </w:rPr>
      </w:pPr>
      <w:r>
        <w:rPr>
          <w:color w:val="auto"/>
          <w:highlight w:val="none"/>
        </w:rPr>
        <w:t>本单元西部和西南部，含水层虽然同属于上侏罗统张家口组流纹岩、石英粗面斑岩和岩屑晶屑凝灰岩。而且裂隙普遍发育但节理裂隙性质、宽度和充填物不同则富水性亦不一样。一般张性节理砂质充填物有利大气降水的渗入；闭合节理(压性)泥质充填不利大气降水的渗入。</w:t>
      </w:r>
    </w:p>
    <w:p w14:paraId="1A41F6AC">
      <w:pPr>
        <w:rPr>
          <w:color w:val="auto"/>
          <w:highlight w:val="none"/>
        </w:rPr>
      </w:pPr>
      <w:r>
        <w:rPr>
          <w:color w:val="auto"/>
          <w:highlight w:val="none"/>
        </w:rPr>
        <w:t>沟谷洼地、河谷平原区第四系松散沉积层下部被第三系红色泥岩所隔，构成双层含水层结构。</w:t>
      </w:r>
    </w:p>
    <w:p w14:paraId="6CEAF02E">
      <w:pPr>
        <w:rPr>
          <w:color w:val="auto"/>
          <w:highlight w:val="none"/>
        </w:rPr>
      </w:pPr>
      <w:r>
        <w:rPr>
          <w:color w:val="auto"/>
          <w:highlight w:val="none"/>
        </w:rPr>
        <w:t>上部砂、砂砾石孔隙潜水，主要接受大气降水和基岩裂隙水的补给，以地下径流的方式补给沟谷洼地、河谷平原中潜水或以泉水直接补给河水。由近分水岭沟谷至盆地中部范围越来越大，水量也随之增加。在沟谷上说最大涌水量小于50吨/日，中游50~100吨/日；至下游侵蚀下切作用较强，地下水以下降泉形式出露较多，泉水流量一般在84~3115.60吨/日之间。盆地中心线从西干沟公社至多伦县城一带，单孔最大涌水量在100~500吨/日；王家营子、黑山咀附近在500~1000吨/日。上述地区为区内富水地段。</w:t>
      </w:r>
    </w:p>
    <w:p w14:paraId="369ADE91">
      <w:pPr>
        <w:rPr>
          <w:color w:val="auto"/>
          <w:highlight w:val="none"/>
        </w:rPr>
      </w:pPr>
      <w:r>
        <w:rPr>
          <w:color w:val="auto"/>
          <w:highlight w:val="none"/>
        </w:rPr>
        <w:t>从盆地边缘沟谷向盆地中部多伦县城一带含水层颗粒由粗变细；地下径流条件由好变差，则溶于地下水中的盐份随着径流距离的加长而增大，又由于水位逐渐变浅大气蒸发盐份浓缩，导致地下水矿化度逐渐增高。</w:t>
      </w:r>
    </w:p>
    <w:p w14:paraId="67E593E1">
      <w:pPr>
        <w:rPr>
          <w:color w:val="auto"/>
          <w:highlight w:val="none"/>
        </w:rPr>
      </w:pPr>
      <w:r>
        <w:rPr>
          <w:color w:val="auto"/>
          <w:highlight w:val="none"/>
        </w:rPr>
        <w:t>下部承压裂隙水，由于盆地基底受历次构造运功，使盆地中裂隙承压水水文地质条件复杂化。现按不同的水文地质特征分为两种类型叙述。</w:t>
      </w:r>
    </w:p>
    <w:p w14:paraId="539080E6">
      <w:pPr>
        <w:rPr>
          <w:color w:val="auto"/>
          <w:highlight w:val="none"/>
        </w:rPr>
      </w:pPr>
      <w:r>
        <w:rPr>
          <w:color w:val="auto"/>
          <w:highlight w:val="none"/>
        </w:rPr>
        <w:t>a、盆地中承压裂隙水主要受周围基岩裂隙水的补给，以地下径流向滦河断裂带排泄，或以断层上升泉的方式排泄补给河水。</w:t>
      </w:r>
    </w:p>
    <w:p w14:paraId="6EC46C90">
      <w:pPr>
        <w:rPr>
          <w:color w:val="auto"/>
          <w:highlight w:val="none"/>
        </w:rPr>
      </w:pPr>
      <w:r>
        <w:rPr>
          <w:color w:val="auto"/>
          <w:highlight w:val="none"/>
        </w:rPr>
        <w:t>山前沟谷至盆地中部，水量逐渐增大，含水层埋深由浅变深，抽水试验资料，盆地下部为玄武岩裂隙承压水者，富水性良好。西干沟公社至多伦县城一线单孔最大涌水量小于1000吨/日；王家营子附近大于1000吨/日，成为基岩承压水的富水地段。</w:t>
      </w:r>
    </w:p>
    <w:p w14:paraId="1B4BEDC4">
      <w:pPr>
        <w:rPr>
          <w:color w:val="auto"/>
          <w:highlight w:val="none"/>
        </w:rPr>
      </w:pPr>
      <w:r>
        <w:rPr>
          <w:color w:val="auto"/>
          <w:highlight w:val="none"/>
        </w:rPr>
        <w:t>含水层顶板埋深在王家营子、提家营子、大北沟、学田地、大官场、黑山咀至耗来沟一线，埋深均在小于50米的范围：西干沟、南沙口林场、多伦县至白城子、糜子地沟滩埋深均小于100米。</w:t>
      </w:r>
    </w:p>
    <w:p w14:paraId="5294E7B5">
      <w:pPr>
        <w:rPr>
          <w:color w:val="auto"/>
          <w:highlight w:val="none"/>
        </w:rPr>
      </w:pPr>
      <w:r>
        <w:rPr>
          <w:color w:val="auto"/>
          <w:highlight w:val="none"/>
        </w:rPr>
        <w:t>b、多伦断陷范围内，下层含水层岩性为下白垩—上侏罗系含泥质中粗砂岩、砂砾岩孔隙—裂隙承压水。据物探资料，断陷南北边缘富水性要好些。</w:t>
      </w:r>
    </w:p>
    <w:p w14:paraId="198FC8E1">
      <w:pPr>
        <w:rPr>
          <w:color w:val="auto"/>
          <w:highlight w:val="none"/>
        </w:rPr>
      </w:pPr>
      <w:r>
        <w:rPr>
          <w:color w:val="auto"/>
          <w:highlight w:val="none"/>
        </w:rPr>
        <w:t>2、闪电河水文地质单元</w:t>
      </w:r>
    </w:p>
    <w:p w14:paraId="385A61C0">
      <w:pPr>
        <w:rPr>
          <w:color w:val="auto"/>
          <w:highlight w:val="none"/>
        </w:rPr>
      </w:pPr>
      <w:r>
        <w:rPr>
          <w:color w:val="auto"/>
          <w:highlight w:val="none"/>
        </w:rPr>
        <w:t>位于区域西部，西南边界一带，即位于闪电河东岸，属于闪电河水文地质单元的</w:t>
      </w:r>
      <w:r>
        <w:rPr>
          <w:rFonts w:hint="eastAsia"/>
          <w:color w:val="auto"/>
          <w:highlight w:val="none"/>
        </w:rPr>
        <w:t>一部分</w:t>
      </w:r>
      <w:r>
        <w:rPr>
          <w:color w:val="auto"/>
          <w:highlight w:val="none"/>
        </w:rPr>
        <w:t>。</w:t>
      </w:r>
    </w:p>
    <w:p w14:paraId="3623AAA6">
      <w:pPr>
        <w:rPr>
          <w:color w:val="auto"/>
          <w:highlight w:val="none"/>
        </w:rPr>
      </w:pPr>
      <w:r>
        <w:rPr>
          <w:color w:val="auto"/>
          <w:highlight w:val="none"/>
        </w:rPr>
        <w:t>由低山丘陵、沟谷洼地和河谷平原三种地形形态组成。本单元低山丘陵部份为小河子水文地质单元。分水岭的西侧，其含水岩层、富水性不再赘述。沟谷洼地和河谷平原区含水层仍具有双层结构。上部为第四系松散沉积物孔隙潜水，主要接受大气降水和基岩裂隙水的补给，以地下径流向区外闪电河河谷平原区径流排泄。</w:t>
      </w:r>
    </w:p>
    <w:p w14:paraId="65E4086A">
      <w:pPr>
        <w:rPr>
          <w:color w:val="auto"/>
          <w:highlight w:val="none"/>
        </w:rPr>
      </w:pPr>
      <w:r>
        <w:rPr>
          <w:color w:val="auto"/>
          <w:highlight w:val="none"/>
        </w:rPr>
        <w:t>西南部各沟谷最大涌水量小于50吨/日；北部北滩沟50~100吨/日，西山根沟100~500吨/日，河谷平原一带闪电河上游十五号滩最大涌水量在50~100吨/日；狼尾巴山、炮台大营子在100~500吨/日。水位埋深西南部马家营子沟、五号沟上游大于30米，中下游至河谷平原地带10~30米；西山根沟谷东部高平台一带埋深大于30米，西部10~30米。下部为基岩裂隙水，接受东部低山丘陵区基岩裂隙水的侧向补给，向闪电河断陷盆地径流排泄。</w:t>
      </w:r>
    </w:p>
    <w:p w14:paraId="0A0A4E62">
      <w:pPr>
        <w:rPr>
          <w:color w:val="auto"/>
          <w:highlight w:val="none"/>
        </w:rPr>
      </w:pPr>
      <w:r>
        <w:rPr>
          <w:color w:val="auto"/>
          <w:highlight w:val="none"/>
        </w:rPr>
        <w:t>3、黑风河水文地质单元</w:t>
      </w:r>
    </w:p>
    <w:p w14:paraId="139628F7">
      <w:pPr>
        <w:rPr>
          <w:color w:val="auto"/>
          <w:highlight w:val="none"/>
        </w:rPr>
      </w:pPr>
      <w:r>
        <w:rPr>
          <w:color w:val="auto"/>
          <w:highlight w:val="none"/>
        </w:rPr>
        <w:t>位于北部小腾格尔沙漠区东南缘，属黑风河水文地质单元的东岸部分，由风积沙丘、熔岩丘陵和河谷平原三种地貌形态组成。</w:t>
      </w:r>
    </w:p>
    <w:p w14:paraId="78FC8B07">
      <w:pPr>
        <w:rPr>
          <w:color w:val="auto"/>
          <w:highlight w:val="none"/>
        </w:rPr>
      </w:pPr>
      <w:r>
        <w:rPr>
          <w:color w:val="auto"/>
          <w:highlight w:val="none"/>
        </w:rPr>
        <w:t>本单元的东北部风积沙丘堆积于第三系红色泥岩之上，地势由北向南逐渐降低，在沙丘和沙垅之间有淡水湖湿地分布。水位埋深在风蚀洼地一般小于3米。沙漠边缘河流发育（黑风河、蛇皮河、一家河、造格都尔河均发源于沙漠区)，泉水较多。</w:t>
      </w:r>
    </w:p>
    <w:p w14:paraId="153A376A">
      <w:pPr>
        <w:rPr>
          <w:color w:val="auto"/>
          <w:highlight w:val="none"/>
        </w:rPr>
      </w:pPr>
      <w:r>
        <w:rPr>
          <w:color w:val="auto"/>
          <w:highlight w:val="none"/>
        </w:rPr>
        <w:t>河谷平原区含水层具双层结构。上层为第四系中细砂、粉细砂孔隙潜水。接受大气降水、砂丘潜水和基岩裂隙水的补给。以地下径流补给黑风河河谷平原区潜水或以泉水的形式排泄补给河水，沿河地带形成大面积沼泽和湿地。其水量、水位埋深，距黑风河由远而近，水量逐渐变大，埋深逐渐变浅，在沙漠边缘，单孔最大涌水量小于50吨/日；小井滩东50~100吨/日，为区内潜水富水地段。沼泽和湿地，由于大气蒸发盐分聚集地表出现盐渍化现象，下层基岩裂隙承压水主要接受丘陵区基岩裂隙水的补给，其水量由东向西逐渐增大。其水量变化是小于50吨/日到小于1000吨/日。单孔最大涌水量可达788.7吨/日，成为区内承压裂隙水富水地段。含水层顶板埋深由东向西逐渐增大，由小于50米到大于小100米到大于100米。</w:t>
      </w:r>
    </w:p>
    <w:p w14:paraId="44E18D12">
      <w:pPr>
        <w:rPr>
          <w:color w:val="auto"/>
          <w:highlight w:val="none"/>
        </w:rPr>
      </w:pPr>
      <w:r>
        <w:rPr>
          <w:color w:val="auto"/>
          <w:highlight w:val="none"/>
        </w:rPr>
        <w:t>4、滦河水文地质单元</w:t>
      </w:r>
    </w:p>
    <w:p w14:paraId="19FC9C67">
      <w:pPr>
        <w:rPr>
          <w:color w:val="auto"/>
          <w:highlight w:val="none"/>
        </w:rPr>
      </w:pPr>
      <w:r>
        <w:rPr>
          <w:color w:val="auto"/>
          <w:highlight w:val="none"/>
        </w:rPr>
        <w:t>位于滦河两岸，包括公鸡诺、三道沟、前九号、吐里根河一带。由低山丘陵，河谷平原、沟谷洼地和山前倾斜平原四种地貌形态组成。</w:t>
      </w:r>
    </w:p>
    <w:p w14:paraId="4CF1F7BE">
      <w:pPr>
        <w:rPr>
          <w:color w:val="auto"/>
          <w:highlight w:val="none"/>
        </w:rPr>
      </w:pPr>
      <w:r>
        <w:rPr>
          <w:color w:val="auto"/>
          <w:highlight w:val="none"/>
        </w:rPr>
        <w:t>低山丘陵含水层岩性主要为玄武岩，其次为流纹岩、岩屑晶屑凝灰岩和斜长花岗岩等组成。玄武岩的分布与滦河断裂有着密切关系。由于滦河断裂的存在成为玄武岩喷发的通道。致使沿河一带均被玄武岩所占据。</w:t>
      </w:r>
    </w:p>
    <w:p w14:paraId="40744D5E">
      <w:pPr>
        <w:rPr>
          <w:color w:val="auto"/>
          <w:highlight w:val="none"/>
        </w:rPr>
      </w:pPr>
      <w:r>
        <w:rPr>
          <w:color w:val="auto"/>
          <w:highlight w:val="none"/>
        </w:rPr>
        <w:t>滦河断裂垂直区内主要构造线，成为控制全区地表水和地下水的侵蚀基准面，因此沿河低山丘陵区沟谷发育，且切割较深。由于切割或构造原因沟谷中泉水出露较多，并补给河水，泉水流量一般在98.04~185.50吨/日。</w:t>
      </w:r>
    </w:p>
    <w:p w14:paraId="7B2AAB4E">
      <w:pPr>
        <w:rPr>
          <w:color w:val="auto"/>
          <w:highlight w:val="none"/>
        </w:rPr>
      </w:pPr>
      <w:r>
        <w:rPr>
          <w:color w:val="auto"/>
          <w:highlight w:val="none"/>
        </w:rPr>
        <w:t>吐里根河两岸丘陵，含水层岩性多为裂隙和气孔发育的玄武岩组成，地形低，上多被风积砂覆盖，有利于大气降水渗入和赋存。所以基岩裂隙水一般比较丰富，泉水和湖泊众多。</w:t>
      </w:r>
    </w:p>
    <w:p w14:paraId="7ABB0ACC">
      <w:pPr>
        <w:rPr>
          <w:color w:val="auto"/>
          <w:highlight w:val="none"/>
        </w:rPr>
      </w:pPr>
      <w:r>
        <w:rPr>
          <w:color w:val="auto"/>
          <w:highlight w:val="none"/>
        </w:rPr>
        <w:t>滦河东岸大河口公社至前九号一带，含水层具有双层结构。上部第四系中细砂、砂砾石含水层主要接受大气降水和基岩裂隙水的补给，因地形倾斜度较大，冲沟发育，向源侵蚀和切割作用强烈，含水层被切割多以侵蚀下降泉形式排泄，补给滦河河水。</w:t>
      </w:r>
    </w:p>
    <w:p w14:paraId="0D1C30A5">
      <w:pPr>
        <w:rPr>
          <w:color w:val="auto"/>
          <w:highlight w:val="none"/>
        </w:rPr>
      </w:pPr>
      <w:r>
        <w:rPr>
          <w:color w:val="auto"/>
          <w:highlight w:val="none"/>
        </w:rPr>
        <w:t>风积砂复盖地区，地下水位埋深在3~10米。下部碎屑岩孔隙裂隙水，呈承压自流水分 布，水头高出地表4.02米，涌水量41.47吨/日，含水层顶板埋深小于100米。地下水通过滦河排出区外。</w:t>
      </w:r>
    </w:p>
    <w:p w14:paraId="420D4F11">
      <w:pPr>
        <w:rPr>
          <w:color w:val="auto"/>
          <w:highlight w:val="none"/>
        </w:rPr>
      </w:pPr>
      <w:r>
        <w:rPr>
          <w:color w:val="auto"/>
          <w:highlight w:val="none"/>
        </w:rPr>
        <w:t>河谷平原与沟谷洼地含水层具有双层结构。上部第四系粉细砂、砂砾石孔隙潜水，因受地貌和补给范围的控制，水量差别较大。在毛盖图一带沟谷上游多数最大涌水量小于50吨/日，中下游在50-100吨/日；滦河上游水量在100~500吨/日下游地区500~1000吨/日；公鸡诺、马神庙以北牤牛泡子等地大于1000吨/日，成为区内潜水富水地段。水位埋深一般小于3米。河谷平原区潜水交替强烈。下部基岩裂隙承压水，在西山湾沟谷上游西侧涌水量小于100吨/日；中下游小于500吨/日；榆树林沟中心线最大涌水量大于1000吨/日；沟两侧小于1000吨/日，成为区内基岩裂隙承压水富水地段。</w:t>
      </w:r>
    </w:p>
    <w:p w14:paraId="27562987">
      <w:pPr>
        <w:rPr>
          <w:color w:val="auto"/>
          <w:highlight w:val="none"/>
        </w:rPr>
      </w:pPr>
      <w:r>
        <w:rPr>
          <w:color w:val="auto"/>
          <w:highlight w:val="none"/>
        </w:rPr>
        <w:t>（2）区域地下水含水岩组赋存特征</w:t>
      </w:r>
    </w:p>
    <w:p w14:paraId="74E262EE">
      <w:pPr>
        <w:rPr>
          <w:color w:val="auto"/>
          <w:highlight w:val="none"/>
        </w:rPr>
      </w:pPr>
      <w:r>
        <w:rPr>
          <w:color w:val="auto"/>
          <w:highlight w:val="none"/>
        </w:rPr>
        <w:t>根据区内含水层之岩性、成因将其划分三大类型。</w:t>
      </w:r>
    </w:p>
    <w:p w14:paraId="6926480D">
      <w:pPr>
        <w:rPr>
          <w:color w:val="auto"/>
          <w:highlight w:val="none"/>
        </w:rPr>
      </w:pPr>
      <w:r>
        <w:rPr>
          <w:color w:val="auto"/>
          <w:highlight w:val="none"/>
        </w:rPr>
        <w:t>1、第四系(Q)含水岩层（组）</w:t>
      </w:r>
    </w:p>
    <w:p w14:paraId="31662B0D">
      <w:pPr>
        <w:rPr>
          <w:color w:val="auto"/>
          <w:highlight w:val="none"/>
        </w:rPr>
      </w:pPr>
      <w:r>
        <w:rPr>
          <w:color w:val="auto"/>
          <w:highlight w:val="none"/>
        </w:rPr>
        <w:t>①第四系全新统风积沙丘孔隙潜水含水层。</w:t>
      </w:r>
    </w:p>
    <w:p w14:paraId="0886B73C">
      <w:pPr>
        <w:rPr>
          <w:color w:val="auto"/>
          <w:highlight w:val="none"/>
        </w:rPr>
      </w:pPr>
      <w:r>
        <w:rPr>
          <w:color w:val="auto"/>
          <w:highlight w:val="none"/>
        </w:rPr>
        <w:t>主要分布于大河口公社以北。含水层岩性由中细砂组成。含水层分布不连续，厚度变化较大，水位埋深在风蚀洼地中一般0.5~3米。沙丘或沙垅地方小于10米或大于10米。据民井抽水试验单位涌水量0.15~0.17升/秒·米，泉水自流量一般在19.20~37.12吨/日，个别可达339.36吨/日。吐里根河以北单井最大涌水量属小于50吨/日范围。以南沙漠区属50~100吨/日。对解决沙漠区小型居民点人、蓄用水，具有重要意义。</w:t>
      </w:r>
    </w:p>
    <w:p w14:paraId="022AE366">
      <w:pPr>
        <w:rPr>
          <w:color w:val="auto"/>
          <w:highlight w:val="none"/>
        </w:rPr>
      </w:pPr>
      <w:r>
        <w:rPr>
          <w:color w:val="auto"/>
          <w:highlight w:val="none"/>
        </w:rPr>
        <w:t>②第四系全新统—更新统冲积、冲洪积层孔隙潜水含水层（组）。</w:t>
      </w:r>
    </w:p>
    <w:p w14:paraId="091C058A">
      <w:pPr>
        <w:rPr>
          <w:color w:val="auto"/>
          <w:highlight w:val="none"/>
        </w:rPr>
      </w:pPr>
      <w:r>
        <w:rPr>
          <w:color w:val="auto"/>
          <w:highlight w:val="none"/>
        </w:rPr>
        <w:t>广泛分于区域沟谷洼地、河谷平原地带。沟谷洼地含水层岩性由粉细砂、中细砂和砂砾石组成。含水层厚度水量各地不尽相同。区内西部和东南部各主要沟谷(老北沟、裤子沟、小井营子沟、花塘沟、大北沟、榆树沟、半截沟等)上游多数地区含水层厚约10-30米；单位涌水量为0.18~0.2升/秒。</w:t>
      </w:r>
    </w:p>
    <w:p w14:paraId="393E6273">
      <w:pPr>
        <w:rPr>
          <w:color w:val="auto"/>
          <w:highlight w:val="none"/>
        </w:rPr>
      </w:pPr>
      <w:r>
        <w:rPr>
          <w:color w:val="auto"/>
          <w:highlight w:val="none"/>
        </w:rPr>
        <w:t>沟谷中下游多数地区含水层厚度20~50米；单位涌水量0.4~0.9公升/秒、米，单孔最大涌水量50~100吨/日。泉水流量24.82~345.60盹/日，水位埋深一般小于3米。西山根、沙土囫囵、双井子、转山子沟、牛圈台西沟水位埋深浅，水量较丰富，单井最大涌水量在100~500吨/日，局部500~1000吨/日，成为区内主要供水水源地。</w:t>
      </w:r>
    </w:p>
    <w:p w14:paraId="5E079B63">
      <w:pPr>
        <w:rPr>
          <w:color w:val="auto"/>
          <w:highlight w:val="none"/>
        </w:rPr>
      </w:pPr>
      <w:r>
        <w:rPr>
          <w:color w:val="auto"/>
          <w:highlight w:val="none"/>
        </w:rPr>
        <w:t>西南部主要沟谷（马家营子沟、小石拉沟、五号沟、十五号沟)含水层厚度一般在30~50米；单位涌水量为0.11升/秒·米。单位涌水量0.1~0.3升/秒·米，水位埋深10~30米，小石拉沟、马家营子沟、和五号沟上游埋深大于30米。</w:t>
      </w:r>
    </w:p>
    <w:p w14:paraId="40584C89">
      <w:pPr>
        <w:rPr>
          <w:color w:val="auto"/>
          <w:highlight w:val="none"/>
        </w:rPr>
      </w:pPr>
      <w:r>
        <w:rPr>
          <w:color w:val="auto"/>
          <w:highlight w:val="none"/>
        </w:rPr>
        <w:t>2、碎屑岩孔隙-裂隙潜水、承压水含水岩层</w:t>
      </w:r>
    </w:p>
    <w:p w14:paraId="3CA320DD">
      <w:pPr>
        <w:rPr>
          <w:color w:val="auto"/>
          <w:highlight w:val="none"/>
        </w:rPr>
      </w:pPr>
      <w:r>
        <w:rPr>
          <w:color w:val="auto"/>
          <w:highlight w:val="none"/>
        </w:rPr>
        <w:t>①侏罗系中下统巴彦敖包群一二迭系三面井组孔隙-裂隙水含水层(组)仅分布在双脑包和煤窑沟一带，面积不大；含水层岩性由砾砂岩、石英砂岩、粉砂质细砂质层凝灰岩组成，水位埋深、水量不稳定，泉水自流量31.97吨/日。</w:t>
      </w:r>
    </w:p>
    <w:p w14:paraId="0E97EE39">
      <w:pPr>
        <w:rPr>
          <w:color w:val="auto"/>
          <w:highlight w:val="none"/>
        </w:rPr>
      </w:pPr>
      <w:r>
        <w:rPr>
          <w:color w:val="auto"/>
          <w:highlight w:val="none"/>
        </w:rPr>
        <w:t>②下白垩-上侏罗系巴彦花群孔隙-裂隙承压水含水层（组）</w:t>
      </w:r>
    </w:p>
    <w:p w14:paraId="01C367A6">
      <w:pPr>
        <w:rPr>
          <w:color w:val="auto"/>
          <w:highlight w:val="none"/>
        </w:rPr>
      </w:pPr>
      <w:r>
        <w:rPr>
          <w:color w:val="auto"/>
          <w:highlight w:val="none"/>
        </w:rPr>
        <w:t>主要分布在多伦断陷、前九号倾斜平原一带。含水层岩性由泥质中粗砂岩、砂砾岩组成。多伦断陷内含水层厚度 25.67~69.39 米；含水层埋深79.89~90.80米，单位涌水量0.0098~0.011升/秒·米。一般由西向东含水层埋深、厚度渐小，颗粒变粗，层次减少，煤层尖灭，水头压力增大，并可自流。</w:t>
      </w:r>
    </w:p>
    <w:p w14:paraId="49C6A2DD">
      <w:pPr>
        <w:rPr>
          <w:color w:val="auto"/>
          <w:highlight w:val="none"/>
        </w:rPr>
      </w:pPr>
      <w:r>
        <w:rPr>
          <w:color w:val="auto"/>
          <w:highlight w:val="none"/>
        </w:rPr>
        <w:t>前九号倾斜平原一带，因含水层岩性颗粒粗，磨圆度好，胶结不良，富水性较好。含水层埋深61.48米，厚40.48米；承压水位+4.02米。据抽水试验资料单位涌水量0.037升/秒、米；单孔最大涌水量227.23吨/日，自流量41.47吨/日。</w:t>
      </w:r>
    </w:p>
    <w:p w14:paraId="10C64BB6">
      <w:pPr>
        <w:rPr>
          <w:color w:val="auto"/>
          <w:highlight w:val="none"/>
        </w:rPr>
      </w:pPr>
      <w:r>
        <w:rPr>
          <w:color w:val="auto"/>
          <w:highlight w:val="none"/>
        </w:rPr>
        <w:t>3、基岩裂隙水含水层</w:t>
      </w:r>
    </w:p>
    <w:p w14:paraId="54EE1CB3">
      <w:pPr>
        <w:rPr>
          <w:color w:val="auto"/>
          <w:highlight w:val="none"/>
        </w:rPr>
      </w:pPr>
      <w:r>
        <w:rPr>
          <w:color w:val="auto"/>
          <w:highlight w:val="none"/>
        </w:rPr>
        <w:t>a、侏罗系上统多伦组(J3)玄武岩裂隙潜水、承压水含水层。广泛分布于盆地中部、 滦河两岸。裂隙潜水分布不连续，水位、水量变化较大。该岩层断裂发育，富水性良好。两侧岩层有断层角砾岩和擦痕。具双层结构的玄武岩分布区，玄武岩裂隙承压水含水层顶板埋深32.38~123.53米，含水层厚度5.95~81.55米。</w:t>
      </w:r>
    </w:p>
    <w:p w14:paraId="2157D6CB">
      <w:pPr>
        <w:rPr>
          <w:color w:val="auto"/>
          <w:highlight w:val="none"/>
        </w:rPr>
      </w:pPr>
      <w:r>
        <w:rPr>
          <w:color w:val="auto"/>
          <w:highlight w:val="none"/>
        </w:rPr>
        <w:t>b、以侏罗系上统火山杂岩为主的裂隙潜水承压水含水层：</w:t>
      </w:r>
    </w:p>
    <w:p w14:paraId="490330F8">
      <w:pPr>
        <w:rPr>
          <w:color w:val="auto"/>
          <w:highlight w:val="none"/>
        </w:rPr>
      </w:pPr>
      <w:r>
        <w:rPr>
          <w:color w:val="auto"/>
          <w:highlight w:val="none"/>
        </w:rPr>
        <w:t>主要分布于西部、西南部。含水层岩性为流纹岩、石英粗面岩、岩屑晶屑凝灰岩、凝灰质砂砾岩等。裂隙潜水分布不连续，水位、水量不稳定。具双层结构的下部裂隙承压水，含水层顶板埋探26.91~196.72米，含水层厚度16.06~94.74米；含水层水位埋深68.37~+1.43米。单位涌水量0.013~1.32升/秒、米。</w:t>
      </w:r>
    </w:p>
    <w:p w14:paraId="740BFD73">
      <w:pPr>
        <w:rPr>
          <w:color w:val="auto"/>
          <w:highlight w:val="none"/>
        </w:rPr>
      </w:pPr>
      <w:r>
        <w:rPr>
          <w:color w:val="auto"/>
          <w:highlight w:val="none"/>
        </w:rPr>
        <w:t>单孔最大可能涌水量25.84~364.88吨/日，个别可达1164.93吨/日。在马家营子、大官场、学田地、五号沟、西干沟、花塘沟、黑山咀、牛圈台西、西大山东、闪电河等地下部裂隙水水量丰富或较丰富，为区内主要供水水源地。</w:t>
      </w:r>
    </w:p>
    <w:p w14:paraId="5A6C535F">
      <w:pPr>
        <w:rPr>
          <w:color w:val="auto"/>
          <w:highlight w:val="none"/>
        </w:rPr>
      </w:pPr>
      <w:r>
        <w:rPr>
          <w:color w:val="auto"/>
          <w:highlight w:val="none"/>
        </w:rPr>
        <w:t>c、太古界乌拉山群黑云母斜长片麻岩裂隙承压水含水层，零星分布于双脑包上营子。含水层顶板埋深81.54米，含水层厚度11.34米。抽水验试资料单位涌水量0.055升/秒米；单孔最大可能涌水量317.49吨/日。</w:t>
      </w:r>
    </w:p>
    <w:p w14:paraId="770AB3F1">
      <w:pPr>
        <w:rPr>
          <w:color w:val="auto"/>
          <w:highlight w:val="none"/>
        </w:rPr>
      </w:pPr>
      <w:r>
        <w:rPr>
          <w:color w:val="auto"/>
          <w:highlight w:val="none"/>
        </w:rPr>
        <w:t>d、燕山期斜长花岗岩、花岗斑岩、钾长石英斑岩裂隙水含水层。仅小面积的分布于煤窑沟、臻子山、黑头洼一带，水位、水量不稳定，含水层顶板埋探106.09米；含水层厚度12.41米；水位埋深18.89米。</w:t>
      </w:r>
    </w:p>
    <w:p w14:paraId="0A1F668B">
      <w:pPr>
        <w:pStyle w:val="6"/>
        <w:rPr>
          <w:rFonts w:hint="eastAsia"/>
          <w:color w:val="auto"/>
          <w:highlight w:val="none"/>
          <w:lang w:val="en-US" w:eastAsia="zh-CN"/>
        </w:rPr>
      </w:pPr>
      <w:r>
        <w:rPr>
          <w:rFonts w:hint="eastAsia"/>
          <w:color w:val="auto"/>
          <w:highlight w:val="none"/>
          <w:lang w:val="en-US" w:eastAsia="zh-CN"/>
        </w:rPr>
        <w:t xml:space="preserve"> 评价区水文地质特征</w:t>
      </w:r>
    </w:p>
    <w:p w14:paraId="44239451">
      <w:pPr>
        <w:rPr>
          <w:color w:val="auto"/>
          <w:highlight w:val="none"/>
        </w:rPr>
      </w:pPr>
      <w:r>
        <w:rPr>
          <w:color w:val="auto"/>
          <w:highlight w:val="none"/>
        </w:rPr>
        <w:t>评价区属多伦盆地地下水的迳流区，地下水接受低山丘陵地下水的侧向迳流补给，第四系潜水也接受大气降水、大气凝结水的入渗补给。区内主要含水层为第四系粉细砂潜水，第三系上新统气孔状玄武岩孔洞裂隙承压水，第三系砂砾石孔隙承压水以及白垩系下统砂岩孔隙、裂隙承压水，含（隔）水层特征如下：</w:t>
      </w:r>
    </w:p>
    <w:p w14:paraId="51B838FA">
      <w:pPr>
        <w:rPr>
          <w:color w:val="auto"/>
          <w:highlight w:val="none"/>
        </w:rPr>
      </w:pPr>
      <w:r>
        <w:rPr>
          <w:color w:val="auto"/>
          <w:highlight w:val="none"/>
        </w:rPr>
        <w:t>（1）第四系中、下更新统冲、洪积孔隙潜水（Q1-2al＋pl）</w:t>
      </w:r>
    </w:p>
    <w:p w14:paraId="63BA9042">
      <w:pPr>
        <w:rPr>
          <w:color w:val="auto"/>
          <w:highlight w:val="none"/>
        </w:rPr>
      </w:pPr>
      <w:r>
        <w:rPr>
          <w:color w:val="auto"/>
          <w:highlight w:val="none"/>
        </w:rPr>
        <w:t>1、孔隙潜水含水层</w:t>
      </w:r>
    </w:p>
    <w:p w14:paraId="7E6179A0">
      <w:pPr>
        <w:rPr>
          <w:color w:val="auto"/>
          <w:highlight w:val="none"/>
        </w:rPr>
      </w:pPr>
      <w:r>
        <w:rPr>
          <w:color w:val="auto"/>
          <w:highlight w:val="none"/>
        </w:rPr>
        <w:t>评价区位于园区中部，地形为平坦，第四系全新统冲积层均有分布，上部岩性以粉、细砂为主，底部可见薄层砾砂。依据水文地质及岩土工程勘探结果，在评价区的松散沉积物中赋存孔隙潜水，水位埋深随隔水底板和地形的变化略有起伏，稳定水位标高1270.73～1295.48m，含水层厚度10～25m不等，评价区两侧，含水层薄，细砂渗透系数介于1.7×10</w:t>
      </w:r>
      <w:r>
        <w:rPr>
          <w:color w:val="auto"/>
          <w:highlight w:val="none"/>
          <w:vertAlign w:val="superscript"/>
        </w:rPr>
        <w:t>-4</w:t>
      </w:r>
      <w:r>
        <w:rPr>
          <w:color w:val="auto"/>
          <w:highlight w:val="none"/>
        </w:rPr>
        <w:t>cm/s～7.4×10</w:t>
      </w:r>
      <w:r>
        <w:rPr>
          <w:color w:val="auto"/>
          <w:highlight w:val="none"/>
          <w:vertAlign w:val="superscript"/>
        </w:rPr>
        <w:t>-3</w:t>
      </w:r>
      <w:r>
        <w:rPr>
          <w:color w:val="auto"/>
          <w:highlight w:val="none"/>
        </w:rPr>
        <w:t>cm/s之间，平均值为3.56×10</w:t>
      </w:r>
      <w:r>
        <w:rPr>
          <w:color w:val="auto"/>
          <w:highlight w:val="none"/>
          <w:vertAlign w:val="superscript"/>
        </w:rPr>
        <w:t>-3</w:t>
      </w:r>
      <w:r>
        <w:rPr>
          <w:color w:val="auto"/>
          <w:highlight w:val="none"/>
        </w:rPr>
        <w:t>cm/s。</w:t>
      </w:r>
    </w:p>
    <w:p w14:paraId="72F2BEBD">
      <w:pPr>
        <w:rPr>
          <w:color w:val="auto"/>
          <w:highlight w:val="none"/>
        </w:rPr>
      </w:pPr>
      <w:r>
        <w:rPr>
          <w:color w:val="auto"/>
          <w:highlight w:val="none"/>
        </w:rPr>
        <w:t>2、裂隙水含水层</w:t>
      </w:r>
    </w:p>
    <w:p w14:paraId="2B77A445">
      <w:pPr>
        <w:rPr>
          <w:color w:val="auto"/>
          <w:highlight w:val="none"/>
        </w:rPr>
      </w:pPr>
      <w:r>
        <w:rPr>
          <w:color w:val="auto"/>
          <w:highlight w:val="none"/>
        </w:rPr>
        <w:t>裂隙水赋存于评价区下部的侏罗系上统多伦组</w:t>
      </w:r>
      <w:r>
        <w:rPr>
          <w:rFonts w:hint="eastAsia"/>
          <w:color w:val="auto"/>
          <w:highlight w:val="none"/>
          <w:lang w:eastAsia="zh-CN"/>
        </w:rPr>
        <w:t>（</w:t>
      </w:r>
      <w:r>
        <w:rPr>
          <w:color w:val="auto"/>
          <w:highlight w:val="none"/>
        </w:rPr>
        <w:t>J3</w:t>
      </w:r>
      <w:r>
        <w:rPr>
          <w:rFonts w:hint="eastAsia"/>
          <w:color w:val="auto"/>
          <w:highlight w:val="none"/>
          <w:lang w:eastAsia="zh-CN"/>
        </w:rPr>
        <w:t>）</w:t>
      </w:r>
      <w:r>
        <w:rPr>
          <w:color w:val="auto"/>
          <w:highlight w:val="none"/>
        </w:rPr>
        <w:t>玄武岩中，依据钻探资料，玄武岩上部存在强风化壳，该层由未胶结的各色玄武岩角砾、碎石和岩块组成，风化节理发育，岩体完整性差，平均厚度2.8m左右。在评价区西南侧，该含水层埋藏于第三系黄褐色～棕红色粘性土隔水层之下，具有微承压性；在评价区其它地区，因第三系黄褐色～棕红色粘性土层的缺失，致使该层裂隙水与上部孔隙潜水拥有统一潜水面而变为潜水。</w:t>
      </w:r>
    </w:p>
    <w:p w14:paraId="3395472F">
      <w:pPr>
        <w:rPr>
          <w:color w:val="auto"/>
          <w:highlight w:val="none"/>
        </w:rPr>
      </w:pPr>
      <w:r>
        <w:rPr>
          <w:color w:val="auto"/>
          <w:highlight w:val="none"/>
        </w:rPr>
        <w:t>（2）第三系上新统气孔状玄武岩承压水（N2β</w:t>
      </w:r>
      <w:r>
        <w:rPr>
          <w:rFonts w:hint="eastAsia"/>
          <w:color w:val="auto"/>
          <w:highlight w:val="none"/>
          <w:lang w:eastAsia="zh-CN"/>
        </w:rPr>
        <w:t>）</w:t>
      </w:r>
      <w:r>
        <w:rPr>
          <w:color w:val="auto"/>
          <w:highlight w:val="none"/>
        </w:rPr>
        <w:t>主要分布于原北段区的中东部，向西及南变薄尖灭。地表无出露，钻孔见1-3层与粘土互层产出，厚1.10m～76m。每层玄武岩上部为气孔状、杏仁状构造，向下逐渐过渡为致密块状。气孔状玄武岩为含水层，气孔直径1mm～8mm，大者达30mm，局部气孔内见有方解石充填。</w:t>
      </w:r>
    </w:p>
    <w:p w14:paraId="4E2A8538">
      <w:pPr>
        <w:rPr>
          <w:color w:val="auto"/>
          <w:highlight w:val="none"/>
        </w:rPr>
      </w:pPr>
      <w:r>
        <w:rPr>
          <w:color w:val="auto"/>
          <w:highlight w:val="none"/>
        </w:rPr>
        <w:t>根据水文孔资料，第三系粘土包气带单层厚度为0.90-27.60m，均厚8.71m，渗透系数k小于1.2×10</w:t>
      </w:r>
      <w:r>
        <w:rPr>
          <w:color w:val="auto"/>
          <w:highlight w:val="none"/>
          <w:vertAlign w:val="superscript"/>
        </w:rPr>
        <w:t>-6</w:t>
      </w:r>
      <w:r>
        <w:rPr>
          <w:color w:val="auto"/>
          <w:highlight w:val="none"/>
        </w:rPr>
        <w:t>cm/s。</w:t>
      </w:r>
      <w:r>
        <w:rPr>
          <w:rFonts w:hint="eastAsia"/>
          <w:color w:val="auto"/>
          <w:highlight w:val="none"/>
          <w:lang w:val="en-US" w:eastAsia="zh-CN"/>
        </w:rPr>
        <w:t>本项目</w:t>
      </w:r>
      <w:r>
        <w:rPr>
          <w:color w:val="auto"/>
          <w:highlight w:val="none"/>
        </w:rPr>
        <w:t>评价区水文地质图见下图</w:t>
      </w:r>
      <w:r>
        <w:rPr>
          <w:rFonts w:hint="eastAsia"/>
          <w:color w:val="auto"/>
          <w:highlight w:val="none"/>
          <w:lang w:val="en-US" w:eastAsia="zh-CN"/>
        </w:rPr>
        <w:t>5.3-2</w:t>
      </w:r>
      <w:r>
        <w:rPr>
          <w:color w:val="auto"/>
          <w:highlight w:val="none"/>
        </w:rPr>
        <w:t>。</w:t>
      </w:r>
      <w:r>
        <w:rPr>
          <w:color w:val="auto"/>
          <w:sz w:val="24"/>
          <w:highlight w:val="none"/>
        </w:rPr>
        <mc:AlternateContent>
          <mc:Choice Requires="wpg">
            <w:drawing>
              <wp:inline distT="0" distB="0" distL="114300" distR="114300">
                <wp:extent cx="4980940" cy="6627495"/>
                <wp:effectExtent l="0" t="0" r="10160" b="1905"/>
                <wp:docPr id="2" name="组合 2"/>
                <wp:cNvGraphicFramePr/>
                <a:graphic xmlns:a="http://schemas.openxmlformats.org/drawingml/2006/main">
                  <a:graphicData uri="http://schemas.microsoft.com/office/word/2010/wordprocessingGroup">
                    <wpg:wgp>
                      <wpg:cNvGrpSpPr/>
                      <wpg:grpSpPr>
                        <a:xfrm>
                          <a:off x="0" y="0"/>
                          <a:ext cx="4980940" cy="6627495"/>
                          <a:chOff x="5068" y="2175914"/>
                          <a:chExt cx="7844" cy="10437"/>
                        </a:xfrm>
                        <a:effectLst/>
                      </wpg:grpSpPr>
                      <pic:pic xmlns:pic="http://schemas.openxmlformats.org/drawingml/2006/picture">
                        <pic:nvPicPr>
                          <pic:cNvPr id="340" name="IM 340"/>
                          <pic:cNvPicPr/>
                        </pic:nvPicPr>
                        <pic:blipFill>
                          <a:blip r:embed="rId84"/>
                          <a:stretch>
                            <a:fillRect/>
                          </a:stretch>
                        </pic:blipFill>
                        <pic:spPr>
                          <a:xfrm>
                            <a:off x="5068" y="2175914"/>
                            <a:ext cx="7844" cy="10437"/>
                          </a:xfrm>
                          <a:prstGeom prst="rect">
                            <a:avLst/>
                          </a:prstGeom>
                          <a:noFill/>
                          <a:ln>
                            <a:noFill/>
                          </a:ln>
                          <a:effectLst/>
                        </pic:spPr>
                      </pic:pic>
                      <wpg:grpSp>
                        <wpg:cNvPr id="4" name="组合 77"/>
                        <wpg:cNvGrpSpPr/>
                        <wpg:grpSpPr>
                          <a:xfrm>
                            <a:off x="8384" y="2177890"/>
                            <a:ext cx="2127" cy="1149"/>
                            <a:chOff x="0" y="0"/>
                            <a:chExt cx="2126" cy="1149"/>
                          </a:xfrm>
                          <a:solidFill>
                            <a:srgbClr val="E46C0A">
                              <a:lumMod val="75000"/>
                            </a:srgbClr>
                          </a:solidFill>
                          <a:effectLst/>
                        </wpg:grpSpPr>
                        <wps:wsp>
                          <wps:cNvPr id="74" name="任意多边形 74"/>
                          <wps:cNvSpPr/>
                          <wps:spPr>
                            <a:xfrm>
                              <a:off x="0" y="994"/>
                              <a:ext cx="40" cy="153"/>
                            </a:xfrm>
                            <a:custGeom>
                              <a:avLst/>
                              <a:gdLst/>
                              <a:ahLst/>
                              <a:cxnLst/>
                              <a:pathLst>
                                <a:path w="40" h="153">
                                  <a:moveTo>
                                    <a:pt x="20" y="0"/>
                                  </a:moveTo>
                                  <a:lnTo>
                                    <a:pt x="20" y="153"/>
                                  </a:lnTo>
                                </a:path>
                              </a:pathLst>
                            </a:custGeom>
                            <a:grpFill/>
                            <a:ln w="25908" cap="flat" cmpd="sng">
                              <a:solidFill>
                                <a:srgbClr val="FF0000"/>
                              </a:solidFill>
                              <a:prstDash val="solid"/>
                              <a:headEnd type="none" w="med" len="med"/>
                              <a:tailEnd type="none" w="med" len="med"/>
                            </a:ln>
                            <a:effectLst/>
                          </wps:spPr>
                          <wps:bodyPr vert="horz" wrap="square" anchor="t" anchorCtr="0" upright="1"/>
                        </wps:wsp>
                        <wps:wsp>
                          <wps:cNvPr id="75" name="任意多边形 75"/>
                          <wps:cNvSpPr/>
                          <wps:spPr>
                            <a:xfrm>
                              <a:off x="83" y="20"/>
                              <a:ext cx="2023" cy="1026"/>
                            </a:xfrm>
                            <a:custGeom>
                              <a:avLst/>
                              <a:gdLst/>
                              <a:ahLst/>
                              <a:cxnLst/>
                              <a:pathLst>
                                <a:path w="2023" h="1026">
                                  <a:moveTo>
                                    <a:pt x="484" y="92"/>
                                  </a:moveTo>
                                  <a:cubicBezTo>
                                    <a:pt x="484" y="41"/>
                                    <a:pt x="525" y="0"/>
                                    <a:pt x="576" y="0"/>
                                  </a:cubicBezTo>
                                  <a:lnTo>
                                    <a:pt x="740" y="0"/>
                                  </a:lnTo>
                                  <a:lnTo>
                                    <a:pt x="740" y="0"/>
                                  </a:lnTo>
                                  <a:lnTo>
                                    <a:pt x="1125" y="0"/>
                                  </a:lnTo>
                                  <a:lnTo>
                                    <a:pt x="1929" y="0"/>
                                  </a:lnTo>
                                  <a:cubicBezTo>
                                    <a:pt x="1980" y="0"/>
                                    <a:pt x="2022" y="41"/>
                                    <a:pt x="2022" y="92"/>
                                  </a:cubicBezTo>
                                  <a:lnTo>
                                    <a:pt x="2022" y="324"/>
                                  </a:lnTo>
                                  <a:lnTo>
                                    <a:pt x="2022" y="324"/>
                                  </a:lnTo>
                                  <a:lnTo>
                                    <a:pt x="2022" y="464"/>
                                  </a:lnTo>
                                  <a:lnTo>
                                    <a:pt x="2022" y="464"/>
                                  </a:lnTo>
                                  <a:cubicBezTo>
                                    <a:pt x="2022" y="515"/>
                                    <a:pt x="1980" y="556"/>
                                    <a:pt x="1929" y="556"/>
                                  </a:cubicBezTo>
                                  <a:lnTo>
                                    <a:pt x="1125" y="556"/>
                                  </a:lnTo>
                                  <a:lnTo>
                                    <a:pt x="0" y="1026"/>
                                  </a:lnTo>
                                  <a:lnTo>
                                    <a:pt x="740" y="556"/>
                                  </a:lnTo>
                                  <a:lnTo>
                                    <a:pt x="576" y="556"/>
                                  </a:lnTo>
                                  <a:cubicBezTo>
                                    <a:pt x="525" y="556"/>
                                    <a:pt x="484" y="515"/>
                                    <a:pt x="484" y="464"/>
                                  </a:cubicBezTo>
                                  <a:lnTo>
                                    <a:pt x="484" y="464"/>
                                  </a:lnTo>
                                  <a:lnTo>
                                    <a:pt x="484" y="324"/>
                                  </a:lnTo>
                                  <a:lnTo>
                                    <a:pt x="484" y="324"/>
                                  </a:lnTo>
                                  <a:lnTo>
                                    <a:pt x="484" y="92"/>
                                  </a:lnTo>
                                  <a:close/>
                                </a:path>
                              </a:pathLst>
                            </a:custGeom>
                            <a:grpFill/>
                            <a:ln>
                              <a:noFill/>
                            </a:ln>
                            <a:effectLst/>
                          </wps:spPr>
                          <wps:bodyPr vert="horz" wrap="square" anchor="t" anchorCtr="0" upright="1"/>
                        </wps:wsp>
                        <wps:wsp>
                          <wps:cNvPr id="76" name="任意多边形 76"/>
                          <wps:cNvSpPr/>
                          <wps:spPr>
                            <a:xfrm>
                              <a:off x="63" y="0"/>
                              <a:ext cx="2063" cy="1068"/>
                            </a:xfrm>
                            <a:custGeom>
                              <a:avLst/>
                              <a:gdLst/>
                              <a:ahLst/>
                              <a:cxnLst/>
                              <a:pathLst>
                                <a:path w="2063" h="1068">
                                  <a:moveTo>
                                    <a:pt x="504" y="113"/>
                                  </a:moveTo>
                                  <a:cubicBezTo>
                                    <a:pt x="504" y="62"/>
                                    <a:pt x="545" y="20"/>
                                    <a:pt x="597" y="20"/>
                                  </a:cubicBezTo>
                                  <a:lnTo>
                                    <a:pt x="760" y="20"/>
                                  </a:lnTo>
                                  <a:lnTo>
                                    <a:pt x="760" y="20"/>
                                  </a:lnTo>
                                  <a:lnTo>
                                    <a:pt x="1145" y="20"/>
                                  </a:lnTo>
                                  <a:lnTo>
                                    <a:pt x="1949" y="20"/>
                                  </a:lnTo>
                                  <a:cubicBezTo>
                                    <a:pt x="2001" y="20"/>
                                    <a:pt x="2042" y="62"/>
                                    <a:pt x="2042" y="113"/>
                                  </a:cubicBezTo>
                                  <a:lnTo>
                                    <a:pt x="2042" y="345"/>
                                  </a:lnTo>
                                  <a:lnTo>
                                    <a:pt x="2042" y="345"/>
                                  </a:lnTo>
                                  <a:lnTo>
                                    <a:pt x="2042" y="484"/>
                                  </a:lnTo>
                                  <a:lnTo>
                                    <a:pt x="2042" y="484"/>
                                  </a:lnTo>
                                  <a:cubicBezTo>
                                    <a:pt x="2042" y="535"/>
                                    <a:pt x="2001" y="577"/>
                                    <a:pt x="1949" y="577"/>
                                  </a:cubicBezTo>
                                  <a:lnTo>
                                    <a:pt x="1145" y="577"/>
                                  </a:lnTo>
                                  <a:lnTo>
                                    <a:pt x="20" y="1047"/>
                                  </a:lnTo>
                                  <a:lnTo>
                                    <a:pt x="760" y="577"/>
                                  </a:lnTo>
                                  <a:lnTo>
                                    <a:pt x="597" y="577"/>
                                  </a:lnTo>
                                  <a:cubicBezTo>
                                    <a:pt x="545" y="577"/>
                                    <a:pt x="504" y="535"/>
                                    <a:pt x="504" y="484"/>
                                  </a:cubicBezTo>
                                  <a:lnTo>
                                    <a:pt x="504" y="484"/>
                                  </a:lnTo>
                                  <a:lnTo>
                                    <a:pt x="504" y="345"/>
                                  </a:lnTo>
                                  <a:lnTo>
                                    <a:pt x="504" y="345"/>
                                  </a:lnTo>
                                  <a:lnTo>
                                    <a:pt x="504" y="113"/>
                                  </a:lnTo>
                                  <a:close/>
                                </a:path>
                              </a:pathLst>
                            </a:custGeom>
                            <a:grpFill/>
                            <a:ln w="25908" cap="flat" cmpd="sng">
                              <a:solidFill>
                                <a:srgbClr val="000000"/>
                              </a:solidFill>
                              <a:prstDash val="solid"/>
                              <a:headEnd type="none" w="med" len="med"/>
                              <a:tailEnd type="none" w="med" len="med"/>
                            </a:ln>
                            <a:effectLst/>
                          </wps:spPr>
                          <wps:txbx>
                            <w:txbxContent>
                              <w:p w14:paraId="006A45A5">
                                <w:pPr>
                                  <w:jc w:val="center"/>
                                  <w:rPr>
                                    <w:rFonts w:hint="default" w:eastAsia="宋体"/>
                                    <w:b/>
                                    <w:bCs/>
                                    <w:color w:val="000000"/>
                                    <w:lang w:val="en-US" w:eastAsia="zh-CN"/>
                                  </w:rPr>
                                </w:pPr>
                                <w:r>
                                  <w:rPr>
                                    <w:rFonts w:hint="eastAsia"/>
                                    <w:b/>
                                    <w:bCs/>
                                    <w:color w:val="000000"/>
                                    <w:lang w:val="en-US" w:eastAsia="zh-CN"/>
                                  </w:rPr>
                                  <w:t>本项目位置</w:t>
                                </w:r>
                              </w:p>
                            </w:txbxContent>
                          </wps:txbx>
                          <wps:bodyPr vert="horz" wrap="square" anchor="t" anchorCtr="0" upright="1"/>
                        </wps:wsp>
                      </wpg:grpSp>
                    </wpg:wgp>
                  </a:graphicData>
                </a:graphic>
              </wp:inline>
            </w:drawing>
          </mc:Choice>
          <mc:Fallback>
            <w:pict>
              <v:group id="_x0000_s1026" o:spid="_x0000_s1026" o:spt="203" style="height:521.85pt;width:392.2pt;" coordorigin="5068,2175914" coordsize="7844,10437" o:gfxdata="UEsDBAoAAAAAAIdO4kAAAAAAAAAAAAAAAAAEAAAAZHJzL1BLAwQUAAAACACHTuJAXxuy/dcAAAAG&#10;AQAADwAAAGRycy9kb3ducmV2LnhtbE2PQUvDQBCF74L/YRnBm92Njbak2RQp6qkIbQXpbZudJqHZ&#10;2ZDdJu2/d/SilwfDe7z3Tb68uFYM2IfGk4ZkokAgld42VGn43L09zEGEaMia1hNquGKAZXF7k5vM&#10;+pE2OGxjJbiEQmY01DF2mZShrNGZMPEdEntH3zsT+ewraXszcrlr5aNSz9KZhnihNh2uaixP27PT&#10;8D6a8WWavA7r03F13e+ePr7WCWp9f5eoBYiIl/gXhh98RoeCmQ7+TDaIVgM/En+Vvdk8TUEcOKTS&#10;6Qxkkcv/+MU3UEsDBBQAAAAIAIdO4kADm+oH8AUAAMoWAAAOAAAAZHJzL2Uyb0RvYy54bWzdWM2S&#10;20QQvlPFO6h0J5ZkybZc8aYgm02lisAWCQ8wlsaWqvTHSF57c86BG5w5UrwEtQVPQ4DH4JsZtaSx&#10;HewN7AEOtkY9rf79unukx092eWbdcFGnZbGw3UeObfEiKuO0WC/sr19ffTKzrbphRcyysuAL+5bX&#10;9pOLjz96vK3m3CuTMou5sCCkqOfbamEnTVPNR6M6SnjO6kdlxQtsrkqRswa3Yj2KBdtCep6NPMeZ&#10;jLaliCtRRryuQb3Um3YrUZwjsFyt0ohfltEm50WjpQqesQYu1Ula1faFsna14lHz5WpV88bKFjY8&#10;bdQ/lGC9lP+ji8dsvhasStKoNYGdY8KeTzlLCyjtRF2yhlkbkR6IytNIlHW5ah5FZT7SjqiIwAvX&#10;2YvNc1FuKuXLer5dV13Qkai9qH+w2OiLm2thpfHC9myrYDkS/sfd23fff2t5Mjbbaj0Hy3NRvaqu&#10;RUtY6zvp7m4lcnmFI9ZORfW2iyrfNVYEoh/OnNBHwCPsTSbe1A8DHfcoQXLkc4EzAeqw7bnTIHR9&#10;2n7WipjOfF8/7zr+eCq3R71yrvL8ed1IsrS4M7BKozl+beCwOgjcabjiqWYjONIgpRU312l0LfRN&#10;H7yx9E+H78VLS97BFskvWeQD0rSD55dZWl2lWSYjKNf/bg1YYs7zJUdqxYvY1SGtG8GbKJEKV1D8&#10;FepDx7LbUFb2hkmba6T+SLKPJ42y/vcpq0TdPOdlbskFDIQdCDCbs5s2jWxOLJJclDJMsJTNs8Ig&#10;AAaaYoCgt1q5g1sNZQWMhy0j4NQoo6lC6z3raDaeQY6uh+ksbNsUhdZzvWlbDa4f6sR2pQQc9iUY&#10;JVRBeGZiPjMooLrM0piAWIv18mkmrBuGlvnMnzx1PlWpyTb5yzLW5GngOMooCGn5VUUagoyMGGW5&#10;rTA6aoI77g7K8l797FXCKlmfUmxfktMuE7/d3f3+9rt3P/3w568/v/vlRws7gFLL3fW1+n041xEN&#10;w7YrURaoo7nBWIobhDPaaHAPAY3JEGtoA+QJraJdQcuKNZIsn5FLa4vGCc0JRjQUSHJe3vDXpWJo&#10;ZNP0BqmG9n47K46w9WbqbTwh9SjDO90gDo1HuQzqTprkBaGDTh0xDP4VBi6WeYUOUxdrZaMBAANJ&#10;V1eATIeZIeBkoV+yOtHQUhI0phPO4mdFbDW3FcZSgdOILW3IeWxbGcfhRa5UU2hYmp3DCf+OdAuJ&#10;BN3j5GpZxrcYiTghoTElpXgDpTgfwMdvNgxzwGJFBPLChvN6+bTRB4pNJdJ1gqdUs8UkUijXSHt4&#10;uAfUeA7grqbt2XCfjXXn2W86jocNOcJdB63kYRDvKSUS81LHMdD7bWMM1fHEgH20WabRZ/zNEPzE&#10;7rfzr1KVE3gIVt8lW+IUDZKIqhCG4syamsrSHPDSLl21xPO4XHdojUKo9sAU5oZeeFTnMbddHLl6&#10;ZlR62zA8HPJgthkNBF2Tu5iaIk07Ou6xpxriew2+P6M/OVPiIaNp8Z67gdueNzW9C04QKBxTeLoI&#10;t/QTGOjy1rNTpOiq9elMDKqGtumq2Qgtp8QFLU4P+Y4FgaDecpOvVBd7oSFyH2BTpmnxITft01V7&#10;RnynEHNfvg6vpC7KyprrznTP2SZbTXfIVJCWlL0TzP9hSqDH6ePpwZRQtXD2lJjoKXEwJCRdDwm8&#10;0T3UkJBK1JCAjmNDInBw9kOfc106mvWHIxPQGqDEP1FDhWok8PWUwDlLHTJa3hBnb8jW1BM9YjrR&#10;xd8xE1Lp2pb+eWyua1j03s7rhngrMGwkdcecxzcZd8BN3nuOr6eCGZSO3MfWFEqqtGcd+ximazgQ&#10;A10/lFF2i7MkHjKaFu8ZEIyNadGFJ9BvchSfLsgt/QQSutz17BQAupIdGrqOT585aJ+umo+gdUpe&#10;0OL1kO9YFAjzLTc5SwWyFxsi9xE2ZZoWH3LTPl21Z8R3CjL35esRS/o+fF78s3ch+Sb0n3gXanbL&#10;HWrsYV6L+k91eAmV3wfwiVO9jrafY+U31OG94uo/QV/8BVBLAwQKAAAAAACHTuJAAAAAAAAAAAAA&#10;AAAACgAAAGRycy9tZWRpYS9QSwMEFAAAAAgAh07iQF6kzNONxAEAfsQBABUAAABkcnMvbWVkaWEv&#10;aW1hZ2UxLmpwZWcA//8AAP/Y/+AAEEpGSUYAAQEAAAEAAQAA/9sAQwAIBgYHBgUIBwcHCQkICgwU&#10;DQwLCwwZEhMPFB0aHx4dGhwcICQuJyAiLCMcHCg3KSwwMTQ0NB8nOT04MjwuMzQy/9sAQwEJCQkM&#10;CwwYDQ0YMiEcITIyMjIyMjIyMjIyMjIyMjIyMjIyMjIyMjIyMjIyMjIyMjIyMjIyMjIyMjIyMjIy&#10;MjIy/8AAEQgDFwJ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n1zxBpnhuzju9VuGghklEKERvIWcgkAKoJ6KT07Vin4o+EgMm/ugPfTbn/4&#10;3VX4mSxwQeGpZWCxprcbMWOAAIZq5DWdVfVZfMYMlgjjyo8fNM3Ykdfov4n2i8uZJLTqzOpVjBXZ&#10;24+Kfg8nA1G5J9Bp1z/8bp3/AAtDwl/z/XX/AILbn/43WHoeiOkiajfoFn24iizkRqev1Y9zXRY/&#10;d9MDJ7VyVsbGEuWKuaU1KUU5aEP/AAtDwl/z/wB1/wCC65/+N0jfFLwgo+bUblcnHOnXI5/790l7&#10;e2+n2zXFy+FXt1LegA7k1wd5PeazqCny8zMT9ntuojHdmPr6n8K1oVpVdWrRXUipUUNFqzvB8U/B&#10;7NtGpXJb0GnXJ/8AadO/4Wf4S/5/7v8A8Ftz/wDG6zdC0VNLh3MwkuJP9bKep9h6D0FP1O9nuJjp&#10;emsBcN/r5scQof8A2Y1k8YuflitDRJ21Ly/FHwgw+XULpsemnXJ/9p0N8UvCC4B1G5GemdOuf/jd&#10;Umay8OadHCinI+WNP4pG+vv3zXNl73VNUKqoe8YYLfwQL6D/ADzWkMQ5JtqyNI076nYD4p+ECxUa&#10;jckjqBp1z/8AG6d/wtHwl/z/AN1/4Lbn/wCN1DpelQ6bCYkXMp+Z5D1c/WtBUxwRWEsek7JEuJW/&#10;4Wh4S/5/rr/wW3P/AMbqP/hang45/wCJlccdf+Jfc/8AxusHxLrrp51lphzMoPmTDnZx90epP6Vy&#10;Ok6ncQywiWCIeT81xEykMMkA856/NnPeuqnVlKPM1YtUkleTsenD4o+EGGRqFyR7abc//G6D8UvC&#10;IBJ1C6AHrptz/wDG6yNT8QR2tmn2S2lVjKiAyQMqYLc9fxrnJPF2oSwPuS3IyZP9XnKBd23k9elY&#10;LFSf2fxM7I7r/hZ/hIAk391jrn+zrn/43TP+Fq+DcZ/tO4x/2D7n/wCN1y3iTW5Jg1lGTDaqAZ3P&#10;HmcfdHoPU0/w9oH25kvL2LbAvMNuf4vRmHp6Ctvb8sbzWpr7G0eaTOq/4Wh4S7X91/4Lbn/43S/8&#10;LQ8Jf8/91/4Lbn/43VjYBnp+VQ3M0NraPPO6pEn3mPGB6+/pXOsbd2UTPkI2+KfhBF3PqNyo6ZOn&#10;XI/9p00/FXwaOup3Az/1D7n/AON1w2uXJ8RJKJi0NiqkwoOpb+FiB1OcYH+RY8L6TFqunDUdQUST&#10;48sQ8gQleDx/eJ79q3lX5Y3kgnTlGSR2L/FXwdGPn1O4XPrp9yP/AGnSp8VPB8gyupXDfTT7n/43&#10;XIajpRg0SJ51Xz7ebKsjZ4JxwfyP1FTxa1Y6ToMVw0SCaSIS7IlwZDwPzyayjjOb4YiaS3Onf4q+&#10;DYv9Zqc6Z/vafcD/ANp0i/FjwXISE1WZj1wLC4P/ALTryHUpZfEN6fs7Ga9K5PJCBeuF6DAzzXT6&#10;Bpun+GxC11OHvbkHlSSMDqOpxitZ4jlWq1MoS5npsd0vxT8IMuV1G5I9f7Ouf/jdIfin4QHXUbn/&#10;AMF1z/8AG64b+1rSzY3WmTBoZpSrWsiMMt3ZTjK/U8VcudQtrq+sVkRrSVN2Y5/lJyP4T0b8DWDx&#10;k725NDWUUle51w+KXhA5xqNzx/1Drn/43S/8LR8I/wDQQuv/AAW3P/xuuf0kAveYHymXH6VqjOOA&#10;OlctXNvZy5eT8TSFJSV7lk/FPweCQdSueOv/ABLrn/43S/8AC0vCB5Go3P8A4Lrn/wCN1x2puq3e&#10;pZH/ACzQfoa27HAsrcEADylx+VXUzPkiny/iTThzya7Gt/wtHwhj/kIXP/guuf8A43Tf+Fq+Dsgf&#10;2nPk9B/Z1zz/AOQ6yNRvLaxs2klIbd8qIoyzH0Fc1oVg0d/pl3dHfPIrbU7RrtPygevvVU8ycoOb&#10;jYJQUZJXO/8A+Fo+EP8AoIXX/guuf/jdIfil4QXk6jcjPrp1z/8AG6zplXlyOM1la02+wgEcWf8A&#10;SU5/H/61YwzdzlZR/E0nR5Yc1zph8U/B54Go3OfT+zrn/wCN0H4peEFGTqNyB6nTrn/43XL6PE/m&#10;3+47QGQcdfu1oSrFOZLacCWCRSrhh6j17fX1q5Zqoz5XH8SKdJzjzGwPil4RYZGoXJHr/Z1z/wDG&#10;6Y/xY8GR48zVJ0z/AHtPuR/7TriotRu9EvLmwKPd28UYUSpgSxgjjg8Nj/IptudOttOaWS4bVLKR&#10;gSsoQlJT1J3H5c+lavHta8oowUup3A+Kng5hxqVwf+4dc/8Axul/4Wp4PyB/aVxz0/4l1z/8brlb&#10;bRvD8iRzxQLZNN80TRSBGH0wcH9apLbzaNfWNvPtntllPl3OQOqnh8dDz+NEcxUrtRE6bTO4/wCF&#10;peEO+oXI/wC4dc//ABuk/wCFpeD8/wDIRuf/AAXXP/xuqDhZ4GVQMEHtVeSCOGCQBRyp59OK5f7Z&#10;1tyfibPD21uaw+Kvg7/oJXH/AILrn/43Tv8AhaHhH/n/ALn/AMF1z/8AG64azClNJXb1kH8jXYMF&#10;VD3O2ta2aey+z+JlQh7RtXsWf+Fo+EQMnULkf9w65/8AjdIfip4O5J1K445P/EuueP8AyHXP6pIR&#10;YMGPBdAPzpmklZ76/LoCuxV+YcH25qo5mnDncQnT5Z8iOkHxR8IsoZdQuiD0I065/wDjdNPxS8IK&#10;TnUbkEckHTrn/wCN1zkbyeGpVkjV5dIc5eMAlrf3HqvtVHWbuOfVrma3ZJIntUIdeQRzXXhsV7aV&#10;kjLEfuo3OzX4o+EWGRf3RHqNOuf/AI3S/wDCz/CX/P8AXX/gtuf/AI3VTw4AdDtMdPJUn8q1lCtE&#10;TwRWKxz9pycpfKrcxR/4Wp4Pz/yErjrj/kH3P/xun/8AC0fCXT7fdf8Aguuf/jdcEo3m2jXjdfj/&#10;ANG//WrvpFABXA+tdGIr+xsmtzGjP2ib7EcnxV8GwrmXU7hF9W0+5H/tOlX4qeDnxt1O4bPIxp1z&#10;/wDG6yfE8MUmgXKyIjgxgYYdefpXG+CXGl+MJbO6ZYxcQkW8QGFDZGVU57gD8qdKvz0nUS2KlJKa&#10;gelf8LR8I/8AP/df+C65/wDjdMHxV8GsWC6nOSvXGn3PH/kOpolU57574rz3xw66br9jeQqiHYTL&#10;tGPMXcBz9M5qaGI9q7WCpLkTZ3o+Kfg//oJXH/guuf8A43QPip4PZ9o1K4LHsNPuc/8AouuInVWC&#10;KAOp4HtV/wALQRr4muyqhglqgZgPutuJx+WK7asPZ0+c5KGL9rU5LHVf8LQ8Jf8AP/df+C25/wDj&#10;dH/C0fCX/P8A3X/gtuf/AI3VvAwPlHvisDUL9mt520qW2kuYGAdHII46jr1rz1im/snfZGp/wtDw&#10;l/z/AN1j/sG3P/xumN8VfBqJvbU7gKf4jp9yB/6LrjoPHVxctLAmnwRmNctNNNtT8BjJ/DNQ+HtN&#10;i1q9m1HVWgQJITDYISFVh/GVJ5Jq3iWldoVtdDuB8U/B5TeNSuSv97+zrnH/AKLpw+KHhHqNQuv/&#10;AAXXP/xus0+HLBtwRJER+WRJWVST7A4rVcRW0QZtqRovJPQCuX+0U3ZRL9n1bGH4o+EQCTf3WB1P&#10;9m3P/wAbpP8AhafhD/oI3PPpptz/APG6xr27bV2IVStigyF6GYjufQVz11fay1oi2k0Cm4jMoJGw&#10;xIrYIz34reOLb3Rknd2R3n/C0PCQ/wCX+6/8Ftz/APG6T/haPhL/AKCFz/4Lbn/43XG2Fhr6CO6n&#10;leYGWNiFmB3L647DFdZe3UNijTTHAxwoxkn0A9aylj7O1jVQ6tkp+KXhBcZ1G5Gf+odc/wDxuj/h&#10;aXhAHB1C5z6f2dc//G65x5nuJVu7kMZScQQDnb9Pf3ra06wEEjXNwQ10wx7Rj+6P8acsfyq7iRFc&#10;70LX/C0PCWf+P+6/8Ftz/wDG6P8AhaHhL/oIXX/gtuf/AI3U4Uc8Z54qhqF+lioURiS4fOyMcc+p&#10;PYVnDMXN2US3BRWrN/w/4r0XxM10uk3bTva7fOV4JImTdnbkOoPO0/lW3XlvwsmM/i7xjIzh3P2T&#10;cwGAT++6DsK9Sr04u6uZI85+LxA0XQiVLD+2I/lAyT+6m6D1qDQNAMRF9fKDPj91H1EQP/s3qfwr&#10;U+JHKeF/+w7F/wCipq0WYDnHeuLG15QSgnowVOLlzPdCEfNn8KqX+oW+n2bTXEmF6KoGSx7ADuaN&#10;T1ODTrczTng8Ko+87egrhJ7i+1bU0IUPduSIoeqQr6k9vr3NcuHw/tXzy0ihVq3JaK1bC5nv9X1W&#10;MNFvuG/1MGcrCvqT/X8BXY6RosemQksd9zJgySHv7D0HtUmiaRHpcJwfNuJBmWZurH0+noKj1bVZ&#10;BMNO08B79+S2MrCp/ib+grerWdT3IaRQUqXL70tWyHVdSlE66fpoD3zrlm6rCv8AePv6ClVrXw1p&#10;YDFpbiRu5+aZ/U1WL2fhewZi/m3UpLMzH5pW/vE9hXMJqlxrFxKbGF7273APIoxFEPQE/wD180qV&#10;OL1lsvxN4JPc1hHdalqIYssl245P8ECe3+ea6zTtOh0+AJGMs3LyNyzH3Nc/p8WuWMYWDTbJc8uZ&#10;LhizH1Py1e/tvUbfH2zRZ8f3rZxKPyOD/Os61Rzdo7DcvuN5V+Y4Ncr4j1yVkk07S5cTfdkuByI/&#10;Ye9Z+r+ObaeNrSyme1LDbLNNGV2ewz3rI8M2y6tNJEbuIWSv8zhxuk9h/U1dKjGmvaVEaQjFrnl9&#10;w+w095rUCXUCIXYx7lg6nGSQSefrWZHBBE0chvr0urZcmJMsnBBbrkYA4r0m60yynjt4gRFFbklE&#10;QgDkY/LmubudD0LT1T7TqxXa3IMilnGBhcAZ6AU/rHO7IzqSc2O1e+R9Ndn1Oe6MTKwj+zBRkMMH&#10;JXoPxritSu7VZRp1m7SliGV1KY80j7udoO3t/Suu1/xTb3mnNHYLerENpF3FCcE56DPWuQ0zRbOx&#10;imvdQN1bzsVWITRFQuWBLk4xn0raCUFeW4JLc7Tw34eGoQRX19dTyyRzEPExUqXQkenSu6jwrEf/&#10;AKqoaVDbWunRxWj+ZCWJ8zduLE8kkj3qaa6itIXuLhwkajLEn9K4alWVSdkGr1ZJc3ENpBJczyLH&#10;Eg3M5PQf54rg9X1K41UrJKDFbK+IbfHzE9iR3bPQdh79IdZ1qfVLhZMMkCtiGDHJPqR3b0HYV0eh&#10;aK0Yivr9R9pyfLj6iH39z7/hW8Ixox5p7m/KqaUnuR+H9AaMpd3qjzuscXaP3z6+9TXum3ml3suo&#10;6Ooljlw09mTtDn++p6A9veugUDPXHtVDWtYt9Js2eX5pG4jiB5Y/579q5/aSnO+9zOV5S8zjNd8X&#10;W0kAtI4XWZmUyQyDY6tnpjp26+lctqDzanNa2NvJHuhjEeUJIz1J6VrXenv4inlvBIovxkx7DgED&#10;qg9vf1rP00pJo00kMRBBZJYlxuVuBhjjJFdyjGnE5a1OfPyvYtaXZW+iP9pkWK5DRkBCx2nBwcfL&#10;k5PSpNY1KK8VEjjtoYo1z+7XLDPJ2nbxW1puhf2rpVs9xJNCUVlTnOBnIIznisfXNP0rTUKpLdPN&#10;nCR4K/XB289a54yjOXmXZQj5FW4025sbWK4aVG3NlVVvmkXjC4x7DmqurajNNdGS9Mbt5e1YAfug&#10;9l4/WrNnb319qKST4eYrsijXoq/0HvU9lpATxHIbkiWSMEFWzgdwcfyrZuMXd7nNKUpu62Og8GJP&#10;/YxNznzi5zk8iulGQTg1kaJgW05x/wAtmx+lbOeelfPYp81W56NH4EcpqoJl1NieygflWrLex6bp&#10;0Dyks2xVRB1Y46AetYOv3Udumqs5+ZmVUXuxx0Famm2bM8d9qLBrjYBHEDkQj29/U101or2aciKX&#10;xyCzspj5moahj7QUPlxjkRD0Hv6mqtkr/atLODgRMx/75/8Ar1uXEqC3m25bCHlR0rKsR5lzpwXv&#10;anH121NOXNTfYqsrTVjVdHlHyjCbufeqmssEgtFGCTcj5R9DWijb04655HpWXrabBZKijJuOW/4C&#10;1c2HX7xGtd/u2GlZE1+zvtAlX5fX5RVy9u7aztZ7mclURQTt6k9gB6kn+VUNKAMt9jLuJV+bHA+R&#10;auarYw3VjcRXMuwMufMXA2EcqfqDg/hV1knXszOi7UTn3lvHlvrifSbpDKiqAhViuFxzgiqMsbzQ&#10;2pgt5Ldo7ZYrppl2CTA4AGQS2R1rZ0/X2LPBd/JKV8tLhQfKlIHBDHvWddRw2gn8+7nuXdQzRspL&#10;b/7yk8LxXoc9m00Zxgr3NCDT7JtHSTU2GQmIy4IaIZ69T0JHNRQRxvfzI0MjPKApRnJSQY6khcU3&#10;UtLvriG2ubBRLvj2yieTA2gdOncnn6VdttKlNmgWV0kMflhzhig74OM8dK5nLlV7m8VfQWN7zSA6&#10;CGW7sM/K0fMkY9CP4hUk+t2MtvMJHltwEPMsDp29xj9akt4f7C0ycec7wjJjVslgfT86r6Jq11qU&#10;r299bYb+HETAEe+e9QuSTc2hSTta5VtwM6N5bBlJ4IOc8VR8UazeafqlwkV2dskYVY1YgxHjLY6f&#10;jSWNqJru3s5S8bR3UgZUYrt7/lWvqejWMEUl1NPdDYuC3nMSR6V01ZU4SUpI58PGWqRzGj3mo3t6&#10;kUsrzARFvLlJ2lQOCffPeq+oatq9ndyIJWgQpkiM5BPYZx1rWvI57HTobpJblFcYkZZS4jXt3FYt&#10;vqlz5VxEJpDuYeTl8jGcHOetdFNKSbSViJp+1RLp3ijWZri2ie5LB9pI2ggseCnStfU4G0zxBfpY&#10;6c8kUtursIyoVW5z16fhW1o+jrc6bbXP2y4RpBvwNvB/KszUI5bbXL3N7cSARJneRg8H2pUMVGFV&#10;uBWJhen7x0Ph/XEt7Ozs76zls98SrFM5BjY49R0/GunI2wsF4UDpxXPWlvb6noCWswyjwKOOq8dR&#10;702K48Q2VobdUs7xFG1Z5XKMR/tADk8VFKvTqTu3bUucGlZdjmrQ77mxUdTfZzj/AKaGvQG5DDPU&#10;15lZ3N1Yy6Zc6ha7YDdbmkhYtj5j1HX+dek21zDeW4uIJUljfkMpyK7cwkpzi4nJg4OKlczPE0eN&#10;Bn246IP/AB4VyKWA1C4v8KTNFamWF1HzI4bgj34rrvFcuzQ5O2Wj/wDQxWL4VO7Vrv5T/wAe6j/x&#10;4/4VdF8mEmTUV8VH0Lthe60ke2CWx1KPHDFzHJ/wIAEfyrj/ABvcX15fxxXOmvHJ9mYLskVwfmHf&#10;jviug+xXlvqQvNSDJFFMZGltUXBXJ6n723B561V8VYl8QWRVgwFqSCO+WH+FTgnetFIrFaUpNmNb&#10;6te3MMMjafeWkTD5rgwGTtztAz+tbOn6n4XsIikN5qELMcyM7SIzn1NdL4SwfCmnlxx5ZJz9TTL/&#10;AFO2n321jarf3PIygzGv1b/Jor4mVSbg72Q6FGMY8yMlvEWieR8us3aAZxmVq5J7yzu9Wf7FqU4t&#10;JR+8mZyC/qmO+T3qvBZXM7xzKiGa2UpOxYBY17gDHHf5ua7Dw/YadqzrdIkRhtyBFEBkkj+I/wBK&#10;mTjCN0aJOTsh9v4XXWbe3nuVEEUBzbRGMHj1YH+VbE3hn7TEftN47NtAykSLgeg4rajH7oj0xT5X&#10;jgtnklcKijJJOMV53tpzna+htyqKD5La1BdwEROXY9AO+a5rUdRGoHdIWjsU5VSOZT7j+lLfXh1B&#10;fNlLRWKY2Iesp9x/Krmn6a0kiXd2gUjmKI9EHqfetFanqzNtzdkGm6VJMftd8GTK4ihDfcU9z71g&#10;Xvw9Ymd7PUGUSIUMcq7uM5xnPSu9L4Az6VWu7yGytzNMT/soOrn0FZ+3k5WiXGEYoz45xoehWwvZ&#10;N0scSptA5dsdAKx5LmS4uRc3Kl52GIbdDkL/APX9TUV9LPd3azTrvnc4hgXnZ/nua3dL0oWRM05E&#10;lyw5PUIPRaptQ1Mk5VJWWw/TdN+zD7RPta5YYyvRB6Af1rTVRvJ9Pbmmgdu2ce9VdQ1EWX7uMLJc&#10;uMrHngD1PpWC5qstDo0hEbqOoixURxjzLl/uR56e7e1cpe3EsCPKWead3VXkCjO5jgKue/tWlbRT&#10;3Vw6RkvOzZuLhhwB6D39qLuGIeJNJ05Plt4UkumB6sy4Ck++WzXXGMYLQ59ajv0D4V6fJpvivxbD&#10;KArstpIVDFtu7zjjJ6mvUq4HwWf+K+8W/wDXGx/lNXfV7VJ3gmNpJ6HD/EgZTwx/2HIv/RU1Lqmo&#10;QaZZmaduc4VB9529BVf4o3P2Sy8O3BVnEetRttXqf3M3FchPNe6xqWAolvXxsjH3IE9T/j3NYV8K&#10;qs1KTtFGVStye6ldsinnv9Z1NcJvun/1cQPyQL6n/PWu20XRotJtTk+ZcOSZZT1b/wCt7U7R9Fh0&#10;uDC/PPJ80kp6ucfy9BS65qqaVZrtCvdSkiGMnGT3JPYAc1yV63tP3VJWSCjR5Xzy1bGatqj28iWF&#10;iqyahN90dREP7ze386yH1Ww8OKbOJze6vOSzKDl3Y92PYVhi7unRo9PkYy3LEyXhGJJz/sf3UHr6&#10;U7SdEa3vmtrQ77xzm5uzzs9h71pSppRu9kdcY31ZHDoV7repM2oXHnXLnLov+qgXsPc+1d9pml22&#10;mWS21um1V6nH3j6mn6bYw2FssMI6feY9WPqavYG36VjVquTtHYkYEXPI6d6wNT1F7yV7Gwl2xrxP&#10;cA8KP7qn1/lRqGpvfTPZWEhWEcT3I6D1VT6+9VLOxTUFENsph01CdzDgzH0+nv3q6dJU4+0mXbS7&#10;IbbTI9XY20MQXTYzhpCOZj3A9vetp/DWjuqq2nQHHA+QAitKJI4UEcahFQYCgdKcXG3cSAO5PH51&#10;jVrOb0Jeu5hS+EdFcMGs1VRzjcRisa6stOaOVbO1ht7OLAknAw0h9FPp/OtC/wBTGpGQLJ5WnJnz&#10;JM4Mp/ur7fzqXT9Oa9lS6u4vLt4yDBbdh6Fvf2rekvZx5p7hazE0zSXuvKuLqLyrZMfZ7bGMe7D1&#10;9B2qbxJGr6MysoIMkYKkZH3xW9wEC1g+LJ0ttEeRzwJY+O7fMOBWEpyqzv1G9SlqlmdAWTVdNbyl&#10;Tma1LfJKO+B2b0xXOX+tS648dy2VtycwW45IPqR/fz27VtTXzTzLeX6lUDYt7bGfm7Eju38qij0O&#10;8sL863Bbo8pJZ7P+6Dj5lP8AfrpilSjeWrKinTd2X9B8PfZ5I729wbgD92mciP8AH1966UYUAEjk&#10;nAPVqraZf22p23nwPlckFcYKHuCO1ZPibVE0y/0mTYXlLTBIgeWO3v6D3ricZ1p+8Dk5yu9WzQ1X&#10;V7fSLXzZCXlbIiiU8sev+TXAXDXms3u5/wB9dTDAVfuqPT2X3qVpLvV78pg3F1Ie3Cgeg9AK7jRt&#10;Eg0i1YAiS5cfPKR1PoPQV1qMcPH+8dDSorXcq6HocWlQdd8zj53x09h7VyGu6ZFoviCe9SR4Euh5&#10;iMpwC4PKn69fzr0dcZ/HvXN+NI7CbRHt7oFnkP7lU+9uHTH86wpTlOb5tbnLK8n5lceIUsPD0N3d&#10;8u+REoGGkxnBrj7xbjxDMtxGzPeSfcAOAgHb2HvWQkN5PcR2l7I8syxGO33cK3oB6V33ga1t4dKk&#10;IKtelm80nr7D6V0SgqCutzlqQnKXI9EVdFf+z9NkjCN/aX3Wd0LD9B0rRu9Lnkki1a2UNeCLEkfa&#10;Re49jWhpFiEeS4lhVZWc87NhxXM+LPGMlvePpmnsqsoxLKpzgeg9DXMuarUTRtLljA6HRTE2nmSK&#10;QOryFiB/Cf7pHrU+oajBp1v5spyx4WMdWPYAVwWj3V1p1udStkP2ZuGhY8zN/s+/vXQaRG2oSnVZ&#10;2DzE4RO0I9Pr61x4vD8lRylqjWhPmjZaGFcK1ydQvbsf6S0m1I85EXT9a9BESrCihcfKM+9cNesB&#10;b6gCfna7x09xXbOS6qGJAxyBSxbvBNE0PikRXJVLG4VBk+WenasnSMrqOnxc7halvzArVuJUSwuV&#10;iGSIm5P0rJ075NZsnL8iyJ/9BqaC/dMqu/fRuyEwSeYT8pOD7H1rN1lkIsAx+UzsT9NjVo3UiStt&#10;HI6HmsnVI0J04dT5sgOf9w1z4ZXqm1f+Gx2mSITek/u4/OyOcZ+Ve/50iQHXpfPJZdNVh5SH/lsw&#10;/iP+z/8ArrK0xJtanu9NQMtkt0Wnmz98YGEX8Qcn04rb17YJtO0W2DRm8YiQxdUhUZbH14X8a7vZ&#10;2q3T1MKcv3aNo2tvJbvb3EEbQsDwV4IrlNW0QWURuba4c26AAW8zH5j6IeufatDc3heYzSmR9KYb&#10;ShO8wP0H1BPHscVDLcPNOl5d5eU8W1svOP8AE+prWMLa7ohzt6leCO9v7WCawugiW/BgcYLNnlX/&#10;AArolBEaqeO30rJ/s++0mQ6sq+aZP+Pq2jHRexX3Hf1p9xr1lFapOkjTK7EBYlLHj1HbFceIptv3&#10;djooT7sqar4p0+2eSx+d5D8jELwhPTP/ANanwx6hpxhe2hha2yvm4yWbPUj0xTLjwzpmr20l2md8&#10;48wPnOTjgmqVyt9b+VZrLIPIAVWUgbj+Lc04KDjaA3fc6DVNENzOmp2eI9QjHykj5ZB6MKfZ3Ueq&#10;W7xyR+VMg2zRNyVP+FSW17JZ6WLjU2MZXOS2Pw6VSu5Ym8nXtPIdANs23+JD3x6is3eS5X06hHR3&#10;KGraRaW9lHGIyEeZRtViBz7VBpXh/Trpb+JrfAVxyCcjvx6CtbXZUmhsjGwKvKrAj8aXw7hjqBz/&#10;AMtMfpWsZSVBq5hLXEI0IoTawRxRABFG0AdhXKavk6vqJPP7pR+hrr9x+UHsa4rUrsf2/qcBB3CJ&#10;XyPyrHB+9UZrjPgR12joyadAccCJf5Vo5U2x91/pVbS1/wCJXCOhES/ypzPi3YY6Kf5VzX5avzNN&#10;4HJ2knmLoynkedn+ZrTk0d4p2n0y5NpKT8yjmN/qp/pWHYucaKV/56f0aust5i6HcM16FetKnNWO&#10;bDwUoM53xHf6jHpccF/Y7syR/v4DuUjeOqnkU/wfeWk+rXhhnViYUAB4P3myMGr3iDdLawJzgzxj&#10;j/e6Vy09sby8vWstPF0UiA+0L8qIV3E8jkn6V30cU6lB07bmc6KVdM9IZ4IoJGnZEjIwTIQBjH5V&#10;5tqqytrKy6RE9zYLGI/NmyscRLdm6kZ/man0DSdOk+zjVdbkuro4MUXmt5aE5IUHoTz3rrhY6tDH&#10;+7uobmJOBDJGF3j0JHcetKlNUJe5uOcVUVmVtG8OM2n20Woag11FEoCwxHbFx7D7341He38LxzWl&#10;gUt7GHImnQbQfVV/xrmPEGvxSSJ9gjms4RlLpo5Nhz0IA6H61W0vXoXuY01GGeS3iXfBFFGD+LgV&#10;Xspv35EuS+GBrto1trbKGuVsUCbUhBG+RfVh6elbUnkaPc2c0Q2Wqp5MhXt0wT+R/Os3UP7I16JZ&#10;RE0My4CXDJjB9CQf51Wt7SS33SXV3HPNGBLE5clSgwClQ486sXFcp30NxbrYtdNKnk43FwcjFc/f&#10;Xh1GJ55wUs1/1Ufdz6kd/pWFbXE7xStcxNBYGTfbWpOSSf8APArqtN02RoxdXo/eYzHD1EY/qanl&#10;jSRnKUpuyEsNOeTZdXi4IAMUPZPc+9bOehPT2pScAD2qnf30NjEskp5JwiDqx9K45Sc5WRvCKgie&#10;+vIrGEyynPGFQdWPoK52eeWS5WedTJdPxDAvRP8APc0SzSyXHmTDzbyQYihHIUf56miS7k0e9itI&#10;LQ32rXKlz821Y1Hv2FdUIciOe7qPyNax05bINcTlWuWxufso9B6CpV1bT3uDGt9bFiPuiUZrDudN&#10;1nWZVGqTxW1kDloLYnc/sW64pdUtdJto/sNvYwSXDLhU2/c9yazcFN6s6E1BGxqGpi2QRQBZLlxw&#10;ueAPU+lZMEUl5dtBC++Vjm4uCPu+w9/auestL1e3mnttLdZ42wZGlYgofRW+nbtXUWl7eafF5R0O&#10;VY1HLRSByx9T0rodNU17pkm6mvQ27a3htLcRRAqik8k8t7+5rn7B11DxRe6kGBtraEW8b44Yk5f8&#10;BgVM76rrm6FbeTTrMnDyyEeaw9AB0+tZ3ia9stK0iPR7SRI3ldYdifwqxAOce2etEKb+11LbSWhp&#10;fDm/TUvGfi25iVliMdkELfxAecM/Q9fxr0mvMPhe0h8U+KlkRUZIrNMKMAgedgj8MV6fXs01aCRl&#10;e+p598VoZbjTvD0MDKsr61GqsegJil5qbSNGg0e1McZ3yucyyt95z3p/xI+74X/7DsX/AKKmq4Sz&#10;Nz61wY+rKPLFFRir8xDqF/DpllLe3LhIIULsfQf45rzSC4uPEV0dXvYn8q4JFtaZwXUdM+ijqfWu&#10;j8Z3Ivb+x0GOIzh/39wg+7gcKGPoTz+FNtLN55GtrVgZc4nuccIP7qj9AO1KhTUIc8+pokm7vYLS&#10;yluLnybdgbkjE9zjCxD0X8OMV1dnYwWFsIoFwAeSepNLY2sVlbJDCu1R37n3NWTwDngZyeelZVKz&#10;lotht3EBAA7Ad6wdQ1R795LS0l2W6nFxcDv6hT/M1Hf6g+oM9tayFLRM+dP0zjqoP9ag07Tm1IKA&#10;hi0yM/Ko4M2P6fzp06agueY4pJXY+ysf7RKxQoYtMTqRwZvb6fzrpkiVECIoVQMADtRHGI1VVUKo&#10;4wB0FOeRY0LswVVGSScACsatSVV2E3fVkbEIrMSAAMkk4/OuV1LU/wC0o5FRzHp6Nhm6GY+g9v51&#10;JqWpjUCxYmPTYzg44M59APSrel6U0siXd5GEVTmC3HRB6n3raFONKPNLce25Fo+mPcSR3d7HsjTm&#10;C2/uj1PvXSAAE03b859agvLyKxtnnncBV4x3J7YrJzlVkTuxb+9hsLV7id9qr+ZPYD1NcP4inmub&#10;WO+vF2/vo/s1pnODuHX1Y/pWpeSPK0d7fgl2OLe0Xkr+Hc/yqK90to9OS7v8NcmaIIo5EY3rwPf3&#10;rpio0I3erZdklfqamm6SVk+33wH2g/6tByIl9Pc+prVGFdiWAAzyaeVbHJ5z2rM1XU009fKSPz7m&#10;X/Vw+v19BXJedaRCbZh63e2enXQv9JvbcajI2w24kGyf/e9PrXHXOqtrmqWZWZGvmeRZRI4URcdP&#10;ZR+tdRFoxUM8VnDNeTt80hTCR++PQelGo+ErNLvSo4CI7tnlY3AUZYhe49O2K7VOFFW69y9abv1N&#10;3Q4NK0e22pfWz3DjMkpkGWP9BitoSJKheNgwYDDA5rntGWzumms7zT7eO/twPMQJwwPRh6gir+p6&#10;jbaLaeWigykbYoV/zwK4p89SduotZSGavrEWlQ7mXfM/EcQPLH39B71xBN3qmob2Jnu5Txjoo/oo&#10;/WgNearflR++uperdgP6AfrXbaPosWlwDHzzsfnkPVj6ewrpssPC27N/dpL+8RWfheyTSzb3CiaW&#10;T78hHOfb0FcfqukzeHbhJIzIRvzDOD1/2W9/evSHlRFALDjOa4bxNra6mG02Ab4T/rWX27A+vvWV&#10;Oc5ys9jDkc9jN1Tx608K21rC8UjcSy9h649TXNK1leSrcXbNHAh27APmnPYCpJtNjQwx3zypZciG&#10;ZV+Z2/uf/X713PhzwjHbwpdagFeY8xx44jHp9a6pOFKOhyum5T94r6CvmvPc3MW+S3QeTEvKonsP&#10;X1p1tNOJJtUs4QF/5b269HH94ehFQa9LHp+quLIyxyIm+TPCMO4rCbxFNd272tspjt87ndT8z5PC&#10;1z+y9p7z2LnNQ9S3JOl9p893B80b3mVP4iu2RxIm6QjA7VxWnaGZNUtY71HSG5UsIVYqAy8gn3rq&#10;m8L26zAx3F3Ep64lPWubEU4S0TLoNpcxJfuP7Muti/8ALJuTWTosu/Xo1Iztsicn6rV6/wDD832K&#10;dJNauEgKkMWwcDvWBHpr27Pd3F/chCgjiRRtdh+HrSpUVGm43CrN86Z0l7f2lhLunlRFZsAZ5OPQ&#10;d6pS2N3r7o5jmtLJCzA4+eTIxx6CnaR4cjjlW9uIf32fl3ncVH49/eusQcEDGBWHuUnaO5s25rUp&#10;2WmQ2doIY49iBQFUVU2KvjeP5cbNPY/m6/4Vp3l7BYWjTztwMYUdWPoK5vTbq5uvG4mucL5liwEX&#10;9xQ4xk+vNaUoybcmZSajojpri1ivbe4tplDRyoVYeoNc/wCHLRLK7uba5dpL23wInfq0P8JH9feu&#10;nXbuf1xzWLr8Jtlh1mAEzWh/eAfxxH7w/Dr+FXSbd0Skr3NndtAwOK53WdOitreXVbNVhuYVLsB9&#10;2RR1BH0p3iK7huxpdit2YoL6Q72ibDFdpOM9s8U288M79PltbHULmFHQoVd96kY96I0nHVstSVzT&#10;s44E0xGgQJGybgB2zzVKXT4YpLi92CaYjKq3qB2qC31GSz8uw1KHyJQAscn8En4+vtSJp1/HfmVr&#10;1p4JgVkjbgIO23+VcU4OE227L8zdSurI5/TPHc+raxHp81jEsZOC2c4bHT0rc0+VYdTu9PVB9nfL&#10;EAHqf0/Cq19oulaWn2mxs1N0mdvl87TjqRTdEnsILWW4MqtNtzIyxsMe1bz5HHmgrL9RQfvalO5k&#10;ayvbbSZMlVl327eqen1FbPh75YL1hxmZs81krZS6zeRzG7N1CSRuVQhgPYiohDqGnX32BNSLJMSx&#10;ZkXIzVcqcOS+vUys/ac51qXEDBf38ffIDiuE1KaP/hK9Ubem3yFA5HNaw0WWzuEKtaXbvk+TKuxm&#10;HsRWLcaJe3OvXgTR4w0sWVUzDgZFGFpRhNu/Qqu3KKVj0SyurYWEe6eNR5a5y444ocg2jurZUITk&#10;HrxXO2z6Kn+j39iLSRVAImXAJx2PQ1fuNX0q10ySKO9t8CMhUVwe3pXFKg3UXKmap2g1c5rRw32j&#10;RFboWz/44a7CeaGxgknkkSKNeSzHAFcJp+ph30r7FC91Lbj94EGAp2Eck+9a9ro1z4muxNqUhezj&#10;bO1eEY+g9R6mvQrYfmknLZHJh58kWkXCH8XJFHbq8WnI4d7jGDJjsntz1rq7ezhsbVba3jWOJBgI&#10;KlhhSCKOKJAkaLhVAwAKewABJxwCc56VhOTT5YbG67s5HVdAZL5NTtYrc/ZoiwjkBwrDJDDHf/61&#10;QSeIk1i18uC4WC1RQbqQNyxI+4vt6mrV9qy6gs0aSmLTY+Jpc4Mx/ur7VQHh6XU7ZrwWsUTIALS3&#10;PyAejNjv/KuynFKK5znk7u0TRsNBttVjhudQtVS1j/1Fuw5/3n/oKS68LLABPpEvkSx5Kowyp9qy&#10;bVNet71khQfbYxykkpxIp+vbPpXXzKJNIcXjmImP966PjHrg0pylzrlehcYpIwra2N3FMmsactuY&#10;l3GdDtV/WuXmnhj1S3P2YwabCzeSMZMzE8fn2qS7ubyBibjUbg6Xk+SZV3FvQHv9K0dM0641CBLy&#10;4hivI2/1UbNtwOxPvXTZQV7mV3J2R0Wj6U7t9vvlHnH/AFUXaJf8a3mwIjj04rG0OC8ghnFxxEXz&#10;Gm7cUHpnvVzUdQh0+0LOd8jcJGOrGuCV5Ssa2UUOvbyKyhDyZLMAEQdXPoKwJjK1ys03768l4iiH&#10;RB/nvQ0kzzpI4869lGI4x0Qf0HvW1ZaatmfNlbzbl/vue3sKrlVONyFeq/IdpumfYw00rB7px87+&#10;nsPasmJjd+O5ZIFLR21qYp5O24nIUV0rnCsR1xXDaZqp0qe/03AOpyTvLz02no34DtShJz5rblu0&#10;Ebuv6zHplu4VlMxH4J7n/CuJtYdU1h3mVntbV2JklY/vJf8AAVcvzvu7diktzDHIWupEXPzY4z+P&#10;amm+FvGYoL8oq52rJAfXpnFdMIxily7nPOUpbD5NOuLZw+kXs1q/8WWLK59xVuz8R69bTG1u1tZy&#10;ZREtwAVVSRxkDr6VQhv7G5y1zqBd848mDOBWzY6fJqk0KQ2zW2nxSLKWkGGlIORx9RVuTS98VJzG&#10;3cl5cxlZPEQTk7lhCqPpVHyYvsrWy3NqVJ3b8AvkdCT35rufsVnjBt4iM/3BUf8AZlixybWInn+G&#10;sfbX0NnTl3ML4TyPJ4j8UGQKHEVmDtbI6zdPavVK8+8DwR23jzxbFEioghscBRjtNXoNe3T+BE2t&#10;ocL8Sxui8MDJGdci6f8AXKaqWu66dPC2VriW9ccZ6Rj+8f8ADvUvxXkmi0zw/JAyiZdZjKFugPkz&#10;Vy9pp9xqc0kNu7li266u265/+K/lWVWjCUlOeyMas5R92O7KuhQ3d9qmpxQzO0rzgT3T9VXaMBff&#10;r9K37201axAt9IiIgWMbGXBy+47ixPtS6fZwaJ4mayhXbDdwLIme7pw34kYrqVICEtgYzyfSuKvX&#10;TlZLTodME+VJ9DgLm+8Q+bpMgjla2W7YSsGwW5IAPsBW7falLqYkgt2MVqhxNNnG7HVQf60zVdTN&#10;/mC2by7FDiafpv8AYf1NPs7Q6lFHiPy9NTAVMYMv19q0hBQj7Se5qo2tJjdMsjqaICpi02P7qjgy&#10;49fb+ddSqrGiqi7VHAA7VXhULGqgYA6AdqdJMsMLSSOFVeST2rhq1pVZWQr31JZJERDI7BUUZJJ6&#10;Vy2o6kt+TJIzJpyHhR96c/4fzpL3UBfr5sxZLBT8kY+9M309Par+l6WXnW+vVxIB+5h6iIf41vGC&#10;pLmnuNWS1E0vSjNcLf30YVwP3MHaMdj9a3Tgjn1pG5zxVK8vorG3EkmSxO1EHJY+grBzlVlZEslv&#10;b2GxiaWU8dFUclj6Aetc1eyzvKlxeLmcti3tRzt/+v6mmTXsy6gtxcp5t03EFunIT6e/qa2dL0to&#10;ZGvb1hLeP1PaMf3RXbBRoR13Kty69Q0zSnhZby+IkvG7ZyIx6L/jR4iGNNT/AK+Iv/Q1rXYDI56V&#10;zfjDVI7bT44I2VrqSaPy0J77x19BXMk6kiXe5L4ou57LT4J1lkhtRMBdSxLlkjwckfjiuAvb3V5E&#10;FzZPdOzuw37PneDHysfxzXbXUr3tgNIkl+03N0GWTZ91FYHP4Dt61t2cAtoIouD5aBM/TArq5o0V&#10;YLW2OP8ACEutjU7lL8yvEIAxDLgLJxwPeuku8nV9MbGQhl/9BrRHzZNZup6glp5ccSCW8bPlx+nq&#10;T6D3rilL2tTRD1bM/wASubSS31DTxv1SLISIf8tU7q3t3+tc758msTI9u32i7uQCzHoo759APSte&#10;Ay207Hd9o1GbBZ26IO2fQe1RxW7eFL2S7ETyWd0AbltvMb/3v90+ldalCkrbyNOZU3pudBoukQaX&#10;bhRh5X5kkI5Y+n0rSeTEZ6ZzkVUhkFxGsvmL5bDI2nj864jxX4t8hjp9iXMbk7nQ88dQp/rXNFSq&#10;TIV5S1L2u+IhLCdPsXCjkTzd/cD/ABrG063ijRbu6ylqPlVFHzTHsoFR6baxS2qaleROtgpwkar8&#10;0pPQCuz0zTDLOmoajEiy7cQQj7sCe3v611ycaasbTmqceSBDp+grfyPcatAhZ0xFbj7sS+3v70+b&#10;StU0nD2F6txAo+W3uf4R7NW0rEW+9iuEyck4AFcV4h8UyakxtrMOtqvEjjrIfQe1ZxjKo/IxjTc2&#10;c14v1i7v4N/9m+SAcSSxPv3egHtVnwHYRfb7e5nMbvNGxEY6Iw7kfSur0Tw7sWK9vU3KBlIT0T3P&#10;vWJ4s0Z9A1C317TTttw485V/hJ6H6etaVJJp046Gc6cVO50XiQ/ZW0/UFHENwAx/2Twa1p7pIbZ5&#10;pZAseM5rFudRtdc8J3BlcIduGyfuuORWNY3rarYw3V2xITCJbD++O5Hqa4Y0dNVsOdRJeZenv5r1&#10;lnuFIgU/uou7nscdz7VpaXpsjTm9vvnucHYnaP6e9WNL0tvMFzdgNP8AwIOkY9PrWoE+c4rKrUXw&#10;xCMG/eZj6prCafdw2/kTTTTkkLCM8L1pp8T6YkEjO7xSAf6uRCrEnoOfeoogNU8TLdQ/6ixDx+Ye&#10;ju3BA9gBWzc2sV0DHNDHKvo6g1XJCKV0Nz00OR1HU1gxe30iyTMdsFujbsH6Dv61o+FtLvPtdzrG&#10;pqVmuEEcMX9yMHJGPetu30XTLaQSw2UCSA8ELkj6Z6UXWq2dqZmeYfugC4HJGTgVs3ZWijFR15mX&#10;MDL+vPSmGJZImjcZV02n3BGD/OqCa/pouLmFpiPKVyzFSBhcE4PtkVZ0++gv7bzraQOmSpx1BHas&#10;lGUdWUmcKulyfa7nREVpLtHzFKx4jj6o2fb9cGumt9XuNNCwaxDt5wLpBlHPv6VLrUZs7m31qFST&#10;b5S4UfxRE/0PP51qq8M8AK7JI3GeeQRVyknHVBTitWQTQ2mpWZSZUlhcdjn8frXJ3Eur22qPocNz&#10;GtqkYkN03Miof4fr71PqENs16U0iaW0Cn9/LC+E+gB4zT9L0f7fcPK0sr2zkF5ZD802O3stNKHLd&#10;6ibd7RI7Hwza6mwKROlqhwZ95DzH6+laknhuSzjY6VduuBzDMdyMPT2rokVY4ljjUKijCgdhRkEH&#10;HXFY893Y0irHE6LJDpsd+8o8mWNsSQ7fun2x1HvWXf3dwt/HemOMswDZRWIRc9TW/wCJ7aFpEe0z&#10;/abLhQhwGXvv9qhg1vT2tWt7pDDKibJYGUn/APWKJwcPfSvctTTdrlIGTS9RgvppEuBKCN7NgL/u&#10;1oX2lSarqwm+0TQ24tusbY3NnI/Kqcy3usQw2mkW8lvEh/4+HGwAewIyat3EOrafZNHfAX1rsw0k&#10;IKuvuQOo+lZqMm1JbmraKc93LfT2to82Y4si4ldMByPc8VHq+lW0niCyj02GCCZYne5lEYIEZGAP&#10;TPp9KoR3ulTK9tOjXKqpZI4NxUv7g85FaPhLRrm5tZGuWk8mVv3rsfmkA6ID6D1rphFwd2znm7ux&#10;f0vSVvIVt7ZTFpkbHe44M5z/AC966eKLy4xGiBUXgKOwqdI0jhVEUKijCgdAKiuLmG1heWeRY0U8&#10;sxxWTnKpKyHGKiSE464AAzk8fnXKarqv9oLKiymHTIyfNmBwZsD7q+3v3qLWdUvtbnW20u2drHH7&#10;2Vz5fmew77fWmpZan9pgkktLN44AfLi8whA3r/Kqp01HWTIlUvoh+laTLdul1eRCOCM5t7b+6OzM&#10;PX27V0qskS75JFVe5YgViNJrNyGDXNvagjkxKXP61i3mk299q9naXdzcXXyvJIryEA4AAGB2yc/h&#10;VOCnK8noRGcY6I2r/WtLTXdPf7XEwjjlLFDuIztAHH41iXfiO31W6YzNIlpET5UAjbL4/ib19hWv&#10;YaPpmlO72dqke/AJ6mku7u3t4pLiYhEGdzVUXBfCjOdVvQw7LUbWaYXWoJOdhPlQLESF9z71a0bx&#10;DZ24uY/JutguHwBCcAE5/rRq19u0KSe0uNrY+RlPJ56Cp7CBbW1RUDbm+ZixySfUmqk046oKdXl2&#10;NM+K7CK0dwlyWHRfJIzXO3GuWzhp5LhZLyThcg4T2+lbkb4jI9aXZbBCTCm7HXaKUHFdCJ1XJ6lT&#10;T9RFtH5lvY3V1Iw+ecrtz9M9qvnxDLJgW+lXTuOzgIPzNR3N3FbwbpXVFAHU1yWta/qMt1Hb2yyW&#10;8UgyrJjefwPT6VKoqbu0axqyS0Orl8Wx3Fi6W0ey8BKSLIeIcdSTXF6DZXviPxBcXscziCJmQz4+&#10;/nqR/nipLTRzr5i0+1iuIrWOTfd3MoIaVvT612mqJF4f8Jzxaaoh2R7IgOOTx+daLlp+7Ecby1ZJ&#10;BdaRp+2xhuYEKcbN4zn396n1HWNJ06Ui8uYEZh9045rzaSPT7C0EybPNA23McvJc9znrnNb2iaRc&#10;NpqSnS45RISwkmcF2GTjr04qXRjFXbLjU5tEiC91Pw3qGrKsE8VqqEM86fIzn0Fa2j2y6ndNNDqt&#10;zHZplR/pHLn+gqN9EmkOW0S3ZSf7y09fDzO+RoiL67ZQoP5GtJThawk5XvYu/bDZ67Z2tpqZug7E&#10;TRTOGCoB97PY57V0yXEP/PVCP94c1yKaLJEv7vRI8k8lZFzUi6XMjc6O2MHP7wf41zyjF2sUpS7G&#10;54LZX8feLWUgqYLDkfSau+rzb4cReV4x8Vp5BhxDZfITnH+ur0mvcpfAiL3PP/inB9psPDsHmFPM&#10;1qNSw6jMU1VE1e0scaVo9o91LGvzCMgKMcEsx4zVn4ro0umeH41YqW1mMBgeR+5mrI0q3gg1maG1&#10;kYLawKjKgzhjknn16Vx417XKiiLxHf6lFbwXzaNOk9nKJVeNhIGHRlOOnBq22uRa/ZK0Ehh07GZZ&#10;T8pc91HoB3rZKzNkFnOelcmNMitdeFjNn7LcMZ4ouis38S/yOPesKNSEviWxSdnqbVjYLrHlSNF5&#10;WmxEGKLGPN9z/s10hVFGAMDoAKp2UkpRg0PlBWIVSO2eKS8v0tLd5ZyqqpByeAfp70VJuo7F6tll&#10;pYoIWkkYIijJJPb3rk9R1b7au+QMtmHxFEPvTH39vapLm/F8kUlyriAt+6tlHzSt6mtCy0uGK4N9&#10;cgtN0RMZWIeg9/enCEaS5pblRst9x2l6U7SLe34HnAfuoh92If41td8VF9ojDY5B9xVa91e3sygP&#10;7yZzhI1+8f8A61c871ZeZLJdQ1CHT4S7/M5+VIx95m9BXNtcOJxc3I86/kOIYE/gHt/U1K8ivfl2&#10;zPqEn3UA4iX+g9609O02K2DTOTJcsfmcjgD0HtXUoRox03C9iPR9KFpI1zcESXkgy7dlHovtWwpB&#10;BqP92HIJ/Ws6+1NILj7Jb/NcsM+oQerelYRjKtIV3cl1TUxaFLe3AlvJPuR9h7t6CuO1e3XCW6P9&#10;o1KaaPzJmGVT5hjI7D2rTgRmupILWQy3bf6+4fonp/8AWFW5NMisNPRVO6QTI7uxyXYMD1+tdD5a&#10;MeVbjfumlpmmQaZBsjJeRyN7nq31/wAKuLySe1RiVeOVyT0z0qhf6zHa3ItYAJLh+oHRR6n2rj9n&#10;OpII66Idqeo/Y/8ARrZPNu5PuJnhR/eb0ArJCPbv5MGLrVJ+ZJG6IPU+gHYd8UkTAzSQWcvnXkgL&#10;T3LDIT0z6ewrRtLVNMQbdshc/O+csx+tbtxoR03KemiJLPTxYwHOGdmBkkP3mPvVm7ZPs0nmgFGA&#10;DZ6Go1mE28PJGqAfMSf0rnruVtXt3H2opYqfnccGTHYHsP51z04yqz5mJ9jndQurqyinTTXlOiq3&#10;zsvJQ85C+q1UaxY2Vpq9nJb3Mj7444HOByO3qeK6Fkge2ilmHl2iNtgswPmnboOPT2p8Pg1vtP8A&#10;akdzHb3TPkQlcxoCBxj19xXepKCE5uK5URaF5i6pplvmcqkDLLDIOFPGDjFdlceVCI5G2ov8RJ9u&#10;9ZUl/caRAPPthOoGXlhPQfQ81hatr1rr0UcMdwYYwc+S3yvIe3B7e1ZqDqSu9hRjfToR6zrz6jM1&#10;tallss444Mp9vatTw/4b8km8vQPNC5jiPRB6/WpNF0CC2KXt0yySKcxx54Qf4100iLNtONo9jyau&#10;pVjD3YmspqKUYjhcRiFQOeOgrM1eGzk0i5+3ELbuuNuf881duJLaygaVgoUfmT7VyN80+tX4RmP/&#10;AEzgH8PufU/yrOlBylzPYhQbeux59YXNxFq5tW8yRS21Ih1YjocfSu0tdOn8P3iatcqJI5TidFGf&#10;JP8AeH9agvtFPh/xDa6k7LI0w2syDhG9PoRXT217Z6kJLd0ZHZTmNyBuB9PWqxFTpDYxVNKbZqwT&#10;JJtZDlWAII6EVW1rUY9L0q6uZJMMI2CepOKzNKuotI8zTbklpIhugGeXjJ4A9x0rPv7ae9iuJJyZ&#10;LiSIrHEnIhB/r6muOnTXPzMudTSyOj0mBLPR7WED+AFj6seSfzq6DkEn1qtpzRTafaP/AHokb9BW&#10;gIV2N3zVzXvErYjfmJhk/Wuan8OzRWs1pbzq8csqOS4w3Dhjk9+BXWGNNgyKzbzXNKsLvyLm5Mcm&#10;MlcHp3P6ikm1LQVkc0/hi/nN9GfLKlZzCc8uZHDEH04XH41t+HrCex09/tJCzzyPNIAchS3QVHa+&#10;J7S5uJAm3yvtKQKScE5XJP05rfUQtGpJByAc06kpWswiuxCyqylX+ZWBDKe49K5G+F1o7CxM+zS5&#10;nJWbvEeuw+gPY12TBCuOuKqXllbX1k9rdIGhlBVgTUU2krMEjntP0z+0I9wUx2Kj5VPBl/8Arfzr&#10;qI4giqiAKq4AAqnogMVu9hdyq1xbDbuX+NP4T+Va37sZBYZ9KmV72KjFJXEOcVl6nqgsgIIAJLuQ&#10;fKnoPU+1T6jqkUAaG3ZXuSOBnhfcmsK3tnuJJY7eTfct/rrh+QP89hVRgkrkSnrZFeC3nkvPIgfz&#10;Ltxummbovv8A4CumtLCCxh2Iu58ZaRuSx9TT7HTrbTLcRwksxGXcnlz6mrJMeSC2OOtNyb0Q4Qtq&#10;yNR8i46k1i6nqcskrWNgw83H72XqIx/jU9/qCyxG3sJhu6STY+VB3we5qppVnDKxSEAWbKVeR/vS&#10;Me4/xpxhyu7Kk29ImTBLpCwvFHdAxxAvOkYJkl/HuPWr8PjXSQEtrdJi3y7I1jxkYzkVm2WgXGqX&#10;l5Z3N5ss7HMNu8ChWbI5yfpVlvA2nqhll1CUeW4cyOFGBjHXt0rWShJ2e5KTijrVuAYA4PykZ54r&#10;jYnOr393fXZ3wRTGK3hP3V28Fvck1oajdx6gigXHkWGfvA4eY+g9uKzzpV3YwXOqJIkabt5sc5BX&#10;uc9mqKcVBO25NRuXwmohZnTnjGKsZJzzk8/yp1vBFJHFKsoKMgZT6g1ZMEQiOHGeefwrF76mMYyt&#10;dlAMdzHHt9etYxjurTULi6ghW4WYgkZwycDgZ7f/AF66ERRguN2fWmJFEGI38Zx+lUmkhKLOB1bX&#10;dTeOGS2eSJg8iSRqmdqAkBvqMVFp15q2oSzWs+1/Mh+dXXG3gYP45JrvGhhACDbjvVRo406cs3Qj&#10;vWqmrWSC2hRt9JtoUSQoGlUDJ7E+uKurNBGiiWVEYckucDFY914gtbR2ghKz3HQIpzj61HYzW17q&#10;H/EzSNogBtw3yj6+taRpSkm2FOndmhJqsDLIljHNdOATujT5QfrXMtrHiN7QszW8QeNnHy/Mqjp7&#10;Zr0q2NktsVhKeX0+QDH6Vz2u6jBJavb6XBFczjKFzjZH9TU0mr2sbSpxictaXeyyS5aeGa6SISM9&#10;0clj6KOgxU08K6zqunWaytBbyHzJZTyzSddoNJ/Yd7PHaRxWtm3lyCQsrHn15xTdQsrp7gqbmJDE&#10;doELfKhPYHu3rW1lfcXmd4+q6JokIge7iTaPuqcn8a5vUfEVprtwsMUgisYD5jtIcGUjkAD0qhLp&#10;On6fF5UO2STpJLK52g+/qfao7PS9SmuVkv7OJ7SI5igXbHuI7tz0rGNOEbsn2nNp0Og0zRTrUw1C&#10;+iCWYbdDCRgv/tNXYFVU7QAAFAAHQVzh1rUFj2rpR4HAEq4/nUi63f7jv0mTdjtKv+Nc9SMp7M6K&#10;bhFG/gBc5HWpIyvPSud/tq5LY/su46/3l/xqcavOG/5Bdx2/iX/GsvYyXU09pCxtBgOg70LIucH1&#10;rFOr3BJA064yCc8rjH51h65qVxKsTJFLEEYkozhQ/bqDmnGhMXtInT+CmDePvFxBz+5sf5TV31eV&#10;/CaXz/EXieTyZYSYrIFJG3HI87v3FeqV9DSVoJGL3PP/AIqQG6sPD0AkaPzNajXevJXMM3Sk06wT&#10;S4HgiXcpbdvP3mPue9SfE90itfDjuwVE1uJiSeABDNXOnxlHlZ5LCSPTmcKJySGAPAbb6HrXBj4y&#10;k0kCZ1Yk2Y6cn6H8Ko6rYR6paeWSY50bfFMv3o27EfyrnPFcL3F/pMsEztHOTBG0chG1jyHwDzjB&#10;rRsdQn067TS9WlBc5+zXBG0TDvnsGFccaMklJP5DuXNN19X0l574iKa2JinX/aHHA9+31rGur2W+&#10;uFuLpG2l/wDRbMdSfVvf+VVbtYh4uvWRWmkIj8uFTkNJt5P5Y5rptM0j7Kxu7orJdydT2Qf3V9q6&#10;7wpLme7N4uyv1JNH04wEXd6Q92w4A6Rj+6P8a2CwC8HvUaIdowcCs/VdTWxVYIE868kP7uMHp7n2&#10;FcspTrTsiUhNV1NbHaka+bdScRRDqfc+grF8q4S5Khhc6lP94/wxj+ij9aI4JorkqmJ9Vm++56Rj&#10;+g9BXQ6dpSWETZYvM/Mkjfeb/Ae1dVoYePdjbsrIZp+nJpyMd++d+ZJG6k/4VcEhHAJznrTigJNY&#10;2oajIsxsbEK1wT+8kJ+WIep9643z1XZE2Hahq0kdwbSyCvdsMsT92JfU+/tWZbK7F7PT2zMTm6vH&#10;GcZ9/X0Haktomu5XsNPOOc3V23Jz6Z7n+VdDa2kNjbiCBAqA592Pqa7OaGHjyrcfkhbWyisLZIbc&#10;AAEbmPLMfUn1rP1yQC3h9ftMRI/4EK12BIGK5jxRehPItYXAuTPGSTyIxuGCf8K5Ic1WegeRav8A&#10;VCMW9nj7S/OMZ8tf7x/wrKQbp3sLVt9wWzcXLDPXv9fQdKbaWdxNO1paM+7f+/uXGduf/ZvauosN&#10;Og0+IRRRgYOSx5Zj6k+tdc6kaKstytI7FfT7Yafb7IEAX7zbvvsfUn1q8zIbfzN4VQDkngD3NNkl&#10;jhDAsMgEn2Hr9K5i9um1G2dp3MGkxsSSTjzzn9FH61yRpSrSu9hdRkt+mp28jGQQ6bDyxb5TcH+i&#10;5/OmM0fkJeXisITgWlkow0rdjj+nYU7ckccd7fwN5eQtlYBfndugYj+Q7Ve0nTJ1upL3UAJb1l+R&#10;FPywKf4Qf5mutzhTVokzd2N0nTmmumvtRIa6I2xxg5WFf7o/qa1SYYIpJJHKorHJLcYqRjDZQST3&#10;DKqgZZjxXPyyLqP/ABMLtXS03hbe3PWZuxI9+wrGClUld7CsLeXaXgWWZdlmDmOLGWlbsSP6VJDo&#10;VvqMjT38COSuI1H/ACzHsRzmtHT9KO4Xt3GpmP3I/wCGIenufU1sFDgY4ArSpV05IaDb92xzFm82&#10;h6lHp90xmtZyRbzNywPXYT6+hrori7itY/MlYAY4HrWL4s+zxaDPLPMsbxESQsezjkVwc/iPVvE0&#10;sMOnQsZ5FADkYSMdyM9T70U6PtEpMFvboa+s68ZrxTNIiMSVjjZsBPc+v9Km0XX9A0y4aGacPcMM&#10;vdFfk/3VNa+h+DbDTraOS9Vb29I+eWX5ufQA9K1JdG0mKZr6Sztw6KSZNvAFaVa0F7iRrKqnpbQ5&#10;Xxbruj3+nw2iX8JWeUbnRuUUck1y1lryWk5u5TNLJHIPs5CEeag4JP1H8qf4rsLa58nWZ7VEhnl8&#10;uGNQEOwdzj19ahu9KuoL63tmkFzNIuLUswwo/wCeZPpjoacIw5LHJOT+Zde4vtX1OO9siJr5TmKN&#10;fuqvdT/Wuv8ADssE9tPgn7dtIuFk4ZT6AemfSuc0O1ksZWk02TN2APtEEmBKPqDwR6EEVfk1C2uL&#10;xXu5Rp98vEd3Hlef7rg9qyq2bSQU4OKvI6Hw68j6FbDCZiLRHPbDEf0rZJcKemPSuM8PapPp+s3G&#10;k6mYVNy/n20sbfJJnqPb1/Ou0dsqxB/Gsa0ZRkVcejny9oXv1rmtaaSTWzOymGC3tJI3ndPkJcrj&#10;64wa6JGwOTzkVIwQ5DAMD1B5qIvldxM5nw1pdpd6Ck1zZwedMMyHZgMQeGx9AOR1rokhCoAuAAOB&#10;ipowMNtAxg0gI2jnsKmcnJlR2IzGcdaiVeMHoTUxIyOary3KRRs7sAq5JY8YAqIISMlcyeLpChOI&#10;7QCTHcknGam1PUTGfslswe5bqeoiX1PvWLZahLILue3H+k3jb2ZukMY4XPuR2qS3tmupWtLNzgN/&#10;pFyR374Pdv5V0SikxSn0RLbwSTk2VmxAHNxcnnB7jPr/ACrpLW3S0hEMChY1Xp3P1pILaCxtFiiQ&#10;Iijknv7n1rNk1yOSRrfTIzezgYJU4RP95un4VjeU9EVCPLqzbABK5Hb9a5/U7wXk8lnYvtRBiacH&#10;p/sj3rntWvr6S4+ztq7BwP3v2cBY0H93J5Jo0fw9dX0LNBqE8FmV+UOQ4k57+34811RoqEbtmcqt&#10;5csTZ0yx+3JGsYMWnxMSCOszf4V0Udugyq5RQOAPSsuwvprSeKx1GJI2bIilThJMdvY+1ad3K8Vp&#10;PLGCXSMsOOtcNSUpSsjphFRQxLGCFpmT5N/zE7sZNcvqNyNSVzLkWkBI8vPMjDufb2rA1TUTcqkU&#10;mtuEaJJHI+YiVuwwR0z+lbjeBphpjsbtprnY5jx8oYuMfMOlddOmoayZjJuTsi5o2kQTn7VczLJd&#10;ABkiSTIhU8fiTWnJp8bxPGRIwb5cFzjFV9D8Mvoc5mikUpJGvnIVOdwycjt3rRubyGyt3muX2AHj&#10;vk+gFL4qnulpJI5uwn+x7NPuZGiuLdQiq7Y3qOFI9eMflWofNlbhsjngfSsq8hS8lS91iASkrttr&#10;XGSue3H8R/StDT/CAhty0t5e28rkt5cUxKxjjCjcDn6+9OcYt7mSTlsWI7YjcRnPcmq7m2t9zTzo&#10;gHdmxUi+GrU7zLf38gzg7rggH24ArM1y20Pw5psl2thFPdZCwpMS5ZjwOueMkZqVCLJ9m11M/VvF&#10;Oj2CqouDK7HAWEZz+PSsP+0NV125jtLO1mQzZ2qvHy+rN2H0ro7XSFjuYprlYr7VpR+7TaAkWPQf&#10;wr7966jS9Ij0+KSR5PMuX5klYdfYDsB6Vq5QprbUcabb1OW0TwDb6cftV0wurojrjCg+wrUtNGd5&#10;N0sMSrjg45NdDc3lvaQGS5mjhjwfmkYCucvfENn5XlW1/EsbjHnHoB3wfepjOrNNs20iZGq6bbyy&#10;PaWTPGS376SKUhV/AdTUum6L9tQ29rH5VhH9+TPMh7gH+dQ215pskbxG8iis0PzPv+aQ+g7/AI10&#10;dvd3tzbCLStP8qBQAstydi49lHJ/SnaSVjG3NK7Li6VAqxKBtEYwoXgYriNSRbHVrm1Lxi5imM6C&#10;Q4Dqw9fauzfStXYB21rD/wB2OAAD8zmsm50C/gvZry7FpqrS4zHImxgB0wDxmiOid2W1cytE8PnW&#10;Wa7vt32df9UFYjc3976CujPheyK9Z+P+m7f41katqkbxW84lu7fT44yrrbrhkkHAU8f0rNubfU3j&#10;+1PJfRsURSEZsEk/eIHoMdKynGT1vYKcYrSx1LeGrQIyq9wobGcSmj/hG7dZDie6GB3mNYljqd5Y&#10;6jdz31zO1nHEApnQxqG4A69ST6UyHxDLqGrQO2oLBHKv/LORSg+oPOe2Kz5Kvc09w6D/AIR2Fhn7&#10;Tdgk/wDPX/61POgqwwLu7GOmJB/hT1vb22/10P2qI8iW3HT2K5z+Wang1W0uJdgl2yf3JAUb9ayl&#10;OpFlqEWjD1rRHh0uSZb682q4Mg3jlc89vSq8nhrT7BBK17LGjnAclWz09RXVztDcWkiFkZGDKcsM&#10;dOhqloLvJpFr5vzMilA3ZgpwD+NVHES5U2SoK5W+GKxr4r8UiG4M6eVZYc/9tq9NrgPBAA8eeLQB&#10;geRY/wApq7+voKLvTTMWrM4H4owRXVr4bgmUPE+txB0PceVNWiYomg8kopjxt244x6Yqj8TGCw+G&#10;WZgqjXIsknAA8qaprq7hsbeS4uJVSJBuJPb0+v0rixzalGxUSjJo2g6Q41J7dIhACykuxVSeu1eg&#10;/AVx3iHVl1NoYJbbzriZiLOx3Y29P3jkdP6Ve1bV/tLR3l4jFWbZZWIOWZ+xb3/kK1tC8MJplvJe&#10;SkT6pMwaZz6dkX0HpWcWoLme499Cbwt4Wj0K2Mk0hudQn+aadzk59BntW8wYdQOtMtbjzkLYcAEj&#10;50KmqeqaqLUra26rLfS/6tM9B3ZvQfz6VztSrzsWtBup6n9ijS3t1869m4ijz0/2j6AVjQRTwXDR&#10;RMLnVZzulmbpGPX2A7Cmpb3EV2YLZvtGoz/PNO3SMep9B6LXS6bpkWn2pRSXkZt0sjfekb1Ndto0&#10;I2W4X6IXTdOi0+IqjGSZ+ZJWHzO3v6D2q9npTBy/XisrUtQmluDp2nEC4x+9lxlYR/VvQVyRUqst&#10;BJDNQ1OR7p9O08j7Rj95LjIhHv6n0FZltAZmawsCRCsmbm7J6t3APdv5VXt7aS4uJLDTnbyFbFxc&#10;rySe4B7k/pXU2lhDbWqQqoVE6IDwP8a6JNUYWjuNtLQS2higi8myhVY07r0HvTjBIQW8xiw5xjip&#10;/MDNtjG7/a7Cqd/dXFshjgaN52PG48IPU1zQpSrSuLXZFXVNVMAW2s9rXTjOT0jHqf8ACuUvYzLN&#10;DZWzyGQ3UZmuiM7SWHJ9T7dhW4+nl28iGQ75CGmuWXoT1J/2j2FS3+mQWFpYQwKV23UfzHkk7hkn&#10;3rqbjRXLDcq6tY1reCDTrRYYxtUHJzyzH1PvU8flpHv3AJ1Yk4wO9KI4oY2kYjCgksx6D39K5a6v&#10;I9WadpZDHosWSWY7ROR2PpH3965oUZVJ3exK7IrXuoR6i8ryuYdFXL56faCOfrtz27/zbcz77eHU&#10;r6Blh37bGyx8zt0DEdz6DsP0eTEIk1XVImW1Vh9hsguXlbPysV9fQdAOT7a2nadKZv7V1jab9srH&#10;EOVt1/ur6nHU/hXTOSprlQ5PWyItG0yY3h1DVtsl7Iv7sD7kK90X+prVuJksYZpJSRGBu39v8+1O&#10;eVYUNzORHFECfm649TXNapevfYubtGS2DAW1tj55W7EjufQdBWVOlzvmewWTZBeXX9pPHcXxZbQM&#10;Bb2o5MrdiR3J9O1bFjp8pkW8vFBmHEcQPES+nufU1FpWnMkovr4A3DDCJn5Yge3v7mrF/r+k6ZEZ&#10;Lu/hjAP3SwLH6Ac06k/s00EmrmwoOBkjFZ2ra/pmlER3NyqzlcpCOXf6DvWJe+M5Wtt2k6XPMDwk&#10;06+UhJ6YB+ZvoBWI2iXF1fQapqz+bq8hGy2h4Tjpk+g9aqnQvrIFZkckF94k1CO+1aJtrEi003PA&#10;H9563vBOnx2cV6rInnpcOjMvQAdh6CtjT9LNkzyzv5l3KMySEfkB6AVV0B0jv9aYlUUXBJOeOlVO&#10;pze5DYUmrG1Pcw2tu8s8ypEoyzMcACuA8QeMrS/QQRF/sZbB2j5pz2A/ur7nrWLr+o3XizXharJJ&#10;HpsTERRIPmmI7/56VuabocFmyRQwrPqD8gsdywj1z2/rWcowhvuYyn0iYUtjrOvTiFkCGbG1CoAi&#10;QdBjrj64roNd0r+zPCcgt1a4uIwrNM33hj+Iew9K6+x06LT7dgu55HOZHI5Y/wBKq6/sTRLxnIAM&#10;TAZPtXLPE3mktjaELasxtJs4PEmk2l1qlqpnI3K6Eq31BHIrL1vQ5BMLWx1CSaY8hJ/nES+u/II+&#10;nNa8F8dP0uwsbdF+2mBAVPSIY+8f8KZZafLPO8Nu5yx/0i5bk57ge/t2rSMnGXM2TUlryo84vNOv&#10;dNufs0wxE7gtOjbl3deOMhuuPSvQtF8Si3to7fUpt8DYWG8b/wBAkx91h69DW9LodjNpz6f5Y8k9&#10;d3c+pPrnvXD3FlfeH3cTRyNEcoZPJ3xzr2JHTPqDjnoa6Pbxq6PclU2lc9GWRNoZSCPbmpN3z5xX&#10;jtxqsiS79KWWytx1MEjqj/7qnIArVsm8ZzRm83ai9uV/d/PHlvflf5iolQS1bIUruyR6nE3yt06G&#10;ozjaMHsK4HS/E+swXLWs2LmfGTa3MfkSn3Vvut9Dg1sXfix1sma30m881Rg/aE8pFPoT3/DP+Eey&#10;7Fo6N3SJS8jhVAyzFsACvOPEPiuLV7g6Zp5ka0V8TzxxFg3faOKztT8SPKjC8jlvbg/dQcQxf8AH&#10;Uj3Jo0W9sNUmisEuFgXkuzkIW9l963pUIxV2jGcmnyxNm1uZruJbfStMvHt1YiaX5VZj3A3Ec10t&#10;t/bQhjt7XS7ayjUYUzT7iv4L1/MVq2dtDaWaQQKixqoACYxVoYwcD0FYTmm7JG0IpLU5DxDbTW1m&#10;rX129/PIcRwAeXED6lQcnqOpNc3qt1f26raR6gI5gMSpCCqxf7PykDNaXjXWRealDYWUuWg5nkU8&#10;IPQccmneG/DZ1R47u7QizBzHETzL7n29q3ppU4XkYVJynPkplHw14GGq7brUZJTadY0BwZD685OK&#10;6e68LmwtpJ9MvJYZYlLKpHy8duMcVraxef2VpMlzAgOwY6ZCe+BWMw1l9He8u5IWgMfmFC2Pl98D&#10;n6ZrGc5zd1ojaEYxXmXrR4tb8MCS9dYnUHc2f9Ww7j0qjpniKe/spGmZVjizAVCkvM397Hv6VyLa&#10;4btEtbRme2aUnbjDSv7jsPQV12i6S2k69b3WoKDNdxlVUdInAyMe+M81Toxpr3nqSqrqS5UieLwB&#10;o1xE8stq8csqcqHPymuniVYLaONOFRQoHpjinmTG/OBx3rktR8SzzXJi0uWHybcH7RPLEzJu/hjG&#10;OpPtnFYLnqSNtIHR317DY2ZuJzhFwAB1Y9gPc1y9zNM8q3l7GTMSBb2qnO0nt/vevpUVrrB1Bzc3&#10;8RW/ifyo7FDuKORxj1JHft+dOuNPvrvVorJpfKnkj82eaNvmijyB5cfuT1atoQS3M5NzZKL5NNu4&#10;w8X9oa3MnyW0RGIV9M9APU1baHxRqiiOWe002F/vCDMsmPYkAD681q6dotjpURjs7dYg3LtklmPu&#10;x5P40alqEWnxqix+dcycRQqeWPv6D1NYc952ibRSjE5u/wBE0mxhBne8vbqQ7YUa7fLt+BwAOp4r&#10;mr/RbmN44W1RZZpGV3jnyQiKc/fzwn8+K6JPtbagyoEu9XmTLu/EUEZP8uwA5Jya1LHwlZLdS3uo&#10;L9tvZGBZ5VO0EdAF6DFdEZci1MVeTKWl6xoelo3+nfart+ZpY42kZz6AKOg9O1F/4l1GSPZpei3h&#10;EnH2iaEhUHrt6n9K66KNERVQBVHGAAKq3dxDaW0t1cSCOGJcszZwKhNN3SNNkcS1nb3CpNqVnqF9&#10;c9d8kDgL/uqOBVS61LRbZlguVnhyPlR/NFblz4+0NLCR7eczTj5UgCkM5PTjHSsjw/pUf2SW71GA&#10;S3c7MSZFB2qTwMemK1bSj72hg/USzh0Vc3EFtcKx/wCWiRy8++RWg89ikLMZbtABklmmAqmLW60S&#10;5N7pRaayJ/f2YY4A7sg9farbai/i24e3g8xNGhAMhZGQzN/dOew9qStJ67Euz6lZ759QiKaK9zO+&#10;Bm4M7rEn4nr+ANSDSNY2J9p12QuOm0E4z78fqK30SKCFI4VVI1UbVUYAHtQ+CRmsfa20SJ52cZrO&#10;k63b29xNFfC8gkUeeoTy3IH8XGQSKgW6vTALyK/uSjDIgZmGR7N613IVHB3DIxzTPDI2pf2ROVgm&#10;+QeitzTlVfLd9B07zdrnD31xbXWmzSRX915rYOyRySGHYjpXVR2NvaWsdukce0IMrt6+tWPEWiST&#10;w3FxY8ySIRNCDgSjHX2Iqjot3LdaekN2DFfxLskjbhh6N9CKlSU46MqpTlEYthNaxsdOnmhXvbow&#10;2n0xnhaie+trvbBfXc9vKMborhU4P1IwfqKxtWl1SO6uYLbUhhSoXeFXO4HoccHjvXQaMbpYpo9S&#10;hZ2d96l2DjbgDH6VUo2V2Zxm4rVkENrozv8AJqgyD91GjI/EAVeF5tYCLWyFHA5jGP8Ax2n3Gk2j&#10;L5lmi2tyOUkhG3n3A6itPRbp9QsEkmiUTo7RzKAMK44P+P41nUaUbpG1O8tmM+HT+Z4y8Vt9oNx+&#10;5sv3mBz/AK70r0iuA8EAL498XADH7mx7Y7TV39e5Rt7NWKas7HmfxqTzfDOkR/LltVVQW6Z8mbFc&#10;zLcXd1b2ltcq81xGqi3tQOcgf6x/fuey9Otdh8Vo5ptN8Px2zIsz6zGEZwSoPkzdcVyTXeoeHdO1&#10;KTVNHme6MbYv7fEidDtGOGUA49cd658Tuu4Jlrwbon2rUX1y8YTyKWhtj/CFHDMo9CRwfTmu9AAQ&#10;A56msrQLdbPRLGJeSkCDC9+BzSavq5tttnZgS30nKg9Iwf429vT1/l5j9pVqNGqW1huraz9iZba0&#10;CzX8gyqnogP8Teg9PWsa3hnS5e2tH83UZjuuLmQcRj1P9Fp0FrILhrSycy37nN1duM+X9exb0Xt1&#10;rpdP02DT7cRQAkk7mdj8zn1J9a67xoRstyr20DTNOi062CRZd2O6SRvvOfUmrpzt96YG2DB+9n7v&#10;esXUNRmvJ3sLKURlP9fMOfKHcf738q51GdZ6kLyE1PVXaZrHTuZRxLOBlYR/VvbtVC2ik1BPsOnF&#10;orRSRcXR+87dwD3J7mktx9rH2TT0kh06M4muB96U9wD39zXRWkCW1t5cMYjiX7i+lbznGiuSG5V9&#10;BlhBDaWywQoI0TgKPX1pysZss5OA2NvSvN77W9RgaSKXUmVmlLGaCTIA52r0GD6iujm1C/Gi+YbJ&#10;1YwBjKZQCTtznbWXsJze5Cd2a9/qkkMi2lmubhx9/HyxL6n1PtWTHHePcG1txNI+d015IOB9PU/y&#10;rh49V1SSbzVubkzLEPlBONmwknH1713HhCa5+wXLLcvNbiUGKSVi2RgZ5z0zmuy0aMLIrms7I6eB&#10;Ilso4Y24UDq2Wz6k1T1BlaK281gpS4jyTxgg9T7VPvRVWQuAqZLvnAx1xXG6/rUF55EspWLTBOnz&#10;ScGUg53Y7L9etclKDqSv0BamtqV7/aTuZrjydLgbcw6GYjoSey+3eqk80C28ep6rEUso/wDjy09V&#10;y0jfwkr3PovQDk+1SfU9NghfUbuWApCA0FgrBnbHRmXOc+npVPRNautUvv7V/se71G8OVj3bUhtx&#10;nopJ5bHUge1dcpKCsg2Wh1OlafeXd2dW1NR9rKkRR5ytsvcL/tHu1a88ttYWrXNxIiJGCWkcgYH9&#10;B9K5+a+8VpBJcyxaNY20YyTLI8pH4jA9sVg3Nhe63bJceJ76SeJpP9H063XyxIf9pc5J79cD+XPC&#10;k5vmk9AV3tsQ6r44iuZGltY3uyrf6NbKhZS3TdJjqcchQeP5WtMtfEWtomqTPb2crAqPMhZmRc9U&#10;U8DPcmul8PeHotNTzpY0SYrhI4/uQr6Lx+BNbb7dpBx0Bq6lRL3YDdlocsPCf2shtT1bULwd0Mvl&#10;J/3yuKV9L0Hw/F58WnwLJnC4QNI7dgM85rT1LVbbSbQzXEigdFUEAsfQZrzbUvHenrctcsWvbrlY&#10;o4R8kfsCf1NTSoym+ZiSXU617meWeOedfOvHBEEAPyxDufw7k/hW9YWEdqDNPJ5lzIPnk9fYDsK8&#10;80XxxbRTL9p0u9+0TD5pvlOfYDPA9BXoGmapaanAJbWQNg4dSCGU+hHaqxE5LSOw20aDEE8HA757&#10;V5RrOtyW95qEcbtJFdz/ALm2hOHnPT5j2TP512/i3XV0TRpxvzdTKUgQfeJx149K4Twjpr3M7XCq&#10;sl790yMMrCO5+voKiklCPPIym76RNDQtJuYLhmfbLqtwPnAGI7ZPTFd/YWUemwFFy0j/ADSSN1Y1&#10;Fp+nW+nweXFkseXlb7zH1NXl3Y5/Agda83EV3UnoaU6XLqwYlyOtcV4wvZNQ1C00O0kRsMJrk9Qq&#10;joD+PatDxN4lXSrSWK2xJcjg7edp/wAawPCmhT3Pmy3Dvvnffc3BbJb0RT7d63w9Br35Cq1Pso1t&#10;OsmvHMNsxC5zPcnkk+g9/wCVdVa20VtbrBECqLxz1p1paxW0awwRBY14AUcCpCyRK7OQqKMkn+dF&#10;RSb0HBJK7FJVULuwCjqSegx3rltT1D+1N4VhHp0Y+ZzwZiOv/APX1/nU1fXxqTmFJNmnocklgDLj&#10;1/2f51e0rS21RUuLxdtmvMNuVxvI6Mw9OOB+dEKbjqzKdRyfLENN0s6oYrq7TZZIQYIWGDJjoze3&#10;oDXUFQEAAHtj0o25wexwaUqTKe7VjUlJuxrTgoooajpNrq8AiuI8svKsBytcvf6VbB/scE8s8ijE&#10;krs7CEegJz83t279q3dS1NmeaxsCDLg+bN/DGPQH+9/KsSCzN3A8Fu/lWUQLT3JPJI5Kj1PXJrpo&#10;qa0uZ1J62iUbbSbLUPktbW2a3ibbLM6Bmdh1AP8ANvwrQfQtLlQRyWMDJ/ucipvDcBh8NWiKMIVL&#10;LnqQSTz68Vcz8pOM81UpNaJnLJ2ZjL4bFox/svUr2zHUIsm9PyNPmXxQ0MkCavbMrjbvNvhwPbBr&#10;YByuQORTiQeo60Rm1qT7SVtzk9J8FRQSPJqVy9w7nO1CUUn3wcmuhSCfS/3mmMQgPz28rEo/0J+6&#10;f09quKVwTwMdqds3g/MDxxzTnNz3FGbTuhI7+38Q6TeQIzQOAY5FkHKN/L8a5m8v5riGGx3iWOIC&#10;OKOI/wCuYdzVDxFFJYa/b3EaTPHdr5MkcPJcjoMd66XwZb2k6T37I4vAxjMcq7WhA7AHpn1ramow&#10;jzPU2k51bKOw3S/B89lNHq6TxpqvJZWXMYXH3T7+9P1bXI5dOlt7pPJ1WCQGKCLMjFxyCoHJB9a6&#10;1XACgHpVS9ubXT4mu7naNo+Xj5ifQe9c7qOpU2OmMY04aHL2trFqlhJruuSvHJMoWOG2mddgHGzg&#10;8knrUkMKQrATahCPltLKIZ2Z7/X1Pb9ayrO6nn154YoQJbti9qrHMcB/iOPXHPFdfFol9pk3221u&#10;VvZioV0ulCnb/sMo+X6H8a3UGny7GPN7Re6Q/wDCJxNIdQkuZYNVZQPOgbAQdlAPDD6g/hU+l6LL&#10;ZXtxf3d693cygR7mQKEQdgBUjatfSDy4dEu/O6ZmZFjH/AgTn8BUR/4SbDMo0lcH7v7xsfjx/Kko&#10;yldXNlZbE+q6kthGiIpkuZFxFEO/uT2HvXLalqbaSSwja/1efCiNe2eij0HXj6nsTViSz8SWhkf+&#10;z4Li8m/5eVuRtA7cMAQB6DPJq1YeDZExd3t9NHe4PywMMLnGSSwJLHuePQAAAVMKcYXbZD5pEWj6&#10;pbaTbyeda373kzGS5m+zn5nPYew6Aegq/F4ssWPEd3/4DNwKP+EWL5/4nF91PXyz/wCy1GvhdkY7&#10;dUuOO+yM/wDstJ2epN5p2RLL4t0m0tzPdNPDCpwXkt3UfniudazvvERa81eWVLNn3W9imFBUHgye&#10;ueuOlJrelXUWq6dC1w1/Bbg3c0MkarnBwuMDk8k8+nvW7FJHdxebDIHRl3Ag9qq6hHQic3sQx29s&#10;ka+XbQqRyNsYFEeGDEnknnNWvKCrj2NQBDknI5ArB3e5mhlvsVmH15q2JBsKEgZz3xmsjUgy6fPI&#10;krxOilgykDn/AD7ViRW2oXWpOiXbyJHAeJTgruHUY61cYXW5PU7Fx8mchsjqKDgL+FQWNvPBp8MU&#10;zJuVcZU5BH40/aynacn3rO2odRU7/SqOlala2XiHVIbqZYvMRGUvwDjNXl4Jx1xVDUdNe4mS6tJB&#10;FdoMAkfK4/utjtTt0Y6cuV3NqTW9LyCNRtv+/gFZ2pf2BqjEy39usqr8s0c4V0+hz+nSsaz1C6Oq&#10;HTrmC2t7o8okszYkH+yQuK3msNSDsxtrLoOPOb/4io9koO51qpKXQ5P7Lbx3KafPqcMnnSqyXSsH&#10;MuDkKfm+Vh+XWuuaDccgZbjnFV7nS727t2hlsLN4nGCDM3/xFYM8epaXcfZrbVLSN+ALe8uvM+nO&#10;0H9a3dp7MxlTk+h0yOAjljtVSfvccgVW8N3UBjvbozxrHcXLPErMAdoAXP44rm0nub6IPqM8E8Rk&#10;eMRQSMkblRkg/KSfpmuhtrKWeCKWPSbQxyRhlHmjpjjgrSmuWNmOmpRexreCJEk8eeLWjdXXybHl&#10;SCP+W1egV5x8O4mh8Z+K42gSEiGy+RDwP9dXo9evRt7NWNG7nCfEziHwyf8AqORf+ipqp+I3T/hG&#10;dRWRdwMDJhec5GB+pqf4qyvDYeHZY4zK661GRGDgt+5mqm+oafq2j3BabZHt2yB/laIgdDnkEVx4&#10;xP2kWhFay14/2DpltZBXvZLZD83KxDaBub/Clt4JNzWNi5kvGbN1eOMmP6+reg7VgeDBJcaVBBYu&#10;oZyxuLvAwnzHGPVsflXoVjb2mnWKxwABcnJzksT1JNZynGle25srWVh+n6fb6farDAnA5YnlmPqT&#10;3qRmZ3ZEO0L94jt7U9JUfAUjPofSucvdRlv72SzsZNlsDi4uwcYx1Vff1NZUoupIT3Jry/kuJWsN&#10;NJG3/j5uc/c9VB/vfoKpW9sdSjFpZRNFp0bYlmB5mPcA+nqaSytPt7iC3Vo9JThmXrOe+P8AZ9+9&#10;dRC1vHEscO1UX5QoGAK6atSNJWiC7DVhjgthDEipGq4VQOBVOfTFlHnNd3a5GdqTso/AA8VoZBbG&#10;OPesu4v7Zb42cO4yBT5pX7qfX/CuSknUkO19Dz43Nj9sjV7KUwSSAT4nctuJIUgA8nirlxcWiMoE&#10;d6y4Yt5skq5ABPHNUr6fSF11IrBLiS4tz8/2bLnr09M+/atu707WPEDQH7LHpsCBlzI3mSMCOeBx&#10;XfKcKasTsrIw4yzxrbiyh+1biDIZHZNuzfjk5zitO0a5RI5tN0JI3Eas9xcSFIlyMnA5JrbXw/pN&#10;ppqwSRO8URMjPI5yDjklv6VRnnGoxGe4YQaXEAI4sf670JHp6CsYfvHdLQFG7Mee31TW7W4n1fWJ&#10;F037qLbjyVf37nGfXrVW48MWVlb2+qajHPcb5kEVtK7SNIM9x6n07V0bN5SRajqsZC5xZ2KjLE9i&#10;R3J/SlfTp3vbHVNSJa6kuUVIVb5YUP8ACPf1NVOso+7Ep2WiLWieGoUD3d9Z2yyyqVW3RBshQ/w8&#10;dSe5rfhWx0iyOBHb20XO1VCj8AO+e1OuLqDT7KS4uG2xoc5xyT0wB61zF3LNcXMd7exODu/0SyHJ&#10;DdifVv5VjTpSm+eb0HFX06Fi8la5b7VfBjGr7bW0QcsT0J/2v5Vo6TpbQn7Zessl43TH3Yh/dX+p&#10;7mq0XkaNC99q92iTScYzkIP7iDuf1PtVeSfVNcXy7ZJNNsCfmmb/AF0i9DtH8P1qata/ux0XcG+i&#10;Ld7rrtcvYaTEtxdrxJIf9VB/vEdT6KOa5rxJaX1ppbXLape3F/IwVI45TGvvtVcDj3qHUNcbRtQO&#10;h+HLOF5403OXJPJ7e5781jaldeIYrmaLUDHc3dxGFjMCnbCvoPrz9c9aqCd7rRGc5dEYWm6NceIG&#10;KXF1NPefwpcMz7VPfrgAV6Ho3gnS9KijYWyS3A4aaRc5P07Ve8L6IulaVF5iAXUihpm9TWyYj2Pe&#10;ubEYyTfLEuEDO1HRrfUbE20qAYBKsByp9a4bUpNU0O4CSRSNeKuIbq1JDSL23DBBA9/zr0HUdQXT&#10;0SNFMty4OyMfzPoBWFDaT3dy4D752P764P8AB7LRQrTiryFUttE4ldRurtpppLHUL3UnXy3maLcs&#10;YPYDgCvQfBulzaboKJPHsmdi7BuuD6+9bFjYwWNsIoUwM5z3PuauKCq8j3wKyr4v2i5UioU+XVib&#10;QCPesbX9di062ljikVXUfvJDjEf5d6o+JvF1ro8ZtIZt12/BVPmIz6D1rnNG0m51vF7qxMVjGxZU&#10;ZsA/U9z71dHD8vvSJqVL6IytP06Q6kdTeSdorhjtgLfvJm9M+nvXTLb3D4/tG0klH8MEdxsiQegX&#10;v+NW7XTLXWNQuboCQWkQWK2aJygOPvYx2zirzeHbHOBJdqev/Hw+f510zrx+EhxnujLjtSDmCy1C&#10;EdvKvio/LNK9n54ZLm21WdGGCj3wwfqN3NZeoLcW088Ub3hiWYhGDMWJ2ZA+mTVnQLjUbjUrhMea&#10;6o29ZiQqMCAAOPTNNr3b3FeZPHp2lwrs/wCEYZsH+IIx/MtTnSW1BGnwatZAceXE6Mn/AHySRVXx&#10;Bql5pt2reaiBY8mGNudxztPI5HFVtL12/utRhgkuA6CYR42jMoYtlvwAqYx05gvLojcg1/XLMf6R&#10;ZS3kORuJjWOQe/DYP6Gr9z4hGoKYtMdg2MTuww0Ptj1//XUv9hSE7hqdyNx6DbgfpVK78HPc3BmO&#10;qSrKF2hhGoz7Ngcj2qfaUm7PQLTsZUJudTuLmxsJEhhgAM07gsWJ7Dpn61rx6fGbc21zNLPEyBfI&#10;4WPA5+6P61VkF9Z6u6ILOC4Fhvl3EiN1QkDaOoJHX0q3Z3QvrOC7jKkOillVs7SR0raUbR93Ywal&#10;Es3d5b2NqZp3WGJQAOensP8ACufu9fNrbxS/ZmCyyFAZSVAAHU4BxW/c26XNsYrhVdGHKsKyLvQi&#10;1msFtdOiEMrLJ84Kt2Hpiso8vUzvfcpL4sVEfdZkH/lntfIf5tv4c5rcsL1b/T4bpEZFkUEBuorC&#10;t/CgjQkXbEqf3RKAhRnP49a6G3gSzs44E+6gA6dauXL9kTS6Ew6Dk9e1PLqoJ3gY469657VL/UoL&#10;vybeWBUeJpFZoySuPoeaybGDUrmwE8jrcl7gS7wSN6j27YqfZ3jdsSsjoNbG+yjkAw0UqSBh65x/&#10;WrV08dr41tPLIV7i2KzKP4sfdJqneyLMLe2dtqySAsT2VeSaVhFBfP4jvZTvlQx2tuOpXoMe560K&#10;Lfuo66UuWDkzqbq8t9PsvtNy+1V6DPLH0HvXA6jrR1C6ee4mjBQ7YoN+Qn19/eq2qX99eGO4djvL&#10;bURF3eUncgdzjvWrY6VoWyCeG0uXKjKzKkmSfXit4QjRXmYzm63oTabZsltHJa6bfTagZVdbmSMI&#10;g57ZOQuPbmvQt+F/WuKE8KsyiXU1/wC/1N+1Jt/4/dTX14l/wrKTbldG0WoqyR2rc4JpOqngVxMt&#10;3jAGp6kAP9mT/CojeqhO7WNRBz02P/8AE0lF3H7W3Q7zcxIPfHNKTlcVwkd+oOW1nUMY7q3/AMTT&#10;l1GAOc6/ejvgn/7GolBtlxqK2x2ycFj7VEW+YnHHtXGDVUclV8QXIyOvH/xNSW+oAHB8RS9eN2w5&#10;x9VqXTdtyfarsaGryCPxPprRENLPDLHKpPIUYYMfTkkfjWfcRxaVqkU6AR20+Y5Ao+UNng47Z5/S&#10;jw5cQzTag5lW6vBOyyTE/M0f8P0GCOnvV29tVvLeW3ZmTPIYDoQc8Vps1FmVR3dy03KDHTH41WAA&#10;DEHpgYqpZXdwJ57K5YPJGN6OoxuQ+3qDUzyFYpGC7m6gHipa1MyKa0huomjmXchOSDSW2mpb3Mlx&#10;5zOxTYqtgBR2HH9a5+W4kudNk8+6kguPNBdWQ4Tg/Lx296gN9etPJIhkSTyiDGM8LtHOPrVqGm5J&#10;3DufJXPXGMVi6lPcHUrS2guHhWRWL7QCSB6ccGpNBDPpzsWdkLnYX6kU/VLH7UkZify7iI7437A+&#10;/tWPwyBlNH1eG4eCN0lj6rPMcn/dwO9aNjfC6R1ZDHPGdssZOdp9vas6LVljyl9G8E44I2Flb3BA&#10;o06b7RrV3MsUqRlFVNy4D+9W7shPUl16yhu3sZJB8yzKgdeq7uOK2YNSbTpPsWssIpFGI7lhhJR2&#10;OegPqDWVrbv52nwRBfMadZAGOBhTk1rTahqU+5HtrGVfQkmqUYyp2kdlKdkEmu28n7vT0fUJs42w&#10;chfq3T8qx9R8OX91czahfWheCXYZYLWc7sKcjqBn8CK1YdS1C3QJDptoq+iOQP5VYXW9UZiBp0BP&#10;tKf8KcKdOGxp7VM5S30qxihW3sf7TuVSR5VtvJIKEgr95wMe/NdHayaxp1lDG2krJDDGFIjn3SYA&#10;xnBAB6dM1ZXWNUUlTpkGAe055/8AHaT+3NRB/wCQZH6f8fH/ANjVyjCS1F7RIZ8P7yO+8a+LJ4g6&#10;qYrIFXUqwP77gg16LXnngOeS58ceLZJYRC5hssoG3Y/13fFeh16dNJRSRN7nnPxfuXstF0O5iBLx&#10;6vGwGM/8sZq80u57jVJons7No9RuJDGJ5p927jklQMYA/KvR/jLFJNoGixxEB21dME9P9TNXD6Tq&#10;/m6e1/aLAs1jBHGx2Z3SSON34AACpq8nLd7kNScl2Ow8KyWlvbppZthbXdsoXyCeGA6sp/iHf+dd&#10;GVRJVYkDOf0rg476PxJ4sa13rFarETbyRkB/MVtpYHt3GO+KydW8ZavuudL/AHLrA7QtcYKtJg+3&#10;SvMlQ5pXZ2Uacqr5YHa6nqP9pO1paSeXaocT3IOPqFP8zUNlaHVIVtI18nS05XAwZyP6fzrI0FH1&#10;3TUuHjEGnRL/AKndgOy9cn0zUcPxAjTUZLZbeKMRHDMZsrtB7YFdErQi40+gp2i+U9At2CQCNFVd&#10;mF2iozGRKoH3Sdw9q5648Y6baX9rGZgRPneVDHbjkfWl8SeI4LXTIXs5Gae4IK7RgrH3Y56YrhjR&#10;qVJeRF9y5qurMXezs3Hmj/Wzdoh/jXC6fHrPiTVHsYy0eiLId8yceZjtu6nPetTxEZINAJtAsds6&#10;ACZXy0rNwAPz5NddodmNP0e0soRxFEFZsd+5rrm1QhaO5V+xLYaZZaVb+TbwRxrjnavJqykiQWhl&#10;mIRF5Ysei0SPDbo807gKi7mZjXM398dWt2uJiYtPibKRkcynsT7egrCjSdV80tgSuN1C5/tUNczP&#10;5WnRtmOM9ZT2Y+3oKjytpEmo6ihLbh9ltF5JJ4HHc/yqQbbSNNR1RSWzi0s1GSWPTI7n+VaOlaRc&#10;STnU9TAe7cYji/hhU9h7+9dcp8q5Y7BKVtEN0vSp5LkapqmGvGGI4wcrAP7o9/U07xHcQ2UVjLMC&#10;VW6QkDrnsPrWjqGpWum2pnuHA28Bc/MT6Y9a4rV755LvT765Iec3Q8i2VxhB7+/qawpUnKXNIVkb&#10;rXM8gS5vof3jMPs9uv8ACcdT71Wmml02ZX2Ld63dArFH0WJe/wCA7+tE2r6dosL3V9dRz30g+WKJ&#10;t20f3R6D3rC0zxGz6lPdQWM2panMPm8r/VwIOiBj+vrTq1HLSOwc3Q6mw0VIJjeXr/bL9gd0r8hf&#10;9lR0UVn+LPEL6bbrp+nbZdWuARDHn7gzyx/nWbe+MNejVIofD7R3ExIQyPnB+npVLRNJubacSz7b&#10;jXbokyyE5WFc5/yO9ccaT/iVX8iZzS0iS6Dor6S5jU/a9ZuBulnfog7k+3oO9dnZadHp8DD/AFkr&#10;4LyP1Y/57Uum2ENhEQpLSscySN1Y1yvj268SR2Zj0hUSFmWLcpJkYn09BUuq61TlTsNQ5dWQ+K/i&#10;B/wj88djZQJdXcgwfnyEOe4FbkesXMem2yyojalMoYxqMBSepPoBXL+HfDcfh6DzLuNbzW7gb2L/&#10;ADCL3/z1rYtYJrq5eGAlpWfNzdH/ANBX/PFaVIU0ko9CZTd7IfBbT3U0kcMpaZjm5uT/AOgr/niu&#10;ltLSKzgjhiACAfnRa2sVrAsUSbUUYGO9Zmp66sNyLHT4/td+f4FPyx+7HtXLKUqkuWOxpGCirljX&#10;dbg0Kx+1TBnBcKqqcZrmJfEOr67IBp0kVnZFctKV3PjvyeAaS4tDcTyPf3C3NyBiRyP3cI7qg6Z9&#10;6zkSW6SW2gaa3s4mKKlvDu3Y7sfeumlRhDVbkVal1yot6Z4ctQkt6Y2aBcvJPIcyTH2J7fzresNO&#10;hvYIr7UmTBx5MBO2OIduOhNYcl/q/wDZ8trIHkiKYQrbFGx6ccVli7kurR1s9Nlit5HXMW0nBXqQ&#10;ccE1u4ufUzi+XoejC4soQkfnxLuO1VDDk+gqK50q2upzI5lDdPkkZf5GvPYYLn+2IrtopIoBIWaM&#10;ox2jj2/KujF2ry7lv9RTn0f/AArndBJ6M09r5Elxa2q3/wBhtPtU1wPmcC5cBB6k5rHE1zbXNzEz&#10;3Ecpk8uJDI43AsF3k5963IjZmYyT3M80mOGeNgV/ECq7W2kyTSSvLOxOdpIf93zn5eOOa2jGy1E5&#10;vsYRmF1fWzv5rMriOZjMxPzPsG0+nBNdlF4XtIyjpPcq8Y2owk5Ue1ZSw6NHcQyR7laHGAA+CQcg&#10;njk5JNWXvpCWC6xMueQBEOP0rOopS+FgqllsdBZWBtQ2biaYEjHmtnFXjtDDmuViu5Np3a8wPBw0&#10;S/4U97ybzc/27GD7ov8AhWEsPJspVV2L+u6UuqGxAhDiK6WRj/sgHI+h4pt9oNrcyieIPb3QHE0J&#10;2kfUd/oaof2hdJuxrsB4P8C0sd/ctH82t2/T+4taKFVbMXPF7oWQ6rYKBd24vYB/y2txtcfVe/4f&#10;lSWt/ZXQ2wTL5mTmN8qw/A80PqF0AuNZtD/wBap3KR36AXV7p7MG6si5/nWsbvcwkoM11jyuSMcV&#10;WuL6xtXCz3KiQ/8ALNRubH0GTWK+i2wXjUrUL6Bjj/0KrNtu04bbOfTFz1YJyfxzVcttiOSKFktI&#10;tSaS/sLsmTYY1Ei5Ceo29an07TzYafFbF95RfvY71Q8+XT9bjvJrq2eC8IikWLjD9m610OSW+Xnj&#10;NFS9lczlHU4q8v4ZfEsscjZgtoxGUXqxPJH49Khmur7VdX+5mVhtjj6LGv1/rU2raDNp2qTanAnm&#10;QztukbHMee/0rqLDwnaSWsdw9y0zsoy68Ag+ldHtKdOPMyvZzrNQWkUXdB0SDTbYOZFnuJAQ8v8A&#10;QegpljfL4cuJrS8jkS0aQyQTqhZQD1U46c5qheaRf6G6X2kyF1X/AFtu/IdabceMo5rEx2kf+ntw&#10;yNyIvc+tcsXOctNUdb5KcDq7HVdP1FiLW7hmP91W+YfUdaugDZ0GD7V5dpmkTareMkRYSg5muhwy&#10;k+mO/wDKuutdX/sRjpuqXDOAm63nIyXUdQcdxxzWlSCUvdZnTqc8b2OlwMdBionUFT8oPPpWePEm&#10;lMo/0rt3Rv8ACkHiHS2BAvY8+6kf0rP3tma3j3GX2t2OnXkFvcAh3QElUyEGcAt6DPFYQ+IOmz3x&#10;tobN3KSFCcjG3cFyPXkj6CqPirffX5n029tnhlgWGaNmwWUPnAyO+an8JT2kk9/Pq0VlFcLdbo2y&#10;vClQSB+Oea0jFJXDmR0+h3kGp6RBd7Id8qB2VMEKTzirnkQ5yIU/75FVbW60i2jZLe5tI167VdRT&#10;01OyLH/TLfGf+eo/xrJpvUFYzdcsntYxq9jH/pFsp8yJB/ro+4x6jkiqCa9plxGJI7glHXIby3IH&#10;44rozqenqo3XtttzzmVcGuL0fXPsgu4bC2iudOSd/IkaZUYg9QoPXBzit6cOaPvGdRRfUnuHhfUb&#10;GeOQBXVx5qnIb/Z4785q2sgZ2AHIwazdTi03VtLkv9IvIra4ibzJIHYAFl5IK9jx1FLDLqAt0uVa&#10;xnDKCY0k2HB54JJqqlJ20MuTsa8UYKuXC49x1pZ2tIY2e4kih46uwFUIv7SvgV321hFnljKJHP07&#10;Cti00XSIELsY7mcjmSZ9xP51MKd9xKm76kK3Nq0CGK5hII7ODQ6k4KnIPcc1qNomkXIy1hbNkdQo&#10;qrJ4W0oSDyWltjnkQzFf0qXSiV7IpyQgjlQfrVSS6it5PLUGe6b7sEZyT9cdK2G8KaaT++uLqQY6&#10;PcNj8s1qafp+n6cGFpDDF7r1NVGkkTGir6mTp/h3e5vNXVJ7l1AWPGUiX0Hr9a0joWliQH7FD09K&#10;vNIvPzr+YrO1XVY9O2ExySu4O1I+pAGTWyS6HRGKWhKuhaYudtpEM8cCl/4R3Stx/wBFUcdiRWHe&#10;eO9Ms3EYDyEQLNkED733QauaB4lGtX9whiEKIiEBmBO4lsj3Hy9fert5BZGgfDul44t8cn+I1H/w&#10;jmnZwIm/7+NWuARnJ70m4hgO5yKVtBWRzngm0isvHvi2GEMEENiQGOTyJq7+uE8IOsnxD8XlGDDy&#10;bEZU5HSau7rtjsI82+MZkHh/RTH9/wDtZMY9fJmrhtM0qzu7WztbW7igKokV0kgxvKsGB+ud3516&#10;P8SR+58M55/4ncX4/uZq5nXNKsdVu5IbOPypVb9/cxcBfVfc1y4jmclFfeNJvYqX1hZ2XiRLrS44&#10;ozFEEkdV+WM5zx6k/pSN4OtvElxJqdpeyQCWQmRQmVJ9VrOtNH1cPJBaE3enQPhj3fuQPb1Irq7L&#10;xNZ2RS2uLSSzGMBQvA/CsqsuSHLF6nTCo6dnDQqzaHe6Do9xa6VOZ7cxPvt5hkjI6qfU+lcYtk8G&#10;ntcN+5nuIyrQvCeeRhVPrXr1vc2d8weCZJD6Bv6VgeNXUaXG0Z8wxygiKMZZj0HI6Y71lh5Tm7NG&#10;UtWc7d2s10sGoJAUSxAaBCMGQ/x8emOlUNUtkv8AVUuVaPyrq3+WS5yAnPQHsR6VavoNRu/CMlzH&#10;JMQZQI1clWjBPIPc1Pouqrpnh3U5L5UuTBNuSEpg46cZ7V1ykqcbQDTYZDDBe6xp+kWDtNBFN50w&#10;zmMBR/D9TXo8skdrAZJWVIkGSWPQVyPg2S1e2vNdnAhaZznIACKvQD1FWby5GpYvLwmKwQ5hhPWU&#10;9iR/IVyOi60tdkFmgurhtUDXd2PK02PmOM9ZT2JH8hUZkjs411DUIm37sWlmB8xJ6ZHr/KpJpVtU&#10;XUdST96Ti1sxyQe3HrVnStOle5/tTVcPdt9xO0K+g9/U1vOSjHliDkV0VtP369rR33eP3MK8iPPR&#10;V9Sar6nd3P2Fr3XL57O24xaWxwT7E9SfpRc39ve6u+oXMwXTtP8AkjJ+68vdvfHSuH1jUpfE2vwp&#10;aJNcRBtsHylVx3bn8eayinJ2WiW4kN+129/eBrXQ5LiWU4iSQnauP5+5p0vhfWvOtvOsLGGSWcYc&#10;sW28H5celel6To6WESPIqm4K4JUYCj+6vtRq2Bc6YBj/AI+hj/vk1z1cfaXJA05bo5bT/hxCJftG&#10;p3DTsf8AllGNqCulX7HoNuLeztlErnEUKDBJ9T6D1NXNT1NLGIIi+ZdPxHEDyT6n0FYsBla8aOMi&#10;bUZuZJT92JT/ACHoO9c0ZVKj5qj0IlJR91DFjnkvHRcTajMP3kh+7CmensB6d63LPTorCPavzSM2&#10;6SRvvOfen2Onx2MTIpZnf5pHbq59TVzbhRkc5rKrW5naI4U0tWRpwcc1malqAgb7NagSXTYIJ6Rj&#10;+8f8O9GoakYpjZ2ZD3LfeY/djX1NZNtZteNJDA58gNm5uSeZD3ANOjSafNIKk/soLG2a7d4LdiVJ&#10;P2i6J5Y/3R/nitR5tO0LThukWCCM4Hck/wBTVCfVLaBf7I0vMtyylcQ9Is8ZJ7VyumR3NibiN4/7&#10;Uukk+RiC0cJ6E5PU+wrfklU3CKUVds6tjq+uMv2dn0+xYcyH/WuPb+6KoQ2t8gvrHQ4oEigfZJPK&#10;xMkjdSc0sl5q7Lta7us4/wCWFsqgfnVzTb2LS7UQrZahK7MXeR0G52PUnmrjBxjohSlFmfpMAudS&#10;+xajEbUx/MICciX33d/pWxHENN8T+WnEF9HkL6Ov/wBaqWqX1vqMGBY30dwp3RSLHyjevXpVe/1o&#10;NZW0t2vlanZSqTF3kB4O31yKXLJ6kpxR2eAV6fpUNhp6WFp5KncNxYn6nNUP+EkgKAGyvAP+uX/1&#10;6eviS0wN0F0PrFXLKFRMvngaexSOlNWLEh+UbSKoHxBZDJ8u5/79Gmf8JFZA/duB9YjQoVLlc8DT&#10;AG4/L+lORRz8o6elZa+I9PDYJnz/ANcjQviXTiD802f+uRqnGpYHOJo4UMfkHX0qY+VsJKLnHpWI&#10;fE2nk43Sjn/nk3+FPk8RacyENK+PeNv8KlRq3C8bbmoY4ZB/q0P1UUr20LPzDGf+AistPEGmhRi4&#10;6/7Df4VMPEWlNJzdAfVSP6U7VWxKUC+tpb4OYI+/8Ipv2W26fZ4sYH8AqmPEWl/Ni7T8j/hSLr+m&#10;sBi7jxx14qkqtgTiXvsdpx/o0X/fAqB9PssHNrD1/uCmrrumEZ+2Q5/3qjOuaZsJa9hAGSfmpWqg&#10;uQc+mWDIc2kJGP7gqFtC0lhzYQZ/3Kry+LNNG5IBNc4zzBGWB/GoJfF9pEC0tjfIuM5MXA/WtFCs&#10;TJwJdQ8LaXc2E0cNlCkpX926rgq3Y1X0a6N3YRmRcTJmOUejDg0jeONJ8nKxXjPj7ohxWZp+opCt&#10;1dyqQ93KZfKTkxr71tGM3H3zCq49DeYrLvjYZUrjHtVfwlI66M0BfJglePHpg8U6NwypIvIK5HuK&#10;x9Se80V7i909Q8Nwv75cf6tv74p8nPHlZnSq8jua+ua/9mxbW21rpxzzkRj1P+FcHpOnzSeJPLD4&#10;juDh5z0BPp71r6JZya7IFjYmAktNcHqx9B71c15X07xJ4a06zRVhZzlBx0I5raHLQXs47lpSrvnk&#10;tDoEd7SY6RpEcSGJA0003Rc9Pck1Ufw/rFxffb5NStrhwhSNfK+VB3xg8mtq40bTb+4e4ntVeUjB&#10;bJGQPX1qnoUSW2sanHaZjsIQi7M/KJOScenGKypyU1pubzhbQgXRtYjGVksW/wCAN/jTTpOrnJK2&#10;J+m4VT1LxvPHI5sreF4lYhNzHdJjvjsKtab47065twt6GtLknHlkFs/QitIU5t6q5n7OA7+y9VDL&#10;m2szx/f/APrU1tK1Pac6fat9JB/hW5ZarYalg2dzFLgcqp5H1FaI+6cYrFyalaw/ZwOMj0u/3NnS&#10;4D7+aP8ACmrpd7vP/EpiAz2kH+FdgOA2OtY2t6pcabHbeREkjTzCINI2FQkEjP1xinG7WwvZxOQ1&#10;vT72SfT9O/s2KMXcjAnzB8wUbiucd8foaVvDOq+Uqrp0Kj0EoGP0rb1OW4ubQQarYzQMrb4rq1O8&#10;Iw6Edx/+utbw/eXeoaLDNeRlJjuU8Y3YOAce+M1t7dwhoRLDxkcR/wAIxrULpc2+nQecg6GQFZF7&#10;g8ViveOlxMyWKw7Hx5LnALHrn2FeybT5PPoeK4vxDoMl15l5bAu4OZIc4347g+tXDEqbtMuNFRWj&#10;MfTAdShdodJLbGww3Y5rbi02bYc6E3TqGFZ/giC1Es1zPehJoSUaFm24Pvmu6fV9Piib/SYz/unJ&#10;/IVp7NXFyeZgR/2hajbb6XcRrgEhcf40rxzPKJX0i4Mh5JwP8a6e3v7S6A8i5jYkfdDc/lVvCcc8&#10;is/ZxQezXc46a3aViz6TcnI5+Uf41EtpGM/8Se6zjsn/ANeu4b+lKuOfpT5ECprucE9vHnnSLsex&#10;j/8Ar0zVrPWLuKG50qF1MCvH5cq4JBXHAzXfsuaGA3dulVGKWpXIeR6Nol5Nr9ql9pBEH2XbudR9&#10;4YyW/pXTtDbwXbv/AGdOJAvlFki7DoOK7VkRgM4GD2pSBk0STkw5DkGt7eG3SeVpoY2OF3MwOazJ&#10;daki1xZZJmmtliIgKBh5ZxzuGOSema7u6jc2swhVGlwSm8cA44rzu/tZDbwySpOl/EXadJYyyzvj&#10;5RkcY9KuNPTVk8pofB/y/wC3fE/lLMq+VZ5WYfMD++znPvmvWK8r+E63C+JfFf2uN47gratIj9QS&#10;05H6Yr1Su2KshnnXxdiWfR9Bjd3jVtYjBdDgj9zNyK4mwnvIMWU/mtoqSEfbIlJMmP4Sf696734o&#10;26XVn4cgkz5cmtxK2Dg4MM1W7a3jtoTbRoqxJgKoHQdq48XX9mrdzSLdrFbSLvT7mIpYSRmJMYVP&#10;4fwqe7tIrsxxyQxyEZ4YZrN1Hw/LJqkWo6ZOlpcqhR/k+Rx1G4DuKwrzxJqao+nxafK8yMVnurch&#10;kx/sk9D6+ledTpurK6Y7ML/RYJ9RaHSp3tdmTPKjfKnsPeqenPr0GFsbVLvT4XKtKScv7jPJp1hf&#10;wX8sNrcxTadpnUmQH9+3pu9P5112o6pbaTpavbqjuxEdvFGR87HgD6V3zreyXJAqyWxy2r6tYarZ&#10;R2+oS3WmNA/mMqcb8djWZo/hWS9il1fU9RnisWZpIAx+YD3Pp7V0cPhW2ljbVfEM32i62kkk4SIe&#10;i1zd2L3THF4wkk0dXzHbueT6EilTTqbGcYttklzfXlkkMupQNJpEf+pMS7Wb0LLTLTxxpbXBvruO&#10;eVl4t41T5EPb8a0f7QtL+wa9u3MtxOrR21lHyyEjHT1965NvBmtRRLb3UEVtGwx58kg2qPf3rRyS&#10;91HXRjSmmpy6fib9/DqF1qMV7LdOL2OI3DCNvkgjxwv1PrTrPW7q90u7uZrqWGRLULAjceZnq/vz&#10;xVKG80vSZZBq93MvmRiMzW8m6KUAYA9Qfar+m3ej61GHvZBBbqvk2ikbWCepPqayb5Vc4upiyyap&#10;PYN4dt7KUXZmD7HORCnByT3yc132g6Emj2aiUiW62gM/pjsPQVPpFlb2bzTx3LXUk2N0rEEkDoMj&#10;tWiecjArzMTinfkgjaMepIxzt5rnfEd/9ludMSICS5NxlI84/hPJ9q0dV1MWQSGFfNu5PuRjt/tH&#10;2rk7+JpNUsoI5hJqEk2ZZmHCjaeB6fSs6FF355CqT+zE1FSeW7aKFxPfy/6yUj5Y1P8AQeldDpun&#10;xadEUTlyd0jt1c+ppNPsodOtikZLMTl5D1c981aBGST1PSprVeb3YhTp21Y5RzjPXisrVdVKN9hs&#10;SGujw79VhB7n3qjr3iO30+OSBJgkvIeTqI+PTufQVx2iQ67rmozxgTW2kSMxacjDn059SeprShh1&#10;y88tAnK/uxNR9Tto5XsoJZJm3fvjF80srf3R/jWithq+rRCGQjStMCjEMZ/eOPc9q2tD0HT9HjEV&#10;pbqnq55Zvqay/E0Lw6rBNeNK+myBYVjhk2lJCepHcGtlJTbURRhy7iSC2s4xpGiRobyT5XdefKB6&#10;sx9cdqlsvC4s7ZYotSutqnAXIwK2LCxtdOh8u1hWNTycDk+5NWAVbjPfisZVpRXLBD5U3qZCaGxA&#10;B1K5yD1wOae2hP8Aw6lckY74rWAGeeKcwHHNZOrUG4RMVNDfoNSuQQeuBSzeGhPLHJLfO7x/cZo1&#10;JFa44Oe3pTy4AzuCjHenGvUuDhExZdGmSEv/AGjMxUHgIBmuWGvIwKi6uCyAmRdq5Xnt612WoX9o&#10;LSRDerCxBG5TkiuBFvp8F1JLbyzXEj5J/djDN6j29q66M3Je+Zyguh0VnOLrShfNqjQozbSHQHB9&#10;OKuwWk90gkt9X3xnuIhXILcy6bpeJofsxt2M8TSLhZHPUYqax1a5YFLXVbVFlPmOW+XDEc49BWih&#10;O10FonWDS7sSDGpN/wB+lpU0q7JONROc/wDPIVl2+nahd8/22jkjjY+alXw9f7snVZTj0FZSlJbs&#10;rlj0Lp0i83ZGpHr/AM8hTm0rUcEDUVP1hFZw0PUkYmPVZM56HNWBa+IrcsRcxTAjjI/xqOab2Y+S&#10;Ntiz/Zd+q4+3xcn/AJ4ikfSNQY/8fkH/AH5qqde1GxwdR01zH/fjFXrfxRpU7jdP5Lf3ZBilJ1r6&#10;CUIDItF1BScXluc+sAqtqNpf2Gmz3b3Fq4hjLkeRycDOKtXfjLRLJZA1y0jj+CNCxrOXU7vXkIM8&#10;Om2TDBEmGkcfToK0gqr+JByw6GLN4qtYJ4YGtYxKSBIxA2gFcg/nxRPqA1WKOxa3hRJ3i3Og/gbJ&#10;P/oOK2ZPCmY43tLuC8VH3+XKi4Ygeo6VWNrpU1tNamP+zb9trAPxgr0KnuK6E0kZcmuhHb2wlM0T&#10;yPE0LbfKibaqjsRj1FXRZQ5UuZJCMY3tkVjNe2S3Ag1UfZ7vbgNvwJMdwR1rRWyO0G2vpVjPIH3h&#10;UXbOWSaZpTNFFFlwiqO7AAVkTPFdP5NumI25mkUYyB2H1q4LFd6vcTPNjoHOF/KnvNbqfmmhUAd2&#10;FNJsnUntplCovYLhR7VOzqQQVyMdKymv9PgcM17Cqgf3s1Xl8WabEreRHNdMB/yzQ4/M0405PYIq&#10;TY6587w5PbXemxGSK5l2y2oPB919DTdX1PTdR1zSL5CzSWpLFT8u0+h9DmqdtqmpalfwXMVgcxZM&#10;EX3gjf3m96nbwvaQyvqV7qUEGps+/BIZPxHrWjpxWstzupycY2LuveJLmRJhpRAMQ+aTOMkfwiuZ&#10;tfFGrQ6Nf2yRqJruTcJGOCmRg8VHp072usJBfQPd2KsW8y1BKf8AAs9q7+PS9B1pv7QiiinBIwy9&#10;iPak506Cta6M4RnN3kzL8E6RHHYS3FzGskquqRlhnaAB+vrVLxxDBYx299CAl2snAQcsPXHtXV6h&#10;qNnounjChFUfKi1xdoP+En11HuH/AHKoWQepyAQPes6SlKTqPYVWtZ+zhuTadqkPiG0S5htLaOUr&#10;tdoyUdH/AArXsr7xFZuQzQXVuBwsjEP/AN9Vys+mvpvii8ls7IS2ETqkqBj1KhiePSuksLzw5euq&#10;t5tu+Puu5A/PNXLSV1qio876kg8ZX1u0n2vSHiAHDB9wP5Vl3PjtL2BobzRHa3c8sZAQD2PqK6W3&#10;0LS5AWjLsrDqspINZmo+B7KWEzaeGiuQ24qWIWT2b/GiEqSWqCSqW0KOn+INYhaP7IiXlkcjEso3&#10;qP8Ae7/jV1vHot5/Ku9Knh67XdhtJ+tR6R4Z0rULN3ga5s7rO2UJJzGw7EdKkm8IX0kEkLzx3MTZ&#10;Xc7kEe5GMGiHs5PUP3iRbHjPKbv7PlK4z98c1C3iyBF8xrOYewYcVNZ+CrK102KCS5uZHRTlxJgG&#10;kHhWxk4Elzj2kq70LmdsR0aMW5vtNvZzdxWdzBcHq8eMN9R3q3p/iO4sN3nacLi3C58yNAsn5d61&#10;F8IWQQhZ7oD/AH6mHhG18vcLq6B/3hVwr0lsS4176lC412w1OBJtOs5EuUYOGCjIPo3emN4/e3uV&#10;S70yVQOHdD8oP41bm8C2kjrOl3dRzr/GjAE/Wua1Pw9rWk3EhNy1zayNvLCLdg+4qfaJuyNkqi3O&#10;4PiiLyBKLK6YFdw+Uc1gzfEIS2sqxWM8UrMEjYDdjnnI7GucsLjVr67W1jvV3Dn5kG3Hp7VbkSGP&#10;Uoc3QjvFcRywFV3OG4yuOtXFSJTmdEPFa6Vcn7Wb6W1kQFWeMEq3pmtk+JbYkH7NdjIB/wBXWTqn&#10;hKS7smjm1AkJ8y7YgDkdKxtHur25vhazX6IgQKspiHL/AN0+h/wotOxV5HYf8JHb97e6x/1zqVfE&#10;lqTgw3OPXy6pjQ78LxqCMp6HyqkXRr/n/Tojj/plUXmmO8ix/wAJHZHPyXAGf+eZpB4ksAQCs2P+&#10;uRqqdJukJDX9uMn+JMUq6TeMwIu7dhz0WrvKwryE8E3UV7498XTw7thhsQNwwf8AltXf1574Ehkt&#10;/HXi2KVkZxFZHKdOk1ehV3Q+FXGcL8S8+X4YwMn+3Isf9+pqtpGV3MclyRn0qr8SPu+GB/1HIv8A&#10;0TNVHUtRa7M1naSeXBF8txcZ+732j3968/GUXUnFdDSGug+/1E3kslpZybIo/wDj4uQcBB6KfX19&#10;Ko6fYJq0HlRxtDpUbZBHBnP/AMT/ADpmn2p1vy40Qw6PF0Xobgjqf93+ddUEWOIRooVRwABwKyq1&#10;IUY8sDR9kV7qO3isnDxIYI0OUC5GAPSvMrPUbabXBrFnYzCzswQ9sOcFujjnGe1enXtxHZ2U1xK6&#10;qkaFiW6cDpXn3h1N2hpqF4iJA7mVIkAHmMTwSO/sKMHB1E5SDrY0l1+LWJTJeJJbRQkGO0cYZz2Y&#10;jvVgv5tzmZFlv2XMNseVhX1f3rL+wT6/eK1tuiu4T8s4+7bj0/2mPp2q/Jol3o+iSfadRVi7ne8M&#10;eJJ2PQZPrXTOUfghoS5PZHK3Fjd6FqLajY7LmVJcPIE+UOf4R6irF74m022t0vtZme+vG4S3YAJE&#10;fcDgfjTPFC3+neH4hJeraDeAtpbruJBPIJPU+9cBcg3csqJMvlx4BLglQPQDrupwSmkzN32W5pXf&#10;iea9v4bi2t7dx52xU8kGNfw/qa9OTRXjtkn0+SNHYAvbyruibjnAP3a8psEti620YaMRvuDISuT2&#10;JHpn1r0yKLxLeRLEFSBOm4kA49eprlxrasovQqMWm+ZaiI2m/bfIvI5dLuyeBHLtR/8Ad7U+7ubz&#10;TXWPTtU+1TSfdhmww+u4dBVTUfD0CBba5mlu7yUfKnQD35zisJvCs9vd/ZtJneSXb++Vv4R7N2+l&#10;YU4U5O9/8hTqP4TftdXZrk2MimLU5WxLNJyoH+yf5CtO8FppU2mpvVf3xLSOeWO1uTWHp+h2UxFt&#10;9tmguVO5oZ1+Yn1HPP1qvrekDS9SsZ76aS6tC5DYBDKdp569KqShKSigiras7OTxPpcZ/wCPlWxz&#10;8ozxXP6v45DQy2ukozzsMNM4wsYPGfesG6tpdWleIRxWGnJ9985Yr6lj0z6Vo2gSeGKy0XSZJ9PV&#10;cNMMKH9tx/U0oYelB3kJ1G3ZGVpraf5weaW5unBLTXDryzHqqjt9a6s+L0gtUjtLHai8DccAVZTR&#10;r+7+WU2thAOBHbIGbHpuNWH8H6PceS8sUkzKSS0jli360qlSlJ2lsXGLS0MJPGOp3NysNsF3McfI&#10;m7H1qK9/4SK7uVlmUSNCf3bK4GPfFdYnhjTwgVImQDskhFL/AMI3YIjDbKM9/Nb/ABqY4inF2ihS&#10;hO5yqx63KP30lzn/AGXB/wAKkisJ0IZxfMwPVXHH611EfhywVeRP/wB/jS/8I3ZFRj7R1/56tT9t&#10;AnlmcytncFj5z6g2fu4OMfrTvst3EMpJfjjuM/1rpx4btOvnXP8A39NNfw/bsMC5ugPaT/61T7eN&#10;7A4zZyRtrx2y8uoE57L/APXqYWL9Jm1B174XB/nXSDw1BnIu7sf9tP8A61Z2s2Fvp8aRRXV7NeTf&#10;LFEJBz7njpVxqKTB86V2ZyppNoN81hev/wBdDWtFr2n2tuWjsngRVJJ2ACs+18PwLGr6izXlz3Ln&#10;Kr7AVYbSdKXDixiyOnHApt07mPtrDbKwS/tjf34MlxcjPzchFPQL6cVLLpdixA8lVAG3KjtVjzvl&#10;AxwOlU7vUI7dwgKu5yTlsBR6k1UXJ/CZubexWbw7p0jkq88b9Q0cm3B/CoQdT0iZBBq7yRO23bcL&#10;uwT0qJdRNxIzmSdEAwBBCzfiSRUkEukpJ5s88xmHRp0PH4Y4q7SS94pSmiS81bVxOi3W+0t4wd01&#10;uvmBm7Z7gVNB4zlihHnW0l5Ec7bi2jOD9VNPOtaZEhP2kSc/dRSSfwqbRNAuZba6upJp7JLiUyRQ&#10;Ko+VcAZIPr1/GhRjbWJrGc2QT+N1lPk2enXDSHvOhVB9aWxg0VZZLnUpFnu5hhiqFUUegArY/wCE&#10;amJLf2nP7YUU99Cuw2P7ScjHeMVN4x2LvIoqPCe11Cjnn+KmG28LOuM457Fq0ItBuMk/2m46/wDL&#10;EU46LdBCf7S9OsI/xpKpfqJc3YxJ7PSEZWsdWe3bPfOKp3cs5j8t760vYueHGT+oFdE+jXjnI1AY&#10;/wCuI/xpG0e+2gDUUA/64DH86cJoXvXOMS5t7cErplpI+CMsN3881XkZZJP3VsIAeoSZlH5V1l4R&#10;p2UudYtkbGQjQ8/lms+bVYmA2XSv/uWbHNbKREn3Mkad5pGZ4VBHR5if5GrK6RZoB5t/p8Yx1LE/&#10;zFWDfapJtWytBKSes0BjUD1yaux6FBOfP1QrdS4yFK4RfoB/Wh1FHclSSEtfDmnTbS2qW7KVziIK&#10;P1qZrbw3pJkEvmyeWMM7Alc+nHGaeulabvH+hQDAyMJisy4tJm1aS1jnZLWSMzmMjjeOB+FEaqkH&#10;tVcdHq1rqce0zrZaeudlvGdsj47tjp9K0bGz02SNZrWCKRDyshG7P4mudOhagRGVngWVSzebg5JI&#10;710ulRG1sYrf5QyDnZ0rKq09mS6jZeCbQVHT0HSs650+azm/tHSwEmX/AFkGcJKP6N71qpzmgnA/&#10;D1rOLd7PYi7uctFZ3Xi5C4aSGIsQ5YcoR/Dj61VSVdJt7myu0EM8JWSOQdBIB1B7BsA/jXU+Gc/2&#10;jrjL/qvtC4x03bBnH6VR8WRC9lSwijQyyBl3H0KkfkOSfpV+0bqci2OqFNQjz9WJoL/aLGW8OCbi&#10;4dz6jB2j9BTLfSrO/wDE93DcQriSzVlK8HIZsn9RXOPq8+hr9isIHmBQCRdv+rccEj1B61Npdte6&#10;nCNSt73ybxGZPLDYJXPIOeg4rT2Moy8jBVFzaHUL4PQO5t9QnjXsP/1EVEPC2qRZMGsSZzxnI/xr&#10;MS/vrUt9vnv7Ze8gZXQfiBx+NTw6s7YZNWuypPBEYOf0rPldjdVI9BkR1vQ9ccuouJbuMFlAyG2H&#10;qMc55GePStlfF6woPtVhNFliM+/061hahcG4SKePVp0urdi0TvDwCRgg8VROta7cKVk1K0jA4KyR&#10;F936VapqW4e0O9s9asdTjIt5xv2nKNwR+FWLQjBBOSCOa8iW7kuiZxcpFKrMpEaYBI4yPSpbPxJ4&#10;hsImWO6SZAwOWjyfpTeF7MmOISdj2RBmM809yViJPpXlNn481Fx5b3MUcjdA8WM/rV3/AIS3VXjI&#10;N1bMvqE/+vS+qu24pYqNz0sMCufUCmuRuArzseLtTUACa2Ix/c/+vUh8ZakCPntifZTWbw0+jD61&#10;A7S80bT707prSMtj7wG0/mKiPhzSXi2GxhAHRgMMPo3WuVPjPUf79r/3zUn/AAl98MjzLUnHHFaK&#10;jV7krE0upvv4eUnaNS1Dy/7nndvyqvJ4VigDixuJIyx3Mk2JFc+/f8awJPGuo7sBLZvQ881MPGOq&#10;FyPItvcZNUoV1qH1uj3L8beI9LRY4YGuFVshQ4KEZ6AnkVds7vVNeRyzrp0KuUeNPmlJB5GegrGH&#10;jC/xgQ2h9t5rNudevIbpdQhtbWKSN/Mk2ytiQYxg/wCe1aONV9CliafRncx+HtNUZkiknYnl5ZCS&#10;f1preHNP3ZQTxdf9VMwx+tcvZ+Or+7tVmFnbZPVBKflP5VaHjC9UhjZwe+JD/hWXs63UHiaV9zY8&#10;CwfZ/HPiyMSySgQWOHkOW6TV6DXmvw21BtT8XeKrt4xGzQ2Q2g56edXpVepC/Krl3UtUeffFVQ2n&#10;eHlaUxqdZjBcHBA8qbvWZY2Z1yFIokMOjREYGMG5P/xPf3rW+J8EdzaeG4ZUDJJrcSsp7jypq0wv&#10;lxBUTaBwAOgrixlf2dkaQvYVESBVVFCqowABgAVHPcx29u00rBY15Zj2pLm5jtYWnnYJEgyzk4Ax&#10;XM3l79si/tLUM2+mxHMMDdXPZmHcnsK82jSdafM9jREWr3S6pZT3N632fT0U+VG/Bc9NzD+QrmPC&#10;FhqHiHT7fe5hsLf5Ay9WwcED39/yrpbPQLrxBdJqGso8Vkhzb2Gev+0/v7Vc8Kolrc6xYbdogvWZ&#10;VHYNyP516EqsIQcIdCXrI3bG1jsrVILWMJEg4Arlde1tFu7q5l5tNLHzAH78p7fgK6DW9ag0XS3l&#10;kYCZ/kgTu7noMfWvKNZntLewn0m8eeS+mZXuJkGEQnnHPWsoUufV9TNys7Gd4i8RrqWq/wBoeSwj&#10;SDZbsQWAY9cjFZHn2q2lsixJ5ocySMoI3kjsD6VDcWl3Dbx2QmDDzQR5cow2Rk1t+FbaO98S26aj&#10;BI/3mRdgZM54yfTFdUuWnTfkFOUoyUy9p2gahdJJdtasigDYknDOcjt7Vb1DxFrVlrUheY2bEBLa&#10;2dNyvzjcTniug1nzLnxDY2e4rGvzNtOMf5FcT4mtYLbVpJEnN2S27yllO9D/AHifQelclJ+1+NGm&#10;IrOU3JnZeINak0nQhd3Lo186BVKDqT6ewrN0bX7iHVnmmWR4BEiMuMPz/GV7/wBKqMJ7nwsLe00+&#10;6vplXJu5lICk9doPWr+momi+Ibu71eOWa6KR+Q6wkgLjBC449BS9yMGmtTKEXe7NHx5c7LLTpI1A&#10;Mkw2yEAMowTwT0rk/wC29RuboJI7XEUbHB+VnUFGzjHBGBXQeN5IXS3eD7W167KUWJj+645OB3wa&#10;5MWUs2qxWc0c1tdSMdzSyHPkkfePOM9eKrDxj7NXCpLWyNXwppz+JIEincLpdrIdsG7DT/MTlvbH&#10;Feo2qRRBYoowiIMKoGMCuGk09nSPyLy0t5ohiOWGPay47H5sEfXNSHxBrmnSAXE1tcW44M8cZLfU&#10;qD/KsqsHUfuOyCE4rod8ka85qTGFX6muUt9dvbmESwXdjKhH3gp/xqx/aeqlQd9kRnP3T0/OuR4Z&#10;o09tG50sbt2HFK2WD8YGOK4ifxbd2sxt1e1uJxj91CrM35AUxfFXiSY7YdIjw+AHkfaB9aPq0uo3&#10;Widr5ixEBiuT0yetNuNQtLWHzJ5441z1ZuK4OOxv7iWWfUhaXkzngvI4EY9FA6fWrFrpxjnWZbGx&#10;eRTw0s7uR+eapUI9zP20bnWprelvbNcpewmJRywYcVUPijTyoby7ryv+ev2d9n54rOljlaZZpNM0&#10;xpgOGycj9KunVtVICiCy44++3+FUqUEN1Ea1pdW15F59vMkkZ/iBrnbEG9vrzVG53OYoT/dReOPr&#10;WXqcup6fdLd2MVrDc3TeUYUkOJSe+McHvmt6xtn07ToLc8sq/OfVu9WoRhr3M607xRS1bUI9JtVm&#10;kR5GdgqqvUk9KoS63KqJFJptyLmQZWNV3fnjNT+IpCNMWUhd8UqOo65IPArKOo3Vt4lS6iEGwZE8&#10;uSyxluxxW0IxauzKMU9yyi6hqL7EtLh1HOwI0a592bGB9K0bTRLTTrhLrWZIjIctHAATGmBzk/xH&#10;61o3OtagrAQ2CTpgfMJgvP0Nc/4v1Eta2s7xGG7LYEZfcMYPboauGsrFqMY7HXaVrenancPFZ3Ak&#10;ZFBwvHXtWrxlt2D7EV5f4Du5rGe7SVA52KyrtAJPfBrrx4hvRk/2RKx9pEP9aJ3UrI05kadxc2lr&#10;Oqv5cbMCwJAHA61Zsr221K0S5t5A8bDIIPTPrXDeItTF0VVovs8rQt5hlcYUdh3GSad4P1c2Ogxx&#10;iCW4bYuViKnZx0PA5/OocG46j50d67mNCQDwB071yi+NQ9ml2bQKGkZNrSYKqqlmLcccD9alTW9Z&#10;ujKg06KFAMgyyFSR7YHXpXM3du8NndJcXEb+QyvdOHJz8uwJwvUrgetKNNPRj50dnceIrCCyuZkn&#10;jkljidxHnrgZxWEPG8hZkSwB3HZFmTgsGCnPHAzn8qh1HxFNLphtGs7eJbuJkBBYlFOEDH5eOWFY&#10;1rbR3Oo3liqAyrko4kOAVbLBflyfmbvVQw8UnclTPTNKuv7S0y2vPL2edGH2+mamdTgAcc1y2n63&#10;eWUUVvJp8kdvGuxdqOxwP+A1fPiaArzBd9f+fdv8K5pUWti1NGBYKpv9SSQD7Z57E7/vbc/L+GMV&#10;oSs6ZU5P4VHqkumaoEmeC8iuEHyTRwOrj9OfxrOZC/8ArNY1ML/154P57a1Suc04Nvc2kb5OBn8K&#10;eDnr6cVzV1cjSzBPZ315OGlVJIriEgMDxkHAxW1qIvEtHNrtMuPlz+tEo2MuVosKfnx7VBcCG13X&#10;EhVcjBZj2rM0m9mkvZoy7sqqMiUAEHvwK0NXk8vS5jKMqUIGATzQ1Z2ElqU5NYsI/IRJllklfYqo&#10;ckk/0q/p13Deb3QEBXKc9yK53TdNhvtQghnt9ktvAkiSRMVJ9iK0r7T7zSLdpNM81xJJukAG4xqf&#10;vFR3NU4xWiHy6nSqp52is/V7o6bpk9yVyUXIHqewrLjksCp83UdbWcDO94GAB+m3FLJHfarp4T7f&#10;Zz2CupkuU/1nBBwUxwaIwbloW4WXM2dFotuukeH4PtDbZHHmzk93blv8Pwrz/V9bN/4gzaE7FcIC&#10;vcbTn+Yq7q9/qeuXJsdOw8hUl1VsLGmOpPvV/wAPeG0j0O4mt9gu2kaMyE9MHgA1dKMaTc57lTdS&#10;vpHSJg2Wk6hd3iXTxsVXlWDMVGOece1dBa/2drqxpNKYtWfdsnt0KFQBkZPQ+vNX9K1Szgjs9PR4&#10;TcTu0LxqwJDgEtnFRab4VmOqyX8yRWyQzExqiEEgHrnPQ5rOeIc5O6t2N6dKFOFir4eu5723u7bU&#10;ArXNpM0E3HDjsSPcVpeGG+x6hc6SxOxR59tn+4eq/gf0rI1RVg8TGexuFjlu42Eiryskq/Mu76jI&#10;/Cl+2mOSw1sEBIG3SZP/ACzYANn6dfwqmndX2ZzqUVL3dj0FEDYyOKj+zKN3HBHTFUF8R6apAa+t&#10;wfckU/8At/S2Xm/tsez1i+ZM6rxsYtrt0rWbixnjVYrtzNbuRwSfvJ9c54rWtrePD74kB3dcAcVV&#10;1G60bU7PyZr+2IzuVllG5G7MD2Nc9c6xq2m2WYZ7O9QyiFZ8kOCeASo61paUtUxKUUbup22hsNt8&#10;bVZOzEhWH+fesM6fLoqNc2UcN7YHll2A4qKGxiRW8yNJpmOXllXcWP49KkspTpGpxxhvKs7vKNH/&#10;AAo+Oo9M1UZSV02YOtGUrHTaadM1S0WWG2gbj5lMS5X6irT6RY7sCztwf+uYrnr3RmgkF7o99HHM&#10;ACYg4w30/wAKWz8YQJP9l1BTBOo5YfNn+tZzp1HrFm0eQ6D+xrDkvY27cf8APIUz+wdLfIOnW3/f&#10;sVLbajZ3se62vYZBjqGHFWUIJz56E4/vCsv3w7QOI1fwhcSa29xDaxSWZhKpHH8vlnse3ep/DXhO&#10;+057tdQELiaFRv6kNg12ZY9pVx9ad82//WAkjjJrVV6qVmHs4dkcRoGixXV+Yp7C2VNPkMUjgZM7&#10;EZBNdLceHdJnt5IWsYVDjbuRMEe9WrazS3nuJUK7p33v+WKuYO7qKUp1G7jUII4oeHrXRJpLuTTb&#10;e5ibh5VbYcDvtJxn6VuWOkaJfWsVxFYx+XIuVzmrupaVBq1uIbkkBWDqVPQiqi2WoWKD7JdfaFQc&#10;QyqFz9CBx+VVKpPl0FyRI/A1pb2XjvxbBbRLHEILEhV+k1egV574DuftfjnxbKYnibybEMjjkEed&#10;+f1r0KvZpNuCuS9DhviP93wt/wBh2L/0VNVq6uo7WB5p3EcaDJdulUfifcR2tr4bnmcJHHrcTMx7&#10;DyZq43W/EbXM6M0LSODm1s/r915fc9l//XXn4yg6tSPZIuDsi5rPiG3MyXGoI/kg/wCiWIGXmf8A&#10;hJHr7elbGiaTcXjpqetANcZzDag5SD0+reprmdLtYdM1JdS1VZb/AF6dQYrWNdxiB6YHRR75rqo0&#10;8TXK71+wafGSfkZWmkA98EAVlUlyR5KZd7nR8njjiuJ8SX48Iay2utsa1u0EU8QYBt69CB396n1m&#10;413SLLzpdbtSX4jRbP53Pt83615xf21zrdxFBeXkt5qs7YiLtxHzyQo4AHrTw2GdnOb0LjTclzLR&#10;FmS7v/F63+qO2PJjb7JEvJz3Kj2/nVK20u81G1tba6M32zzAkQmTAeMjlj34HrXcaD4a1jwxAY7O&#10;Sxu1K9ZgyOPbcMjFQXek+Irm4vJRZW0U10Npm+1HMY9FwucfWk8XDm5YMx9lrdnn2s2WnDxDNaWp&#10;naGL5XkjwdrYwcewHvWr4fvtM8PGZ7P7LqFxnbbiONhLk9j7Vm6l4Y1rTtSSwd4jvRsSo28jd1yT&#10;g/pW74f8JpasVgUGWNd01wwyUHoPeuico8mrMZVGnaJDbXPiPXvGbSW8KQqmFmGQwiHfPvXf6X4N&#10;0iwlaZoRcXDPuLygHB9h0qp4HsFghu7lG3b327m5Jx3J/GuqDkqP97gY5rysViJc3JDodEIJrmYo&#10;RFbGBx2xXO6/rKwFrSyObno7j/lmP8fak1/xJ9mdrKzKmcjEkg6IP8a5sGG1tlurzhZG/cwu2GuT&#10;6nP8PqarDUG/ekY1a13ywH28DRiK4IkIdiYY15kuX7nPp71rw6Aja1Z3Ooxxz3U6uZARlVAHCDPp&#10;61a0qawtQL2+1Kxl1CQclZV2xD+6nPAx+dWLjVLGXWrAreQFdkgLCQY7e9XUm1eMUXCEEk2zSXQt&#10;LKf8eFueevlCmf8ACP6QHydPt/8Av2Kt/wBoWYXP2uDHr5oo+32mC32mEjGfviuO9W9tTRKBzGu+&#10;GNAt7dr4LHYSR/ddUBVj/dKfxZ9ua5y9DR20U+u6SLDTiOtrHl5W7Bu6Z44/Wup08w+IdSbVrlla&#10;0gYrZQtwDg8yEep7e1X/ABHpKa9oklktwqPuDxv1AII6+xrrjUnGyl1CMabkr7HKaBq3hi+1COwO&#10;iizeY/u2fHzEeuD14rT16xt7GW3itrG0kNw6okbFw3+0ePQVzlh4M163vorxltD9kkEqxCfHmnGM&#10;A4O3r3reWSfVNcaVL2Oyu1hEa2l5CfMT+8y8gHOByM1pKPv3T0NcRGlGVoGVBe6bdW8zQWERktoW&#10;lnBmf5ecKvX2zV+2t7OXxCNPezEMRUMh3SZfgE4OccZq1Y+B44LdY1utpeJ47goM+Zk5yPTBBrWX&#10;w8V1iO+kv5JIYsmOFh9wkAE7vTjpUSnCzUdznUVcsnwzpZXIikz7Tv8A40HwzpmBiGX/AL/v/wDF&#10;VroMAZp2Mtj8sVyKpUL5IHBXOlJbeObJIBIIktnfDyMwzn3JroGxyTnIHesjxFdGXxTpEVi6yTxu&#10;3nKh3bUxzux0FbUigk+4rqk2+W5y1UlscxqK2760n9o2tzc2yxZt44VYq0mf9nvUU1q1oj3Vzo0a&#10;2oO541u3Mqj1I6H866OPdGSN2BUGrQtcaVdRx/MxibC+pxVqo72M1O6LEHhzS7mFJI/O8t1DD9+/&#10;f8aVvCGlOxMizMcY5mY8enJqfw/cxN4bs5zINoiUMScYIGDVqDWtMll8tdQtWb+6Jlz/ADqffTuj&#10;rtCxnQ+ENJgJ8gTxnuUkINLLoem2UTXE93dJGvV2uDXQIvzZByDyDmoruyhvrV7a4BaJ+oVsUlOf&#10;NqNxjbQ429XRLeJZ/teoyRmXyy8ZZgrcdeOOvSobW60S4u4LWPUdSSe4JVEbGQQcYPy8dK3bjwnF&#10;9phmt7uWMRyM+xsSBnb+I59Kq23geK01Bb97yR2EglZRGAMgk4U/wjJ6Dqa6IyTRPKuppjw4gAI1&#10;K/wD03ryP++ag/4RNbaxuba1kjmikIZYrtMgvnJyw5OffpVe/wDEE11czWum3MFvbQkRzXjDeWf+&#10;5GO5Hf0qCPUtQtJCbPVGvG6/Zr2Py3Yf7JCrz+GPelHm6ktwIR4HvPLiDy2wBysyjdhE80SAIcc8&#10;DHarlp4LMOq3F0L6SNSX8nylG4B23Nuzkdf5V0Gk6nbazpyXkIK7gQ8bDmNu6n3BzVwDCjApOpNO&#10;1i4wizEfw4x5GrXePdUOf0qP/hHXA/5Ctx9fLSug7DioXBABGTWTqu2w1TiYh0G42kDVZT9YlqM6&#10;Beg/JqxH1tx/jW+eBk5zTtwJJNTGs9mhOnE5HV/Deq3Gnvs1GOZkKyCPyNpYg5xnd7VJZXcOp23m&#10;orI6/LJG3DRsOoNbmvXkthoN3dQrmSNPl9j6/h1rmdJjht7YeRMZpJv3kkrMCXY9T1rZvmjcwqJL&#10;YyRbm21G4IIjuwzSKT0kSty0uVubQS4ADpkg1na7GGEEPkGWWRsKFk2sB3II5pFe7a1Ntb6e0Hyb&#10;N0jrtT8iSaJK8bs5uoyybZq63cMSpa3BMYJHzEjv7c10jHJyGx9KyLqPyNJtzH8zWzB+B1x1pbm+&#10;3pClm6tLOwVT94KO5I9hUy94u9zXhnaN85OPrWH4hsfLkGrW4I24+1Rp/wAtY+5+o61c0qSWXzkl&#10;kEoilKLIFxvrRYIcg8qRg+49KcJuEhXurMytEsoNN1m5ihO+21SFZYJ88NtB3L9eQR/9arnhQSRa&#10;VdQTgCSK8kQ45z0wfyIrFlSWxkOjxyLGySC50qZ+FDDlomPbqR9CaJfE0OmznVY0doLkbby3OFaG&#10;ReM4PcY5Hpj8SUJVNV1O2M4xj6GB4w05fDXxB0fxDGClrPKomI6BuhJ+oP6V0uu+KJpYWjsULjG0&#10;Bep981y/iqK98bRxR2zsMDdEo+6eOM11tj4eXR/CbpcRRz3Yt8Pu2kA7fVug9zW0nGnGPtNZHM5T&#10;xHwbGJaWLT6NqF3PHJDewKJ4mbIUFTkc++CPoas+HyLvSVLKAkjOCp44JbioHuol0Sex0O3a8urh&#10;DHLdIiiKMHgjeAoPGf8AJqCDzND0yG3Dr9qlkEMfPG9z/wDXJ/ConJy0YpwjC0YG14fg1afR4fKS&#10;2kRGaJWeUgsFYqD09BWgdN1naS1nZk/9dv8A7Guh0qwj07TbeziYskKhQTyWPc0ybWdNtr42Ml1G&#10;tzs8woc/KvqazTbZv7KNjmTo2qOuTp1r+Eo/wrn2aCy1NzqsUiTRH93BHEWRB/eJAwTXpNjqdpql&#10;q01nOJYslQVzwfcGuK8TSxLe2dy800iF2hNrBOY2c5+8uMZ/PuK1jq7MFSVtzPutSkeKG402W2kg&#10;Mm2UuSdmemQOQKs3+m6pqUdun9jS5ik8yQll2MB/dYnmqVmvhC8uJiJdVtpQwE28vg47McEV6daT&#10;21zYpJaSI8GMKyHIx+FOXuL3UR7GOzPPZvDOoSHcmjKp/wBl4/8AGq0vhLVGZWbRQ2O5dD/WvVAA&#10;QM4NBUHHFZ/W59hfVIb3Z5JN4Fu2ZzHp1zCW/uyIQT+earHwh4otTi3s3YehdR/7N/WvZsgHA6Un&#10;DZq/rbS2GsNFdWeLoNRsJ2i1LTriF1wM7vlP05rZGmalLmSCyuyjDgpJn+TV6JeWUF7CY7iJZF7A&#10;jkfT0rnpdJ1TRWeXSpfPiPJhc8/kcD9R+NEMVzrawnhI92csbHU4QVlt7xW7fvT/APFVLHZaspJM&#10;F/tHcu3/AMVW3qfka21pZXVpDFcOoe5ZgCYI89AT0J6Vmm4MXiyeCSF10tLqMtIOF37MICPQHr+F&#10;Wqr6oX1RfzMiFrreWC2+oDDYOC/H15oaDWojuaDUfx39fzra0OK5tPEaRv5bRzQzM00cm7zTvBBI&#10;x2BxXP8AxHvb9dWtrd7iSKyZCyorFQ7+5H6U/apu1jWjl7qyUVM6X4XC4HinxT9pWVZfKssiTOcf&#10;vvWvT68f+CTbtT8SYcuBHaAEsScZmr2CvTg7xRdSl7KThe9jzX4y+ePD2jfZv9f/AGsnljGefJmx&#10;xXMaT4V18P5sqWtmzAHzWdppFyPmPIALn+90rs/ihPFbWfhue4kEcMetxM7nsBDNzWiuHQMv3TjB&#10;NcGOrunZLqOCuUdI0O00dP3KF5nOZZpDueQ+pNT6rqsOl2oeQbpGz5UQPLn29APWo9X1WDSLVZJD&#10;umfiKIdXbvj2Hc9v58Hm+1vUNoIku5Tyf4UXuPZR+tctHDufv1Njpp0lLV7DLqXUdevtoImuHBOc&#10;4SJe/wBAP1rS8GaNGs02ptib5jHBIy8lR1YH0J6e1Xp9NTTYINBsWL3t9zdT91iH3j7Z6Cult7eG&#10;1t0t4V2ogAUD0FLG4m1Pkj1KnV5nyrZCjOAAMNjisjWtZ/s+P7NBte8cZUdox/ePp9O9P1fWVsVN&#10;tBtkvWHA7IPU/wCFc9Zafc6pcmOEt94m4um659Pr/KvOw+G+3M5Ktf7EN2VNOs5tRvXSJmeUn99d&#10;EZwfT6+3au1g02G005rSFMKylWYdSSOp9TVi0sbexhWGCMIgHbv7n1qww4GBTq13KVkOnRUI3e5x&#10;Xgy4kt3v9Ol+/DLuA7kdKfrviTyg9nYt++ziSQHhPb61haxdvbeNbsafMsayQhZpFPC8cge9aGja&#10;NEITf3+I7GP5grnl/wDabPb2rs9lFPnfUynUk/diZsFotrANRvYnaPdiGI/enc9PqM1uW+kavbTy&#10;3M9lFdXEuMs04URr/cRccCrWjwvqusDVp0MdtHlbKEjHH98j1Pb2rpyCM9MelOdfk0RUKKSscs1n&#10;qRALaHbn3Eqf4VmXVpeLq1qP7DjB2PwHTnpXfEfIMisu5H/E+sOD/q5MfpXPDE6lewj3MFbK4Vf3&#10;nhxj7gRH+tZ2vWqw6HfSnw+8brE2H8uLjPvn6V3tzdW9lAZrqeOCMfxO2B+ZrmtQ1AeJANN06KV7&#10;WSRTcXRXaixggkLnG4nGOK0pVpPVxF7BdGULXS7aKziU+HZTtUAEQxnPH+9UpsLTaoPh+5HPa3/w&#10;NdmqhQRjp6U8Z8vj1rN4lc2qH7BdziEsNPB+bRb0Y4GLd+PyqndaZpUyEvpV8sgBCyLBKGX6GvRE&#10;45x0p5IIJx2qliI3B0bPc8itkbTpgJbXVL20Jx5gjmWSMe46MPpWrBdaHcr5lvPqLAEqTE1wcH0P&#10;FejJjHSsXUNEjmuTe2MjWV9nHnRDhx6OvRhV/WYyF7F33OZ36ciZF3qkajszXA/Q1Bd3djFYTyw6&#10;lqCyLGzIrTTLk444NdKuuz2RSDXrYW4ztF2gzC39U/Gt/wDdzQjAV43HYcGl7VRab2D2T7nM+HLO&#10;2tNGt2tyHaVBI8h5ZyeSSeprQYktj+dZccL+H9TWxLZ0+4Ym3Y/8s27p/hWsygHOcnFObvLm6GFV&#10;WKkuVNPVsDPrSSMGU56io8/LnNS9znvZlI6Dpkk7SNDIQ7bni81hGT67c4/Sp7qw08wlGsLby1U8&#10;eUOPpxUyPg5NJcSxLbyvM4jjCnc56DitYttrU05mzn9FvbsaepOoanGpd/KWKAyKEBIHOw/zrRjv&#10;dQB+XV9TP+9Y/wD2utnwmyp4YtGlHlgIRlhtyMnBreVwU3A5HY1U6iT1R0qDtucHd6vrNtDmDUbm&#10;WZ2CRxy2e0M31KjjuatLpX2yLfq95LeXLDDIkpjiX2Cqf55zWz4ntLm602Oe0QvPbSCVIwcb8dR9&#10;SCayrTUItRhL2zEgMQ6PwyH0Pp/Whz926IquSHW2mWli6/Z4Vj2fcUdE9cen4U68iW8iMb8MfuuB&#10;yh7EVMRIQGx2pUhIPLHmsuZ3uzn1ZzKXur6Fdy3MEMnkXB/0krAZRkdJAAe/f8+9bH/CR3ghilXW&#10;LFopB8jeRnP1+br+VacSeXvGc5HWsK8uJNA8R2uoRJiwusQ3aj7u7PDn0PTn610xmpbmtOXRlw+J&#10;bnjGs6aR7wEf+z0g8RXBXjWtJJ9PLI/9nrsgyMA20HPOcZpvlwtyYk/75FZqatqjojB9zkx4guym&#10;f7V0n/vk/wDxdKuvXe4n+0dJPP8Atf8AxVdS0UGCPKjPttFMNvat1tYT9YxS56d9hOEu5zkuuXrx&#10;sn2rSWVhgjLc/rXNajBFaLBfwR6dBIk6bmtGZdwJwRjOD+VelNY2LDJsrc/9sl/wqCbR9MnheKTT&#10;7Yqy44iUH88cGtIzgiPZyZzGpaDBfahBfiSeGWOMrmMjlT2Oen1FVpNNltiWs7x417pMTIrH6k5H&#10;51FdxalDf/YtH1K6nW3IWU3AjESDP3c7dxOPetiYrksDzjkg1M7rRHPUVmZiX1xahBfWyiMnHnxN&#10;uUE/3h1A/OtOG0sIJftKW8SyFfvAc1iX1zJel7C08onafNlkBKp7cdTWlaRlII4pJd+1ApPrj1pP&#10;TUi43S3X7ReQRPvhSTcrY6E9V/Cr8gwPw5xWJEzaNcOpdjZOchsA+Ux9eORWoku9Rk5zUNe9cTdx&#10;9zBBf2pguV3Rnv0Kn1B7GuIvNFvD4gXTdRlUWmpI0UV4RjdIAdof/aPT3/Cu5cYUY+tRzw2uoWMt&#10;leRiWGQYKk8j0I9D3B9q1o1XF2Lg+kinoU+l6Qi6bfyR2uowKFdJWwJMcBkPcH8/WpfEMsF7q+la&#10;ZK6i2mWSdl3cTFcYTPfqTj2qgbmGzuodN8Uww3tkx8u11SRfmQ9llPY9tw9qo6n4N1JXeImO502O&#10;RpoIEk2OmOgD4yOPQ1LgnP2kmdtOKUbQOhaVIlaNcKqjpjAxWE9guvT3UtuQY7SErDIfumY4bOfQ&#10;BQP+BVyupWts5jkYXPks7rIjTu5jIA9+RW9pUepzeGt4me40+KVg9sqhWMan+Fh1x1xWnsuWKqXO&#10;eNlUs9TXTx9KIIHRbcq0YO0rJkHHIJAIzWNrOtLqWqST2drcI8sXlvcAOEZNhGCMddxHar1jpkUG&#10;ddu9Ogn02fmSDG4xL2kHp7r+PrXQ3GlJHLZzadapNpQ+Zre3IUkk8PnPzD/Z/nVJpM0Sm0crpOpW&#10;i2k0lzcXtmWfPlx5XA2gZPBHb1qrqGoR3eoLsYtGx25ZWLKNwYnGPatZbD9zeJHDLdWZnSSVpICs&#10;nOSyYwMgHFR6BpcxuYRJYyCXzVdXK8JGAcgn69q0vHdDUZsTwtdw2N7Os77ncCOMBSS465ORxWhe&#10;G+juWu9IshYzE/OVlUxyD/aTjB9xW+3hywu3klmgZmJ6rKwH4YNWf+EX0tYseTNnH/P1J/8AFVip&#10;pu45RmYcPiTxHZr5t/pEVxAFyTbSYcf8BJ5/Op4PHlvcIHjsJ2H+y8Zx/wCPVqHw1pgTIa5VQMki&#10;7f8A+KqlP4E0C6mE7xTGQ871uHBP455pc9J35kS41be6x48Y2rDJsrof98/40DxlZjP+hXZ+gX/4&#10;qsm/8Frp8pubeW8vLTHz25mIdB6qR1+lWtO0Dw7qSE29xdMyj54zcsHX6jqKu1BLQy/2i+tiyfG1&#10;lyPsl4P+Ar/jTG8cWAzm2u8Y5ygPH505/BOlHJEl3g/9PBNRt4F0wsdtxd4x087/AOtWPtMOnqUl&#10;iPIq3Wt+G7u4FxcaXJJKQBveAHgdO9SDW/D0ong+yTCK4YNLmE4JwBk46dB+VTp4I09Rs+03oI/6&#10;aA/+y0v/AAg9krZF3eZ9dy//ABNa+0oPYP8AaPIzf7YsEuWudHX7DHbSHz/MtcfaFx0Q9hn09ah0&#10;/wAW2GsWsia9awzZkPlxRwmQKvoSR1+la/8AwhEBUgX94B6ZT/4msi9+Gqo/2nTr6485SSUfaA3b&#10;AIHHX0NWpUWgTxEXdG78O3sZPGHiltOiWK1MNltRU2gf67PGK9Hry34VW9xa+JvFMF1E0UyRWYZW&#10;6/8ALb6/zr1KvThblVi05PWW5558WrJdR0rQLJ3KLPrEaFh2zDNUlxqI0DSIVuZPtVyQEjXADSN6&#10;4HQep7fzZ8V7lrPTPD9yib2j1mNgucZPkzVwdxc3uq36xo3nX1x/F/Ai+g9hXNiKMZyUpbI6qFLm&#10;1eyLU8t3rmreWreffTDlv4I07/QD9a7jTtPsfDGjyzSv9wb5526tgf5wPpUWg6LaaLb4SQSTv800&#10;rHlj/h7VU1i4i1XWItJEg8iDE91yMMc5RevTufwrgrYlTbS2RdWadoLYk8PwzTPPrF6uLq8wQuP9&#10;XGPur+XX3NGu68thG0FqyPet0HUIPU/4VHrniC30xFtreWI3bjKjIwg9TzXHafCdQv3Q3SDLgyzl&#10;xk+w9/5VyRpObc57HJVq8vuQ3Zp6TaXF9dkI5L7t09wRnn0B7n+Vd1EsVvAEjwF74HWqdibS1tFh&#10;haJFUYwCKke7tSvzXEY/4FWNarKb5YmlGioK73LBkZm+UjpXL6/rzlJLSzlxjiWcdF/2R6moNe8R&#10;QmRrKyuQNo/fTZ6ew9TWPawpLaPqErKlpChaKMnJc+p9s1pSw/LaUjOtV5vcgUfDlgmr+KlZgwt4&#10;Pm2Efex3P1NdJq91Lq199jtY45bK0cecHbaJHH8ORngVj6HeHT9Du75ZIzc3Unlx89CeB/Oul0/Q&#10;tHSwiSSCB5j80kjEZZj1Ndc5K93shxhaNo7jRrOoK4H9nWwwOi3B4/8AHasx61qTLn+z7cj/AK+D&#10;/wDE0PpehIhL2dtwOx5NQRaLo+CyxQjPON3SudunLWw+Wp3LUmvX6J82mQcdcXJ4/wDHa5a58S6t&#10;quqwDS7SKDasii4aTKt03bcjkj6Va1qw06a/tNKhjRFkzJM6sfuLzgc9T0qx/Y+ijVrCOKJViEbj&#10;aJMDtjv6VrB04q/Ww7VO4tnbGCT7RPpaXl2fvTz3W5vwBXA/DFa6avfofl0mMf7tzj/2Wpl0HRQM&#10;7dx/66n/ABpRoWkFicMP+2zf41i505biUaliEa5dqCP7JH/AZxx+lVZfEl7HqVnCNPxHIHLJ5qks&#10;RjHP4mrTWGgwsUe62P02m7Yf+zVmXdnoser6egviqsJdxF4fl4XHeqjGm+gWqGsuvTE/8guX/v8A&#10;JSt4gnBI/smf6iVP8arpb6EvTV8H2vT/AI1OulafJHmPULllbkMtyT+tS4U1uFqtxU8QyAkNpNzn&#10;0Dp/jSHX5Cu3+yrsZPPKHH/j1IuiWW8t9vu8kf8APc03+w7UbSNRuxgnnz6X7qwNVbizayr24SXS&#10;rsoeCDsOf/HqwJL250M/aNKsLlbUZaSzl2lPcqwYlPpjFbbaJAUA/ti89cecD/SmXXh6GW2dI9Su&#10;txjIBeTcPyqouCshtVDDTxCPF2qQ2MULWcVrIk0hnwHZuygf1roZZGLNiuS0K3stQS+W7kHnJPxL&#10;kK64GMgirw1OfSX23cq3tn089OXUe4HX6itqsU2lE5qjbepsgbhyc/SkK44zxUKX2nXEYkhu4yp6&#10;EMP1qRriILkyx8f7QrKSaepi1cmjjAU5qh4gtIL3R5IpbtLVcgiR/ugjnB9amOpW+Sokj4/2hWHp&#10;VlHrk81/cX4F0kjKsLKrCJQcDAP55FaUl1ZpBdhb3xBbXWiWN9d2y3H2YsJbVo2CSdgwOMe4ro9H&#10;1zTrXS4YpJmDY3bVichATkKDjnAOPwqle6FPfWxg/tWMKSM5jUZA/GpV06+BwNTtQoz1jH+NaynC&#10;R0e8jWPiXS2IJmYZ45hf/Cs29l8P3VwLuO9a1uwu3zokYFh6MCMMPrWXqN5Ppk8cMl9DNI+SscVu&#10;WOO5+92/rVOTXb2SPFnGtw467rdogv1ZmxUqmuhLlLqaIu7iEt5PiKyn9EnttoP/AAJelXNP1WO+&#10;uJbeTyluYlDMIZN6FTwCDWHHr10mBeRwwMOpaBnT81Jp3hqQGXUZ3ZZZ2lA+1YKiRcZAAPQDOPwp&#10;zgrXIe1zqVK/MOmM1FNFDd27QzqHjlXay+o/xqp9phCuGmUHb/eqNLq3UD9+uMVgn1RgnqXtA1Vb&#10;N20i+mAMK7oJHYDfH6fVTx+VTat4rsdNeO3jR7y6lGVht8HHfk9K5TxDHBfWQmglQ3Ns3mR5wc+o&#10;PsRWToUhn1mW6nghtVK5Co4IyBj8O9dMYxlHmZvGq0jvofGFo9os01jexSuPkiEW8t+IyPzIpD4q&#10;aP5rrR7yGHPMmVfHuQDkfrXKyzGKOSzguIhG75WbzPuqeSMevapI7uKyd3XUJHiVclWfd061CUG9&#10;iXXdj0S2vLa7tUnt5VkiflWBzmsfX9Yu9MVDZ2gm3hixIZgCBwPlB61ymjWaz6b9oW2tGE0jzASy&#10;BGwxyOMGm3GoQwXZtU061kn25+SUFV+pxxVqKvpsae0fUztU8T6jpmotHBApWXEr+XHkgkcjjvn1&#10;rV0u9mv9LjuJvlkdctlcDNUbeI6eIVgms2ed2kmJXIz6DBpqxNfs8rXVsE6BJCcJjtgEfnVTSkc9&#10;R8zL8ejRkMWnleJ3LmI4C5P05P41Da6ev9tSwRSyWsIiBZIcLuyf89KvaV5NrZLDPqEErbjghhhR&#10;6dTTIry0t9bvbjzkdUt16Hk89B71EW27EqPYtnS79LeSOO5SeI5XZOhzgj+8P8KsWNk1rZxQyyB5&#10;EUKSOnt3qvFeapJafbUvLJGxvWz6kr6Fs8HFZ+ua9b32iRLp85865YKQvWNR97Pp3pRg5Oxbgo6v&#10;c6GKa1uw621zFKUO1tjhtp98fSq7gxNgkkGsPSI2sNUilaKOC3ntiqjPPBGN3vycVqS3sD53ToD6&#10;ZpSgoz0JlF7ss3NtDf2bW80YeJ0Ksh6MP85qtoN1cQ2t5oMtyJp7SHzLWRvvtC2doPuCMflSxahb&#10;r8pnQDHr1rO0N4LvxdqWqiXEVvbiyTDD5jnex+g+UfjWU/gbfQ6MM2pWRgXU8aRWyYAdEnaQDvkq&#10;QT+g/Co/CPiWXSIgGjL2byMXTcCU5OSoxyPal8VCG08R211HIFWRG8wD7vJqXRLaO7t7FYZVjhYO&#10;bht3Rwx4Irqbh9WTYQT+sSO48N3duk81hDIJbNx9otT2KsfmX8Gz+dKZR4Zdmxv0Z25H/Psx/mp/&#10;SsOeS20zWIr22kHkWuxpEBySGyrfXop/CnahqP8AaIF3cNi0DfuLbPLnsSPU/kK54bqa2Oicklru&#10;dvHcRSxCaE70ZSQyng/jVGyG65lkKYDMcD0rmbc3+iaeZ4JongkJZ7ZTuMGe685PuPyqODX7yEOy&#10;X9jhm3EuhHX/AIFVundNxYlU5d0d4jusLsB0Oa4W+17VZdKaSPUIx9ohkZg2AIQp45Az7c1aTxRe&#10;LEQ1/pXPY5/+KrIfT7Cdppd+nZlB3Kk7AN36Z/GroxtfmInUTZa07Q9a1bTY5zdhYHgHkhpGyfY/&#10;Wu8tFmjtIEm8tZFQBlQ5ArktJ1S80rTYLSN9NkSJAAftJyauSeJb4sv7mwJ9Bdf/AFqyqRlK+g4z&#10;iddgnuKztQ0e3v8A95t8q6Ufu54+HU/X09qx/wDhJb4c/ZLMnH/P3/8AWpf+ElviOLO1Y9wLn/61&#10;JQlHQftImjpd7PJJPZXigXVvjc68CRT0YVq4JPIyK89fxbPF4inlezj/AHcQiKiYcknOc4q9/wAJ&#10;4DKALLgjoZx/hTlhZS1SJWJgnZs7RxhQR2NPKjqPTiuJl8cyeWQNPHPpOD/SpYPH8LIivZPuxggS&#10;rQsLPsH1mn3Ope6jjmMeGZ88hVJx/hU0LmQZZCvsa5C18Z2wubp2tJsMVIAZfT61ZTxtadRZ3GM9&#10;Mp/jU/Vprcf1in0ZoeEf+Sh+Lv8ArhYfymruq86+H+oJqfjTxXdRoyBobEbWxngTehr0Wvdpq0ET&#10;e+p5p8aF3eG9IG8J/wATVPm9P3M1c54TvriTVobeVY9gjYPF5YBXCpg+vJY10nxmcJ4e0YmPzB/a&#10;6fJnG79zNxn3rh7eeIXKSNB5ZDJHdsJnBbLsmRz0GwnmufFXcbFxm0rHpWo3lppllJezRqEQdFHL&#10;E9APc1zCTjSLSbUb+JX1S/bcIAOmOg9gB1NU9Q1iK7vIrpgz2NsSLSI9biTGN5/2R2NUYVvdZvT5&#10;beZcyHDyH7sa/wCHoK8tU/dszOpVa92O4WtrJrGqO0kazXcmGZivyRj6enoK7ax0i006Hy0iRm3Z&#10;Z2Xlj3NSaVpMGkW6xxjLHl5G6s3rVx8k9uvFctbEuT5I7GtCjye9LcSNYiMLGuD/ALNYuva1Fp8J&#10;t7aNGu345HEY9TTtW1VrOPybVd1wwILHog9frXPaZpEusXDM7sLYP+8l/ikPsauhRt78yKtV/DDd&#10;kGi6RNqVyzMSYCxMsuOZD6D2q54ivVlkTQNNjHmvhXKj7o9M10c8cWn2biD5I4kJCjp0rg9M1JbK&#10;0ur3ep1C7cxwhz93/aPtW0W6sm+i2KhTVOPmbVymlaFZ2VrctLI1sfOEceD5r+hz71p6X4r03Upj&#10;HHmIBd2+YBV9xnPauHvbO+ltEmaS2VYlOZRITkk5J5qvo93Lpl6UEMM2UMmJBwoPJOPfFbujGcLN&#10;ke1SZ6VL4i06G/8AspYO5jMuUAYbR3zVW38Z6XK8SeVOHkYLtMY+XOME89DkV51qGtXWpyCYW8Ee&#10;Pl2pHhwoGc5/u81pWnh3WFngummtmKkO/B+fGMf+gio+q00rtle1O/hdLzxTOPLH+iQqu4Du3P8A&#10;SptTRBqGmHaATOR0/wBhuK47S5buV7zU2v5bcTz4ypAU7RjuPUGpLu/kN3YEa4z7ZuCSvHyH2rF0&#10;fe0fQXt9dj0NUGD8oH4UoXB+6PyrkF1SQD/kNdT3Kf4U9dVnz8usgn/gH+FYLDvuUq67G3N4e0u6&#10;neebTbeSRjyzRgk1mah4f0mO90tBplsA9yVP7sdNjH+lRLdalIjvHqrMq8sVVDj9KqXH9rXMtnKL&#10;9ysUpfPlr/dIyOPerjSknuL2qvsb6+GtGbrpdp/36FaEdtBaW/kwQpHGg4VVwB+FcGPF99EkjPJO&#10;wCO8bCNf3gXg444qBPF2tTfOuVjAXfIY/lBLY6496f1Wo92V7WPY9DQB8EAYIz0oZeOnGfSuTTVL&#10;vbuOqqM9Moopv9q3wGBqiHJ7qlSsPpuQ8RG+xp6rdSJI6rM0MNvAZpSgG49cAZ+lZVoPEssMUp1O&#10;KMN8yxtAGIU9ATVG9e6vLgxPqKbbqAoWCrwQcj+dbWj3bXmlRSNgSxny3wf4hxXSqahC9rkyqN6x&#10;KWjaF/ZazmaRZpppCzPtxitBok3fdX8qnYtnLAjPcU9VRl6npUN3ZzydzDvNETzRd2LLbXH8RA+R&#10;/wDeFMg1lIpBa6lAtvL0VjzG/wBD/Q1sSfLx1FZ93BDPGUnVWQ/3hTunozNuxcaOJ4g6IuexxWbq&#10;bJaSWupIipLFOgeQDGUJwQfbFUIpZtMm8qwuFuYdxH2WRskd/lP07Vp299YaoGgZMEjElvKOR9RV&#10;RhY0i7O5p3PiFTc/Y9Ks0vZwMs+790n1YdT7Cs1rDULm4+0XeqSRSAYWO0ASMfUHOT9a0bSCC0Xy&#10;7aFI4+6qMClJJkbHWhyUdEXOq2tCjbaXBBctdSbri6I2GaUDdj0HYfhV+RVZT8g/AU1coy56ZqZs&#10;HdtOPaoc2Rd2GI3lAhUGDjtTZXB4VFHqMVISChzTGTdzmhyexLbsVFB+YgAcdKbhjtDAYxVxUCq3&#10;rg1EAMDGCcULYhFVYgJAQqgfSpI1t13+XBGpf721QM1YCLjJ4rNN0fMkW3tZp1RiGZMYz7etCu1Y&#10;a5lsTaikcOm3EiRKXEZxhckVm3MlrLptrZ2rJtuJkhdk6qOp/HiteG6iubPzg2Exzu429iDWPJZx&#10;X+ozGzkClFR1lVcqJFPH14rWltqUt9Tv4raKKBYlhQLGMLx0FeaQRxw+Ibi1vHeObe5J37ec5Bx6&#10;EV04uvEbAO93ZoQOI0hJDfUk5/KsvVUutW1CymudKjWaJtskwcMjJ3GOtaQ91PU3lKLRFNNaXV0r&#10;IJJhEN22NMoSPU8c0tpBK8lxPLAIxIQVQgfKBWzHbpEAsaBVA4AGKjne3tYWluJBEmMZNZN9Eclm&#10;3YrJCuxCUXH0pIJhHrYg2gRm3JOF75AzUkMlzqBSPTIGVed1zcqVQfQdTWFc/a7XXftFlfrcxxxl&#10;ZHnQBGOei7eaunTk2aqLjuad5quq2MYtZbUSW3Obq3TcxHYMvb8K0vCOnxzQPfNJBLC3Earzj/e9&#10;D7VDbTay8Alm0KXDDPySAkj6HFVHurW2le4hmm0m9AyVkjIWT2YdGq1KVrI0s3JSkd3Lbwyx7XjU&#10;jIIyOh/pWBqEcVpcxRTRgLM+xHVeM+hPbvV611cjw7BqWop9nkdeU7k9sD39PeuO1TUL/VQ8fzB5&#10;jiCBf4COhz6+9TTpNyfMVWnFK3U3ZLdElAaMbSvYVneFRGmgyl/LVlvJ1ZgMEnzD1/z6Vbgv4mto&#10;hes8F0keJfOQqqsBg/NjGKp+Hiy3esWUsYMH2kXELEZD715wehGR+tc2IjenJI1wvuzOZ8Wagmo3&#10;9pZ2OxjGkhklYYCDI/Wt/wAGpZaX4eWWWVN0rtJI7Hk8nn8gK5nxTOV8QrF9mCJAhIwuVcEjrW14&#10;btbd9MsGS5tEuCowvkc5x3z3rSpH/ZI2HB/7RI63SoBcyz3k0AQXChEjYc7Bnk+5yfwrO8JWtvLF&#10;NM0guHtpZLdCy4CKDxge4wa1NLvJZ4CJVUSRu0ZKfdbHcVh+DZvLub63PHmqJh7k5H9BXPQcnCS7&#10;GtW3MrnVsqvGcqMYPOOa5XVjFY6ilxYxrNeOdsltgbZF7k+h9+9buqarFYWwRB5lzIMRxD+Z9AK5&#10;i0iunvJERhJeynMkhHyxjt/9YVrRTirszqSu7LU6rSp9L1a1Z47aJZF+WSFowGQ+hFXTpWn+Vk2F&#10;vnH/ADzFYY0I2MYutOmKX6HLu54n9Q9bemaxBqVuyspiuY+JYX6qf6j3raLUnoxuNtxRpGmlQTp9&#10;tnH/ADzFIdH0wuP+Jfbf9+xWicYBPQimtgkYrKUprS40olF9H0xgM6fbdP8AnmKE0jTVDAWNvg9R&#10;5Yq+Rj8qAQMk9MVPNMFGJzGpeCtLurgXNvGtrPjB2Rgq31UjFU30RdNlD3elWl5b4wZLeHEi/Veh&#10;H0rpNT1az02MfaJPnP3Y1GWb6AVkvreqzPuh0+GKMj5RNL83444FbQnU6shqmtws7Pw5e5SC3t/M&#10;6mJk2t/3yea1l0fTQoRbSHAPHyiucvbr7Ug+26XJFOpylzaEOUb17Grej+KLa5lktryQQ3MWFLSA&#10;or+4zj8qmftN0wSpvoag8P6V5pk+xx7ulOfw/pkoCtaR49uKvRujLvVwyk8Ecinb+fXFR7Wqlqxq&#10;lT3sYXgSzhsPHXi23t02RiGxIGc9RMTXoVcF4NOfiB4uP/TCw/lNXe17tJ3gmRZLRHnPxcW2fR9B&#10;F45S2Osx+YwOCB5M1cRqdnZXTWswtHisoV2wRMxElyR0ZvReT19a7n4symHStAkWMSFdZjOw9D+5&#10;m4ri7eC71K/f59905BZv4Yx2/wDrCuXFycbNmc5NaLdj4bG4v7tLaNQZ2XLMB8kS/TsPQV3WmaVb&#10;6XZCKEEnPzuerGk03T4dPt1jj5Y8u56sausenPGa8StiHP3YnRSoqNpPcMZYcc9q5/X9d+yK1rbE&#10;G5b7zdox/jU2t64LVTbWrBpyPnfqIx/jXO6TpD6vO8ku5bbflmJ5kPcCqoULLnmZ1arb5Ia3M2SW&#10;9bTxcRwNJbiQK7s2NxJ5OfT3rpbfVpLG2SG506W3iH3Wh/eJj8K3n0+BrBrTYFiZCm0DtWTobs2g&#10;ASEn7MWQk9wpq5VfaKyXUunSUNXuYXiPxLbDTpYLVpJLmVdqJ5bDv9OlWfCOkJb6TFdyJ5k0wzJv&#10;5wM9BU0T6abW51W8dGZlwFYf6tc8Cn6HrWnRaNCrXCZy3HoM9K6JRcaVqY+ZN6mhd6RaanAYJosR&#10;5BXbwVPrWfdeFHubmMy3KNAmMkp+8Ptn0rVTWtLLHN5GM1SvvFujWSArdCaTOFjj+Y5/pXND2q0i&#10;D5DNHgmKOJFF2xkBIdto+dcYx+VaesaqLWD7BaIJL6YBIo1HI7ZPoAKzxq11q8mWvrfTbc/whg0u&#10;Pr0FaWmR6FpoYw3MTyt9+V5Nzt9Sa0bnvPcfumlp1hBYaTbWPlq6xoASR1Pc/nmquoW9qb3TgLeM&#10;ZnP8I/utV06pp5x/pcIP+8Ky9R1Gw+36eRdxYWVifm/2GrnXteZjvA1ZreyiheZ7eIKvJO0cYrKg&#10;1HS5JUDWflxuwVZJIdq88jmnazqtg9ksIvItssyRsQ38JIz+lQX+uW8s7WNnZR34EYaXLhVUZwB9&#10;eDV04ze5N4JEs8dtqGoRWEKoYF3TXIi+6SBhVY/r+FP8pNO1W2trfAhuA7PEeQu0D5h+eMUumazp&#10;X2d4iFsZY/8AWQSYBB7c9x70XraZqBiIv1jnj3CN45MHnqPpxQ3Pm1H7py58OeI7clbae3lgihki&#10;gP3SqtgntycACuv0WxaLQbSC5RVkWFVdWHfHNLpuoL9jf7XKgeFzGzHADY6MPqDVk6pp21h9tgPH&#10;98UVKlWVlYLQuJ/ZVnIfmt4m+q1FLo2nqv8Ax5wk5/u1Kmp6eFBF5F9d9RjVbEgg3kPDEg7u1Zfv&#10;L6FWic1aLp9/q1sj6bDCUaRRxnd6H9DVnS4EtNS1S1iQKqzhlUdgRmn2UOmzTjUHu9vlzv5e1sBh&#10;k9fzNT6hBot/cCd7zypCNrGKUruHvjrXV7Sz5TOcU1YsM5+4w6d6VI8rwRWGuo22k3ptZbtp7SVh&#10;5MzNuKE/wk1ry74xlclcU5KzucclYSRcDB61yniWGCW5tky5kO7eiNztx1rq42Wdc5IxUd7p1tcI&#10;VkHzEY3rww/GnCXK7k76nM+HtCK2tpdx3L7S5kAZRkgjBBrYvtKgu3V2TZKvKSJwwP1rVtLaG3t0&#10;hjysaLhRmmvw2DTlU5ncGYS6heaY+2+iaW37XEYyR/vD+tbEc8d3biWCQOp7oaeVAyOoNZFxpUlr&#10;MbnSpPIlP3oj/q3/AA7fWoupPUEzaDlo/mAytSHDDKkDA71hW+sqs6wXkbWsx4w33WPsa1pH4VwR&#10;jFDVmUiZSNu0kUjDawOcisuXX7HzRFb77qfODHboXOfr0FMMfieceZbaXDHDnISefDn8uBTUJMca&#10;baNaU5Vsf3e1Z0t9DasgOXc4CohyxNRaZqi3pntLmGW0vUB8y3l+9jpkHoR71zesSDR0WKQGPz5l&#10;Buhz+65LfQjgfjVxh71mLk11NK88RyWruZPKHJCxEEn0HIGM+1XNJXVrmzjjsYFt4kGTNcqfnbvg&#10;f1q14L0FH0+DVr0b5JwHgj7RKRkfjiuy2InyjPtz0p1JQhpFG9Ol1OEtrWK/ja4m3xuHImt1b5N6&#10;nB4rRSS3R/JWWISdkyAR+FXb/wANJNcy3VreTWrS8yhcFW9+eh965PVRpxUWNkv7mJt0t5nLuw9G&#10;qow59jGrHl1kdI7nbx1qMvkYY8jpVCyl1OGxR7uwmnt8fJOgy5HYstOOo2ZY4E7Nj7ohbP8AKolB&#10;x0Rn7OXQuI5Dde3aq17DFfW7Qy5xwQQeQR0IqWKK/uYt9vZGL/auflGPXArmb57q5unjbUWa0i++&#10;YU2Bz/dHc1VKnKTuDi4vUn1XXNUsrdNMuLjdBICVnxhnH9wmtfwhp9rO6XVzNAzpzFbq4O33YetZ&#10;0Hha8Gnfa/JEsJOfsMvzZHqD2NSxjRZ1AZYbd06q37t1PpWs5JaLc2UfeUpHooJyQOKoapf2thZG&#10;4vApROgKgknsB71x6XdnDkR67dR/SYsB+dVNWW5W1XUTqY1GFcKI5COAePlI71lTh715Gk6vMrRE&#10;uNWu9avFcxs05OIIF6Rj1/xNddoukRaarSyfPdPje5HCj0HtU2h6LDpFuHwst0/Ly4/Qegpt1rpF&#10;01np9q93cDlivCJ/vN0/AVc6vM+WGxNKi0+ee5PqdxaR6dM13EHhZCnlFcl88bQO5NebyLNoU1lo&#10;t9OimRN8cyknyC3Ijbnt610WrX50qXzry4S71bbmKPpFbD1x6/rXDxxPrer/AGWVvNluCSzSNg8n&#10;qT/hXRTwzdN8+xNXEqElCOrLWvXtxDqgt9RhWQG3AVh3GTz/AJ9K3fCdmlnobXrJvlSI+Uw56LXI&#10;63HeWtxc2N9LvuLCECGQjl4xuwf1xXeaHdoPCNnEkatdTRYSNB97jaW9h3rkxd4UEkaUG3Vk35Gz&#10;pqx2+mwrHuYBM7vUkZJ/OuP0a9ezuoJoo3kkeF4VT1bIIJ9hzXbbBaaUcdIoSD9QP/rV57tuI/sc&#10;9uebYmRwRkbcBST9N2fwrny7WMmy8Y7Tikb0cV290UVTPfzDLu33UHv6D0Heuk0izFtZsr8tu+Zz&#10;1Y0umWkVnp6vFIJWlG+SfqXP1q1H8yfU1FWo/hRrRppe8yROc56Vz2vsHuEj01gupRjJmX7qL6N6&#10;/Sp9T1VlLWVkw84f6yU9Ih/jVLTdLN/GVjLJZdZJM/NOe+D6VdCPJ7zIqzu+WJUXV9ZEe64uZ0jH&#10;HnRRh4zj8MilfxBcJgjXB/35B/pXarBFFAsSIoRQAFA6VHPDarC8kkcaqiksxUDAxVe3jKVrE+ya&#10;V7nN6fres6hAZYLmIW5OFlmjGTj0AxitBn1toyW1G3jBGN8cPP61j6Wh/sqIj7p3FCPTJqxNN5ED&#10;SPI2EGTWvN0scrrOLsTw2MFtIZt7TXLfeml+Zj9PSpJpEjmIkmRDjucVzN5rNyswhIaANjkLuYj2&#10;og1S0aG6lii84RbQWcfeY9uapQbRDk3qdIJQUykqkA9uacEhmfMpVjjHKis64s4ohBKiBG8xclfQ&#10;nFaTKqNn35IqXoNNpaGfd3R0DyruxLCNpQkkI5DA8ZA9QcGmS+Lr6NCVktWGcBipGR+daOj2v9pT&#10;rqE4/cRO32ePsSMjef1xRqXh23R31C1SFSoLyRSrlHwPTt+FXGrTT5ZG7p1HFNSsHwuvpdS8U+Kb&#10;qbZvaKyB2dOPOr0+vNPho8MvifxHPb2/2eOa00+QR/3ciY16XXrwtyqxaTSszzX4ymYeHtGNvGZJ&#10;hqyFEHVj5M2BWB4f1pIrIJa6TK2SDIVkUuW77gea6z4myJFb+G3kYKi63EST0H7mauW1i70C6DfZ&#10;Ijc3zHCfZAQ24nqSPevNx9pSjBouMVfmNoeI7dNouLe7gz/fiP8ASodT8TQ/YgmnSrJJIPmlB4jH&#10;+PtXF6xqer6bZwQX2uOLo4V44UGIx1wT3asDSV0ptYVbya4Fk6mWQtu+ZuufoawpYGKXO+hM63M+&#10;SO5uwzXuraiLTSITIitma4fOwHvk9zXaaZrsdjbSWurXNtBc28hUgDYGXsQPes3T5pdUvfs2hubH&#10;ToogwlWD/WMT059KtHQLm/1WC71pLSSC0BKso5duxP0rOrNT917dupdKn7PVbl0ay2qOI9Nk2RYL&#10;SXEkZCgf7OepqCWyY6UNPhcr5jFUDHDSMern274qW/kVwGlxFYQDcE6biO59varGhWr3cp1i8jKl&#10;/ltoz/Ah7/U0qdqerDmcnZGVeaBqv2GWOWW2hghjxuAyZAPbtUOk6Vd3WlRTWdzbRQJkbZIQ2SO+&#10;a63WCBpd2WPHlHNcdo1z5+graRuy2iuxnder8/cX39a1hKdVaLS4nBLcyNT1DVCvlGO2W0aXymvk&#10;XAP0HUfWt7SdDuIIYxDZ2hgfnzA+4t7571YZFVlM0CySsNltaoMhR6Y/mansLa78Lsv2xg+n3DZy&#10;vItnPb/d960qJuHuGSSYjaVdbFYWkHm55GR0pn2DUCCBptueeu8f4V1IAZgwIII496cEHPPNeeqk&#10;4uzNVRicuLLUguP7Ng/77H+FZGow3Satp8D2VuJJJGITzBk/KfavQGUDHNcPq1vPceJYHh2fa4rk&#10;Mgf+55bY/XNbUqjk9ewOnEbdW19PqNpaJp8G9H858OCAoGOePUimva3UfiSFZLdIHa3kLqjA7gCu&#10;P1Nddp1ibOFi5Ek8jbppPU+n0rH8QqbfV9NvweGkNq/0fkH81FVTqqTtYipStDQwdXtzBdWV6iK7&#10;ibySp7q+VwfbODV+7stUEUZt9OjOSC53AEZ7DirNxax3kUlrMDtfnIONpHQj8qsaTf3MV6um3z+Y&#10;XUtBN3cDGQffnNS5u110MqSi3ZnGvZ68btrA6dM7HDLiQeWM9ye5rUsdC8QWsJi+y2xXOQ8jAnk1&#10;36HG7PrUIu7aQukc8bsBghXBNT9Zk9kdToq+5yumreyi5Sa0tz5MhQSKQA2B7+/FUtaW7js1lNin&#10;kLIDMUdSdtdJFoKn5Lm5lngUllibgZPPOOtTf2DppcMbdcZ6EnH5VPt1cn2Me5kR215LaI8dinll&#10;cj51Ax+VZ1nP9vldLdIJJEOGUSLkfpXb3lr5+mT28Z2l4mRSO2QcVxNnYWl7pkCmLybq2/dsY/ld&#10;GHB5raDTV5GdSCjqM1uOeDTZI5dPXdMfKTDKTuPStKe8hsYYLaaX94IlDd8cd6it7CFdQjlur+W5&#10;li5ijmcEKfXHrSXs0VtqEks+NksX8XcjsPrVPllZGM2mixbuCqsjAqehHerEqMwBzzWJp0M6XMkv&#10;kmG2dPljJ5znrjtW35n7sDvWc0k9DNO2gbsKBj8ayL/XTBdm1t7KW6dP9YyDAX2z61envoLRPMmf&#10;AB+VRyWPoBWr4csXtdNaS4TE9xI0zqf4c9B+WK1hFW5ma04cxzdrrlvMM3EFxZnOMzxkL+dapG7D&#10;K2RjOR3HtXRPBFcIY5Y1dCMFWGRWJ/wiUAkdYb27ht26wo/A+npUNwbNJUL6o5jWNRjuHbTooVnY&#10;8SSFCUj/APr+1Zd1b31rZiEahcXllj95CkZV8exx09q9GB0zQYorVVEYblVA3E46k/40upXAuoYr&#10;O0lUyXDYLIeVTqx9uOPxrRVVF2sWqNkcbp+oWFpasLPUJbZI1+dAmGQdcnirR1chyBrNyG7AoeP0&#10;rbvfBOmXTGWIy285G3ejn5uP4vWn/b7jSZRHq9qjRDhbuJcrj/aH8NEpRfwhyS7nIXrT317DJFdz&#10;SXcILRyyREKAeqk45z0xUyONXiW21G3RWJwcfwuOo57/AMxXoQmtlg88vGIsbg+RgjHWuO1q2bVp&#10;ftGhwyNcnCvJjbG2Ohye/vTjLm0aFKl1uV9Nh1DSWa3s7oo0ZykUpzG6nsPQ5rpNL1xLtjb3UZt7&#10;xBuMbnhh6qe4rGi03Xopkurm3hl2xldiygbc9fr0rD1C+l1O9jLRG2htiys4fJfPBHHbiqVPnRl7&#10;WVLWRva74iW4WS0tJCluM+fMp+97LS6F4f8AtSR3V1CFt0wYofX0LVHoXh5rwre3kZW2XDQwkfe9&#10;Cfau1BCqFwOMDipnNUlyxHTpuo+epsAAUAYx9OlI+xQzYA2jJNOlYKpLEKo5Zj2Fee+K/FFzNC8V&#10;jCzWSHEsitgv/wDY1nRhKq/I2qVFBeZo634jW6ja0s5dsJ4lmX+L/ZWpPDukcrdXcIijH+piPX/e&#10;aubiup7e0VreC0a68vdFtJkKH1wOM1q+HdR17UvIlabfAOLhp4QnPooroqWhG0GYQi5y5qh6AFUx&#10;5GAv0rG1qfTdNgNzc20Msh4RSoLOazNc8a2GhwkLm4uegjToD7ntXBSXmt+K9ZVorjdM3CRxj5Yx&#10;9f5mlRouXvS0RrWq8qt1N1bi4v8AUCfsyPcTDakSAbVHp/8AXreg0jRtItVm1AwSXi/MdgyS3oFF&#10;WNI8GW9lEDc3VxPOV+ch9oPtx2rct9MsbX5oraNW7tjJ/OlWqpvliTSouOsjOS2u9WVZLpntbQ8r&#10;AjYZx23nsPaqev67a+H7L7JYRoLkrwg6Rj+8ak8UeJk0eAwwbXvGGQO0Y9T/AIV5zY2N/rep7ELS&#10;SyNud3OQPdq6MNhlb2k9EY4nEW/d09ZEFpaX2va0IosyTSHfJI/Yd2Nd1ZeFLbS9ZtGhiZyFJklZ&#10;Sdzc9+3QY/Cug0XRbbRbVIoFBZhmSQjlz/hUPiabUbfSpJbOWOFEjd5JWGSMDgAepJrGviZVZ8sN&#10;EbYfD+yXNLc8/wDiZFBcapbJbSL9raGWCULyR0IBPbn+da3hGaK1nOmTjbMqKE3cHCjGP6/U1o2W&#10;lRRaSLa5QTSyLmaRxkyORknPrXNT6dcxSmMyM9zYMrxTA8vC2cZ+hGKzqx5qXJ2KpTXO2d9qJxo1&#10;2RjIhfj/AICa5bQUU6oB1UQNkH3IrUXVRf8Ahi+34E8cDB/xB5rM8ML5moyk9of6/wD1q5KKdOhM&#10;dZqWIgbJ0p7dC+m3b2+TkxH5k/I9KztT1jVNOsFing8ve203kfKqPp2JrpT8kZJA6GsHxHIV8PsR&#10;zmZBissPU55qLOiqrQbINE0walBuyRYk5JzzOfr6V14jWK32RqAoGAB2FcB4U1NrHUxZtn7Hcdj0&#10;R+2Priuq1LxLpukztBdSMCQG4XgA11VqU/acqOehKLipGvJIkUReRgqKuST0Fcpr95JqenXLKTHZ&#10;qh2joZPc+1OuddsNZigaOWT7Nux5e05kP+FXP7Li1mASGUNaMmI0Axk+/wBKUIKn70inNydkQxqq&#10;2MKxfdWJdvbjFZN+biW4FqhVFZCzFhnPtWpYt/ofkSnE0H7tx3BHT9Kz7S2MWpyieWSRwpMZJ4wT&#10;zxWi3ucMo66mPJ9p+0QRbCsULEu79E49e9N0m2guoriNLNGJ5k2yYDHPBFa919o1CORLVI/s+dpL&#10;/wAXPOPar6Q29tuKpHCuOcDArT2jtYafYgeS7mt0t1t0hUbfnZ9x4NT3s/2e2mlYnphQOrE9MfjT&#10;FvIJjst45riTPAiQkfn0pw0rU7i8E95Zboo8GKBZRgH1J9ah2e5rCnJ6tHQaXB9m0q1gbG6ONVI9&#10;8c/rVwrvUqwBBGCOxrnF02XJ/wCJdOuD2mpTYSAZW0vM47S1zypX95M6vaNKzRP8O7JdO8ZeLLWN&#10;2aNIrIJu/hH77j8K9IrzX4cRvH4x8WK6SI3lWXEhyf8AltXpVfQUvgRDd9TgPijbx3Vj4dgmQPHJ&#10;rUasp6EeTNWBrOrW2mRNYaZHFHPjDOigCMf41r/GCVoNC0SVZPLZdWQh/T9zNXIaHop1YefNlbEN&#10;ks3WY/X0Nc2JhByU5vYwqTlf2cFqzl7uNtRnNqqSdA6y4++5PHPvg81v3NxHqsNxdWmY7KJYrOZg&#10;uCq5Jf8ALIFWLvT4NFuJbfWmElvdgvHdo5BXZyqY6DqcVPJbLpHw5nIjEbTncwI+7vYD9Af0rnrV&#10;uayj3NaNHkWrO3s4Y7e2iSIBYVQBfpiqepusmS7fuUO7Yv8AF9fWs7T9YlvGksrePYII02GTq4I6&#10;n8qmi0bWX1dbie6gjtUI2xoCzGuKFLld5lzk5u0TK061ufE+ria5VotLtG+WI/8ALVx3PsK7K6vL&#10;awthLcuEXOAO59ABTnlis7V5SAscYZ2AFYcE8EcQ1zUgXnm5toOuwHoAPX1NXFKtLXYpJU0VvEM2&#10;p3ulSSIGs7XgIhGZZ+emOwqHSLGa20+382NnuDkRxKOFz2/xNVvEWr3FtYvdTMGupTiGEHOweg9/&#10;U11/hu2nt9FtWuZBJPIgZmx0zzgV2cqcVFbGOsx2jaP9jdrm5PmXbjlh0UegrVnhhngeKVFeNwQy&#10;noabnDH061m6vrC2KLDEolu5PuRg/qfQVaaSZdkkc3qerS+EbqCy82GS1nbEDTOcx+xx29DVka9q&#10;CoHMNlsbkHzDyKxZLFLzxUpvnW4lFszNu5GScYx2AqK80uXTWWWxtUvLNT81pITlB32H+lc9RQk/&#10;dRm6jvub76/qG0ZgtCO+JTxXIxeJprrxVG4t4jMScDfxtVWGc/Vq6rSLLw/rNj5lvbYIbbJExIdD&#10;joRmsDUPDGlaLr+leTBvt7iQwshc53MD3/Ks4SgnZroacs2r3Ny+8U31lbrI1hC5aRUVVl6knGKZ&#10;5t9rFzbyX0EdvBbP5ojR97SN057ACp9T8NWz2Qeyh2XULrLES5OWBzg89+n40yxuEuo2yrRyrw8b&#10;DlT3GKzU19lGc3JImZkDk5zis65vhDrGlyJGXZXl2jOMnZ0z9M/lV99u88Dn8qoz2kV5rmk28pKx&#10;kTS5U4O4AAfox/KinuYQb59A1jxDePbiyjtmt5rqRYUlDglc8sfwANQzaHZraj7GvkXMa/up04O7&#10;39fekns7dfF8ccbSMLW33ne2Rvc4H5AH8611IYYB5I4o+GyRrUlLmINM8SXF1YwuLMvKAUl+cDDg&#10;4I/Srn9t3S/e01+vaRayvD+mx3N3q+ZZUSO7OBGwA5UE9vWto6DE0f8Ax9XQOf74/wAKmapxkap1&#10;GNGvXJUY0yT/AL+LWFe3bw67Fe/Ymt4Lr91OSwIL/wALcflU2sQxWE0VpbSX1xeSgsI1kAAAPUkj&#10;gVjakbu4sXs3tdSjuGZdgJDpkEHJYdK2prSwpuVrMnvYGGrz/wChtN5qLsI4AI9+1WbawdoIl1EJ&#10;NLExZDnO30rQMio0aSOobA4J68UjXMAUuZYygGCcjrUuUr7HI0ODZx7Uu0nBBoVkKArgg8gipUwY&#10;/f3rJ3uJbmVp81haazfz6iy+fGA1uZOmzHO2p7Xx/Zyx7pYHUnPyg5PXrin3FhbXa7bmJJF7ZFZN&#10;x4RV3W4068lhmj+6r/Mp9vXFdFOUJaM6Y1LKxtr42tiDIIcwrySZAG/75q0PG+iC3EyXJctwIwp3&#10;Z9MVjaHZ32qWzSp9iWSJzHIrKeGHUZxzWsuh6kDnFhn/AHSP6U5Rhc1U522JNP1Ozeea9vLmBJ5c&#10;Kqbs7FHbP86tw6jolrI7wzW0bOfmYHlqzX0bUyfuaf164P8AhVLVLe40u28y4j09nY4jjVSWc+gG&#10;KmybsmHNNdDq11nTmzi9h7fxjmopNQF3cm3tLbzx915H4jHtnvWHp3hyS+EVxq8EUY4b7JEPlB7b&#10;j1P0rqwQm2NVAUDAwO1TNwjsXG7WphXehRxFr1pmdIFZzblf3Z4OMDt0rButR1SXTfs8F7DmW1ju&#10;GfAXyxn51H4YxXctsMcgkI2bTu3dAMc15drWkWASX+y7uZYrhQHGMjgnAB9Oa1w0ee7ZlVqKmS3V&#10;/qls0MTSPLbA4k2vksMYA/xroNF0BLkx3t2u2LrHCR1PqayNO0jU7WK0vJbb7RaxDBhJxIT/AH/f&#10;2Fdnp+o2uoxAwOAwPzRkYZD6EdqqrU5I2gjGlSdR80zR3Kq8dO1JJKiqWZgAOST2pjssMTO5AAXJ&#10;J6CvPte8WW+oXpsbZy0GcEJy0p9AB2rlpUpVHrsdFSooLTc0Ne17+0s28DMtmDtZl6zN6D2q3YeH&#10;LS50/dqsK7WAIhZsKg9/eszR9F1iZxdtZpakcRm45MY9lHeuhi8OJMBJqN3PeNjO1m2pn/dFdVS0&#10;I8sWY04SnLnmQjVtI01TbadbCVguNluvA+rdvxrJ1e7vI9KkvLyeO2hI/d2ls2Wk9t3+FXfE7Q6Z&#10;pSxwxxJEQcxo21nPoBjmvMVvrm6lCTELvJWKNmz5Y9hitKFBS96XQqrW5fh3IY4b/wARanHb2tsy&#10;lydkan5UHuf6mvXfCHh9PDOnNHc+T9oY/NKGzkenNZHhfTJ9Psgmk2G15OZb26Xbn6DqRXSQeHra&#10;aQy6jLJezNyS7EKPYAUq9dy91bFUqdvelubCvu3MpBB7iue8S+J4tGtjBCVa9cYA7R+5rP12SHQ3&#10;MOkXckV4wz5O7fGo9SD0rjINO1bVbxlhiW5mb55Jd+Me5z/KjDYeKfPNmVeu7ctLcns7S6124ZAx&#10;Zi2+aaToo7sT/Suw0kzQ24t9BtIfs6nD3c5I809yO5pdN8N3K2aWlwkdrZ5DSRo255iP7zdh9K6P&#10;yxGgSNQqKMBQMACjEYm75Y7Dw+H9lq9ZGf5+vQMDNa2twmOfJkKt+tY2reI4NYmtdGtI5POe4UXS&#10;OMGNUO4gjv8Ad/WpfEnib7JE1pYMpmC4lm7Rj+prldF1SztNXW8kSSVGgaJZwpI3kgnLdzgfrWcK&#10;aS55IqVVN8kEdu2GlbAGPUVko6v44tbcrlZbGRXHY8jH6bqrt4tsGkaKCOeW4YERxohJZvT2rQ8P&#10;6Zci8k1jVABfSgKsKH5Yl7D6/wCNZ1JKnD3tGKhBubkc/rsMmjz3kcTZikTG0n+BiP5f0NaPhNle&#10;/vCOAIk/maT4hWu/SDdop6KjEdvm4/PJrI8E6vCkl59oDqQqJu2krxnvUx97CNoqcf8AaI3PQH5j&#10;OORg1zniaTboMfH3rhf5GrU/iazSMpDHLK5BAwMCs3Xbnz/Dtmzp5bPNnaeo4NceFg1Ui5HRiH+6&#10;kY1liO3uJm/5ZNEwPp83+BrS1aGHWZLm4mylkyqoLDl8dx6VkpKi6ZPuYBXniQn6cn+VdnY6f9sC&#10;3d1GViUfuIcfkTXoVJqM2zjop+zikVNA8NRJaF5w4hJ3QoThh7nHTjtXUwRw2cMcECBUX7oz0p4B&#10;2jA7VV1K7hsYRNM3sqjqx9BXn1KsqrsdsYqCMzxCkdtdWt/GyrJI6wyL/fB/qKpXdnO0iy2zBZVB&#10;wG6MD2NUtRae81SwlvMCR5wY4+0YH9a3XV89eDXXFcsUzhqtN6GNYQ3UFxKJYVSBuQFbIDd8VbsI&#10;YbzxDcQagm9kUG2jf7hXufc1POcD3rP029nn1V9Re1kdIg0MIQj15J96pXknYVFJS1O0iCIoRECq&#10;OgUYqUY3H0rAGvuTtOn3GfXipP8AhIFiOZLSZQccnArlcJs7/aRNvPPXvTR6Z4rDl8SJG0YFlcvv&#10;bAKLnHvUya4q8m0uSPZM0vZSsDqRJPBv/JQPF3/XCx/lNXeV574EuPtXjnxZMEdAYbEAMMHpNXoV&#10;fR0P4UfQxe55x8YbQX+haLakqBNqyKCx4BMM3WuItbq1WNLfWNRZ47VFiSGzLeWMLglmHeu0+MoX&#10;/hHdG3Zx/ayA4OOPJmrz4SqYPLjQIg42gYA9sUqtH2i1OPEYv2LStubGp6XZXs2lRR6jLLYyP53l&#10;u4ZFRRknPXrxz61Y8RFtZ0aUBvJskH7hTwZmB4yPT0FY2h2EAmuNWnfZYHCxRfwvg8nHoT0Het3U&#10;rF5tBudS1J3tVSNjbxr1j9GI7sf0rzZRjCVux0Rm5paDNLuXbVbXVpF8pvNFnNasMGPj5Sffj9a7&#10;tnz69a4qz04LFpVqIil5PItzc5YsflHUk++K6m9vFsbdpH5OcKg5LHsBXHiJObsjqglBFbxBcxw6&#10;HcISTLKhRI15Lt6Cuds7sXFrBcNi4v3AjigU/wCqx1AHb3NWDLIswubhfP1Cf5YYVPCD0/xNW7fw&#10;va7TdXO8X0hy8sEhQr7DHatoOFONpGGs2ZviOwNlb2TTxCa7nlAkI52j0X25r0O3jEUMaf3VA/Sv&#10;MdX0+UeI7Gytr+4bIDA3DeYFOc/XFdHD4pleN7FkVtWjbyyicp/vE9hXZGcXG0SmuVGnrGsCxkFv&#10;APNvJR8iDov+03oK5+KOdrowRN9o1OY5eRuiD39B6CnrbSC9a3hbzr+b5pZG6IPU+g9BXTabpsOm&#10;2/lplpGOXkbqxqYxuZayONudLOja4bxWebyogLlupYMeW/DFajPkeYjZU4OR0IrUsGW81jUpDgw/&#10;LDkj72Ac/wA65eW6j0jUZ7SIPNpsbf65Rn7Ox/hJ7j+VKvTTV0TUiRamlxpl6Na04KHA2XMRyBIv&#10;r9R1/CrdxbXN9rWiTXj2xiSRpYhEScnYcEk9qsOqSRKwKvG44I5BFcpfadPZX9oVD3VqGfYiSESI&#10;Np4HPIFYQ1unuKnUa0Z6hu4yMHnrXOeJVUz6e0PF690ioy9dvVwfbaDWHavDdRGW3t9SlQNglHc4&#10;PpjPWmOGtNdtLl4ryKIq0Ra43bVZsY5PrgisoUuV3NZVHKOxPNezJrMs5LCyjb7O390HBJb89orQ&#10;u4LiV7S8s5oknt2baJBlSGGO1Z0cy2F/dWM7r5MoM8W8YzuJ3L7/AP16icailu9hBHJsd/kmVh8i&#10;EjPfORyKu9nc5eZp3Kscl+LS8unBMssrGa6Vh91ONqj8OK6LTA8GlrPeyZaOINI34ZNZN4PMaHS4&#10;I1CHDSY6KgYHH4kfzp2t3Z8i20/LhLpwJSBk+Woy39B+NO/M0gvzSOi8I20kWk/aJQRJdyNcEH0Y&#10;8fpit7IK++efauGW9C8Lf38aL0AHA/8AHelVRd32rziDS9Uu/sqnE1yzKVP+yuByah0uaV2diqWN&#10;rTD9s1XUtSYZVnMEDf7C8H9c1X143qWyizycn52HLKP9ketXLaJLG0htoARHGMD396c53qMihytL&#10;QwABgP5/mqTucTeRSC/h+zCd5PK2jzFzwQec9jTYdNuPsTH7BKyFh+6I5ztxux9a7ARuJM471Ptb&#10;gj9TVut0sZplK0iNlpkQmOPLj+b2wOam03Tb7WbZbxrn7HayDMSxAF2HqxPT6VJJlkIK5UjkVny6&#10;cLKzefT7i5hljG9EWY7MjnG3nilCxcHFP3jSOgaujGNdVhMfZjBl/wCdSL4XVhm41C9kbodrhR+g&#10;qjZ+JdXubKG4MFiRIuRiVh9e1SHX9ULfJDZf9/W/wq1zJ6HReB0em2MGn2621tF5cSnIHUk+pNXB&#10;n1H41ycOt6z5mBb2Z/7at/hWdq3i7U0P2S1gtzcP8paNy2w9uMdaORyfvFOrFLQ6DVvElpplylrG&#10;pnu2YfuY+Svuav2do0sMd1eRqbkZKk9UB9PTiuJtY4fCkiXd/bvc30waQksMpjqMnq3NaCeL7uS9&#10;ktSkKZkYI+cgIEYgnnqSvSpcVe0CoybV2dmeE4HGeKY8ojJdyFRRkk9APWszR9Ue90C3vrrYjsu6&#10;Qj7owSP6Vx3iXxR9vd4Y38vTk+8ckGY+n0/nUxoylOz2JqVo043NLVvExuxNDAoFoRjfnlz6j27e&#10;9M0uCA3ESGHzLvZvEJHyRDsz+/tWZoVldallrVRuBP71hmOAY6j+8/t2rvNN0+HTrQRQJyQC7nln&#10;buSe5rWpUVJcsDno0XN89QrDTb2cb7nUpVOPuQAKo/PNU38NWUdx9ve8ulmRT++aQDA98Dmujkki&#10;t4DLO6oiDczMeAK8z8S+JJtZnSxsQ32djhUXhpj/AIUYelUqb7G9Wqoepn+IdSea4+ypcSzQEY8x&#10;JDtkPuO1dX4N8LWenRJqUgikuZANrIchBjsan8P+HINIszd6g8b3bJyWxiMeg/qayb22mna4vtLu&#10;/wCz9NU8xsxRJyOuP7o9x1roqTXwR0MadNt88zt7vV9PtE/0i8ijPoWGawtS8YC0tvMt9PuZgx2o&#10;zLsVj7Z5I+lc5balb6rNDZ21r/ZiFcyTso82X/cc8ke9Qawj2mpwwQ3M10kiYk859/kDPUkdBU06&#10;UftF1KktobmfeJrfiTWUHmqZZB8scfSNfqa9D8P+FLHQrVcxpNdYy87jcSfbPQVa0DRrbSbQeWwl&#10;mlUM8vUt9PatZiQMnGMd6K1R25Y7CpU2nzT3EjjwqcDHWsTxDrv9lJ5FuVe9kXKg9EH940eIPEKa&#10;TbrFD+8vHGUXso/vGuK0ix1DXdTk/eM7sczTMOEH+egrOjSv70hV67XuQ1ZJYabearqEiKxeSTma&#10;Zug9c/4V6HpmlW2lWK29unHBZyOWPqam07TrfS7MW9uMKOWJ6sfU1Z7YpVark+VFUaCpq+7GkYXs&#10;K5LxL4jNuX06xYfaD/rJRyIh/wDFe3vU3ifxOtmDp9hIPtJ4kkHPl+31Ncpo+i/blkvLljFp8ZLv&#10;KTzJ3PPp6mrpUlH3pEVarb9nT3E0Pww3iCGO+v5Gj07cwW3U8yYOCWPfJzXdLZW8FutolvEIFXAj&#10;2jaPwrK8HMf+EXtSFwjGRox/sb22/pW6Secc4Bx74FeViqs51rdEd9GlGENDzXSHVtbtVUKA98x+&#10;UY4DMf6V6PuCkngAYz2Fea+HELa7p5UEgSSOfYbX5rtNdeU6NcmFWZgBlVGSRnkfln860zC0pRic&#10;2B+CT8znvGeu/bdKksLDL/vUDygfKuGH9azfBNozXN7bea2z5WmYHBbOcL9Op/GtDU7nTrPwXYxh&#10;kVrgxnaOWbnJP9aPC9tMJby+stsoDKrRE4DgKD8p9ea6F7mFcUDbeJR1EVjawIWihRDjhsc/nWL4&#10;ujDaZZIOplJ/St62vFuEK7GSReGjcYK1heKWllfTra2jLzyO4jXtnA5PtXJg5P2y5mdGIi3SaRm+&#10;G9Na51BInUGKFhO/f5sAKP516QEHlYxj2rN0TTV0vTFhJDTnDSyYwWb1qzf39vYWZlmbg/dUclj6&#10;D3ravP2tWyMqMfZwSYt5fRafbtLOeMAIq9WPoPeucufPubuK6uQZLmTi3t1PCD/PU092nuZ1urlf&#10;Mnb/AFEAPEY/z1NbVrZC0HnSsHnYfO56KPQegqdIeo3eb8jOu/D7/wBmNPu83UVYSqewI/hHtSQ3&#10;AvIY54+jDkHsfSm/2jquomSS0mitrTlUZoyzuB3HPFFvbJZwrCrFuSzMepJ6mtldx1OaryrYmaIY&#10;5IOayJrUadfNJmYWMuS/lNzE397GOlapYDkGlZ8ZzjJHeqTtsZRklqZzz6akatBf3F1MT8kEbhiT&#10;78cCq9zaRKDd6sxnmbhIB93PZQO596uyyRWcLS7EBY4Cqo3OfQeprT0vSibj7ffgNdH/AFcecrCP&#10;b/a9TQ58q1N4R53oiDS/DrxaZEst1PFISzlEIwuSTgZ9OlTjQiDxqF13544/StrscetCjoa5XVmz&#10;p9nGxieAbc2vjfxZEZGkIhsTubqeJq9ErgvBoI+IHi7P/PCw/lNXe19HR/hx9DJqx5r8ZQD4e0XI&#10;JH9rJnH/AFxmrhLbT7m8sfOkiktbFgGaeUYZl9EXqc+tehfFl4Y9L0B5xmIazHuGM5Hkzdqr6fYy&#10;3ZS+votgTBt7c4xGMfeb/aPp2rDF4j2St3MKmHjVkm+hxCxQ6hrsdrqN1JptjalUt7dflZnI+Vic&#10;Y7j8eK7KTQbGCIXWoXNxdR2+WAuJPlXHfAAB6U3xS8N1BDpSFTdXcioB1aNRyW/DGRVPWr9Lm4i0&#10;wFpLaAg3AXkytj5Yx6nufQV5U5zqONjrSUEXdFdgs2rXIxLdkCGI9Qg+6o9+5+tLM7ecJrkeZduc&#10;JGpyEHf/AOuarrJLFdRy3CebfSjZDCp4jX0Ht6tVnULJEjgiJYyXlwscrZ5CYJKg9hxVKC5rENuT&#10;ILCWFLuV9MtJtQun+/KpAjT2DHjH0zWqbTxDJHuZ9Otu+35pD+YxW7aRxW9vHFEgRFGFUDgD0xXO&#10;+MPE0elWbW1ufMvZV2gD/lmD/Ef8K61h4rcE7HFm51WbxQ8lpNa3F4uRu2EIq9M9a39O0+W3llt7&#10;ZvtGoztvuLlhgL7n29BVTw1ZXEFmllanzNQn+e5uG/gB9ffHQV3mnabb6XbCOFeT8zux5dvUmqcU&#10;35EayI9O06Kwi2KdzHl5D1c1Snlnvrl7K0cpEhxPP6f7I9/etDULxbS2bBzO42RIOrMemK5555Ft&#10;hptq3IB+03Cnqx6qvqfftVKyjdjbSRHd3Xz/ANl6a3lW8fyyzrzz3Uep9TTLDS21P/R4QYNNQ7XY&#10;dZPYf1NRR2yXMbAP5Gm2wPmSjgtjsv8AU1t6Nr+mXTLZ2++BtuY45Y2j3L6rkc/hShFyldmduZ3Z&#10;laxoP9hwG+0hSLaMZms8/KV7lPQjrWVdSK+oaXPGcrJuYH2KmtzxBc3V/qjaVbXLW8EcQe4ZFBZ9&#10;3RcnoODWHfLFaXWmQoD5cIZVHXACHFY1kr2juTUSvoTmZdI1iK/5W0uSIrkdlb+F/wCh+tbOp3+j&#10;GzlivbmAwOvKlwd30/8ArVy2n6o4tHOpEPBNlkcp8m3+4cdMe9W7e60SOX9zFbROxADiLA9ucVla&#10;zuxxq2jYzJoWk0a3+2q5sftDESOv7xYRyhbuM4GfauiwqxBwfl6g56e9Lcxfa7WWJiQsiMm4dVzW&#10;TNHqMsMWnvD+63jfcxnAKDHGOueOlTZSMZahHLHBrkxkA23ARYnHIYgfdz+dXLy1mluLa6tLlIbm&#10;3J2s6blIIwQfyqFdHs0uxKIiAp3Km47QfXGetN1HURYtGpjeR5TgBWA6DJzk1P2vdJ5uV6E0kGqa&#10;h+7vdVIhPWO0TZu9i2SaJprTRoYbdUKJyEijQscdzgc/jWcdZZdPtbyJFQTNtzIeF4JycemKNB1+&#10;S48RRJLbxo8ibBKWb515I28YHrg81rGLkm5bGsbzZpDXtMwN17HuH8HO78qvWt3a3ib7WdJQPvAd&#10;R9R2rVv9QgsDFut3llkz8kaZYAdSc9hXLahqkN1dDULG2eKSBjH5rJhJx3U4+6fc1KhFrQ0lRVjc&#10;JB4xUUvmpFJ5QDSbTsB9e1ZC+IHud5g093MYLSAXEeVA6n73NS6neSPocl1aB2LxbkxwRmpVOSau&#10;ZuNrGboajUpJ7TUb69tdWQlgN+1CO2FPBrVs5rgPNY3ZDXEPVhwJFPQisNdBvdZ0uxl0+ZZLeVkc&#10;zTviS3YH5tvc/Suq1vTprfyNTtg0s0CbJlHWSPv+Pet66TskaShdGBceGraWZ5YJJLfd99QNy/UA&#10;9DVWfw5Z6eBONRMZ7/aiGU/gMVuPq1iLJr1bmMxKCckgH6HPQ1yEER1G5iuLi2E9zKxMUZO7OehP&#10;YDFFDnfxbGLk1oXDqSQXEVjBZ2kk11mNJ7SYsR77e316V2OgaEmlwCS52S3R/j/uj8ev1rMsrWy8&#10;NFZGgW41W5G1I4UAP+6voB3JrEvtc1ObULuDUozHsIEFtE5VZCSBgsBluvr+dFSM6jahsdMY7SZ2&#10;l5rOnRzmBQ13cZ4hhj8xv8BVcw30yzyxaRZWKPkyS3RDN06kDI6Z71Rh16C08OLc2mn+Q/l7jGsR&#10;8st0xuxzyDzXKax431LUHuNNS2hdJn2JHg/LhyME55zgmlhsO9uhVSpZEmu6teXURsxqEhsCAqiC&#10;IRiQ9sDk49u9bvhrwRCI0u9VhM0j4KQTNuCD1I6E07wroEd1bWmtXTebO6b0U8BM9/6V3LPDC3zu&#10;iLjqWAq69Sy9nSMaEHKXPMWCGOKIpFGERRwFGAPpVPU9Ws9Fsjc3sywxDp7+wHc+1Z1/4rtoIZxp&#10;+26eJSXk3Yii92fp+Aya8+ujc6vqEd1ds9zO2BBGRtH1APT19h+VZYfDuWsjSrWUNOpd1/xBea66&#10;AM9tpw5WFf8AWSH+83oKoWWgzLpk2qMyQFVaSNpCxZuOAMEYBqxb2cN3JJEszPFApa7u0GVLDkRJ&#10;nqOOT34rcjW41KPT9NlbLzHzJmHHyLg8/UkV1yqci5YHPBOUry3LNpot+9pFLLpdrcMyBvnvJMDP&#10;qrZpNSjvZtS0+y1OK3gsyGZYoXJV2AGFPA49q7ZAAnHTHFUtX02HVNOaCQkMCGRx1jbswrkU7tnX&#10;JXict4g01tRt7YiHzoYH3S26NsZhjjDDoR+FQaHJ9h+0Q6fbm6t8ZmtZV23KD6n74rSsbqVpHsbt&#10;Nl7CPmHZx2YfWi1X7V4tg28G1gZpWHfdwAfy6VtGT5TCm/fsyTTNQNsGk04m608fftuRLbn2B7e1&#10;Tat4ttIrFWs3WaeVTsHZPUt6Y96u6hocF3Ks8Tvb3iLlbiHhh9R0YexrhfEsZt544NStYo7qXhNR&#10;gJQY9XUf1yKISjLRmtVStoLp9hd6/e7FZjk7pp27fT39BXpGmWFvplsttbR4RRnPdj6muI04T6BY&#10;Q3NpqMtzEGHmRuF2yAn2Gc/nXoKuAcngkd6yxFR3VtiMPTjH3t2SZ65xXLeI/EX2YPZWL4nH+sl/&#10;55e31NJqviC7u4bm20KISSgbTcudsasOoGep+nFcnYw2/wBrSLXy1hCvzt5hyJT7OOP1q6MIpXlu&#10;LEVJfDEueHvDp1mX7TcbhYq+cnrKfr6e9Wteto4/EcNrqMkh0eWIFIFO2NGBA+bHJHP611enazpN&#10;2Bb2F3AwVcBEOMD2FYHj20W40iN/kEkcoXDnGUY7WHv1z+FHNKUnfYqlSjTj5nGX+rT2N9Jare/6&#10;MzyEeS5URBQwWPjpyO1aXh7U9Rl1QqLtGnETi4S4c7QAVC8duAxrU1DRLS3vbOKLSLdLRlUyTrCH&#10;ZjnAXHUfU1yt2PK1EiG3j3pPKY18lf3mJcYPHOFzWClCbsdaT5Qa/ltNbud00ca7cP5J2gDzB09O&#10;ARRY6nevHskvJWdUCyrvztT93yPf7/NZeiSNLfugEe5tvlhoVPmuXQFenIGTwK9Kuk0Szt7iaW2s&#10;gEzxsXr6e57CtcTJQaXLc5sKvcaR5newxS29rbW1u73LFRJI75wcHIHoOCMk9q6/wnfQ6Pps8M+9&#10;5ZJWcpGhbaABk4GeKzUgFlYjEWMzJEeMBWEbM3/jzkfhTbSS6eO4ntpDAY5VjkKrkurPjGOgxVVY&#10;qeH12IU2sRbyOyPiHTTNIBLgpCJWfacbT05/EVVi1iwu/FNhFG+ZEikUgqRg8etUbzwZFczOwu2S&#10;JolQIF5yMdT3HFZGtB9G1qyuATLIjiY4GCQW24/LFcWHp0nK0HqddSo4xu9j0i5vorK0eSUnrhVH&#10;JY+grCme4nlFxcoZLuTi3tx0jH+PqarmWWab7TdJ5l3KcW9srcJ/nue1XEnj0ppY41N9q0gzLjhI&#10;h7t0UD8zWlOko37nPObkzb03TRZxtJI3mXMgy8np7AelU9e1FUQ6dbOGu5BtKqc+Wp6s3pWLNqV/&#10;cAmW/lFt0Y2ke2Mf8COSfqAKuRRW9nCEgiVQ/JPUn3J6mp9i+bmkTKuoq0S5CUhgSBBwihR2z701&#10;s5JNQ7wMnJxj8aje+ghOZpkTPA3HBrSzZxqV2Pa4iSUI0iq55CkjNSsTJM309KybW3jvpbueSNHD&#10;yfL3YY461ZWZrGUQTMSjcJL/AENLl1KsJJDINXeb51EMQMUgAIBJ56/SkGqXKTc6myjPcL/hWros&#10;r3F9e/MWhi2x+27qR+orYMMLMVaGJuc8oKzqyinZnZTpyaumcz/ak2041gdf7qGnR6jfAgrqqnjj&#10;Ma10Rs7bBzbQde8Y/wAKabG0JGbWD/v2Kh1YW2K9nPuZnw9kkl8aeLGllWV/JscsoxniavRq4DwR&#10;GkXj3xakaKi+RY8KMDpNXf19FRd6aaE1bQ4P4mLmDwyOD/xPIuv/AFymqp4jvp9N8PXVzbsqzIF2&#10;swzjcQM/Xn8at/E0gW/hok4A1uMnnH/LGauB1DXP7Z1O7WKRp4IJlS2AGY1PdiP423cAH0z06+fj&#10;qbnUj2Q1JRVzWu5ItCV4rCRrnV7ogyzSfM65HGf6D+nNPsbAaTHHuQz6nOTsjzkgnqSe3u3/ANao&#10;dNsxp0qN5ZuNTnJKKTkj1JPYep/AV1VhZLaqzyOs14/+tk4z7ADsB6VyzmqcX3JV6jG6Zpn2QtcT&#10;OJbuXiSTHQf3V9BTdaGwWL91u0OPzH9a1FDDBIrnNfvJJdRtNPtVJlSTzpH7RADAJ/E1hQcpz5mb&#10;StFGvqesSQEWVgA93IOc9Ih/eP8AhXBTadJqviT+ybScNKjeZdXDgk88kn+QHbFbpLpFcR2bMZUQ&#10;yXFwwzt49+pPYVc8A2C2+nT3jljJM+PMY5ZgO+frXqwvJczOZXkzo9N0yDTLZYIF92Y9XPcmo9Vu&#10;LlZLW2tZRE87kGUru2gDPA9av7hnr2/KuO8Taob1447MssNvKPOuAcZ7FVP8zTujRtJWJ5xGbh4L&#10;KdpJRxPeO2W91XsPwqOysTqJEUO5bBDhnB5lPoD1x71kSSvdv/Z1kjw2hjJNwpxnnGF9fc1p2dxr&#10;djGIori1uIgMKs0ZRh+KcfpWLkm7yMea71LfiBYj9h0mMbY3fe6jgBF5/XpVS7tlvUVWdkdGDRyJ&#10;w8beo44/rULSXBvZL6+ljedkCDbwsYz0GeazdRkd72BftM0UBJVzE+NrH7pPt9azlO8tCJz97Q1k&#10;tFs0lleeWe4lIMs0gAJwOOBgDFcjOrX1xaXU19JCzyyYO4ABeQBzxXSTJqkMPyTRXSgdJE2uw+o4&#10;/SuX+yLK0csLOXBlWOGVQRC205AHfk1Mb3uS3dmrAyGRbGzv4oLeCIbpjtbLHgA547HP1FJPdPcq&#10;2nvqGlESfKZfN+bnvt6A/wDAq6Dw94f0J9Lt7mKxgmkcBpHlUMxbv14Bz2HSug/s+ylt3t2tIDCw&#10;2lPLGMemMVXup2No07owoI/LiCckKuAT3qC4uLW1TfczxxLuwGcgbueg79KbLHcaA8ls8E81gG3Q&#10;SwoZCi/3GA5GOxqx4f05rmeTV7yFlZm220cq4aKMcZwehY8+3FYunZ+8yfZvmI7aWC9t2mtpkljH&#10;BdfXv9KbJbQXC7Z443Vef3gBHH1p9xEsHiu8WNdqzW0czgdC+WUn64xVPUbaS7sbi2jk8tpVAyRk&#10;eoHrUyVpWIqRUZGbcvZXdsFn0+Q6Wr+Wt0BiPdyD0wQOTzVaPRpbG+F9pt0ofGESYblAPcEH8MnN&#10;dLpurGFbbTb/AE2OCGVfJjkhkEkTHH3TkZHHrmoL/RJNJzcWAeSw3Zkt8bjF6snqP9mtU2tIF8ll&#10;eJgy6vqKyrczakLa7t1KvHKIwGUnqhIGfyqS28SC6BL+IlRxwyzQx/5P4VrS2tjqNtHJJBDcxkfK&#10;zIGH6/5FUL/TLPT7T7ZZWoCR4aa2U4R17kf3WHXIq4zjJ8r0BSezZn6kj6iWceIbVnKeWpkRfkHf&#10;GD3pIkvI2jT/AISS1i2rj5SHyPoTgV2/h8PPY+dKg8tzmEthmKdskda1vs6O4zGp49Kc6iTsaOnd&#10;LU4awvRpVottb+ILbZkt8yLkk/jUl/4luLKyMy67azMOkUcAZmJ6YAbNdheNaWNnJPMkYjjXJJUV&#10;5xLHLq2tC7kiWS4m4trcDAiX3/qaIe++ZkVZOCsjOht77VtVS+voYZLyT5YoY4wgHufU/Wu0W1j8&#10;NWnm7ftOpXJCIq/xH+6B2A7mtLTtKttCs5Lu5ZTPtzLKR0HoPQUaVay3tydXu1w8gxBG3/LKP/E0&#10;51k7pbIqlSduae5lLpeq6cJb2FrSe+kTMrTEg5/uqQcBa82vbm61KR7qW4PlxyO23Yf3Ayu4jJ+Y&#10;ZI4r2+4S2NrKl1j7OV/eZOARXkWvpa3GqXQs4yLZyAip/EuANv04H5VeDvP3mVWqKCt1KMniq/vd&#10;Mh0OLyUtcLHIwjOQD0/i5z+laujeFNQvYHbTyh3uGa6mjKrGQc/Id2Tz6DFX/CXgCK4aO+1GJhCG&#10;BWNj/rSOhPqBXqkaRwxKsaBQowABgY/w9q0q14wfLEmFNz96Rzdn4W8u0ht76/uLhY1CpFGxgjA/&#10;4Ccn8SaluNA0CxR7iexgCIMs02WA/wC+ia2ru7gs7Z7i5kEcSDLMx/lXnGs6zNrd4mY5PIDbba1X&#10;70jdmI/yBXJFTqy7IqrUjBW6kGu6jJrIS0to44Y/mFpAWCDOP9Y/09PpWd/ZeifY4ZZpb2J5LcfK&#10;XLiZduW459Dkdq7W30SPRPD2o6lewR3N79nZyHUMsYAyFGe2eT61DBpls2i29s2HRUDBxwc9cg9q&#10;6JVFGNomFpW5p7nMwa1NqNjDYWMMNtAAVOCXO0Z4AxxnaOauf29NpF8uotArJLaoiuQ7AHkkDaDz&#10;yK2WGm2LrLItvC+G2vIQpPc8mq+pLZabp5vLe3iWRjtjZF7n0OPxqYS5naK3I9oo6jYPG2vXMoit&#10;9CQ7xlXnkMQb6ZBOfwrQtPEur3F2bW6063tbkLuVWmZgw9QQP0rlNMUrqDRxoWLgSqpbHmMp+bns&#10;SD+ldBDLp+q+JbWC8jVfIidxHONuWOBjnrjFaVqKpT5GjSnXdRXRZ1pdVu44bxILSO5tjuDK7ZZe&#10;69O9Zuia1cvrV9NZwQEXCJKBM5UgYwR07Gt67fwnbJIZRYjbkYVRnOOg9TXO2ul29nLp97NaoInm&#10;ZGiIzsRzx+VRCV42NGmmdOuq6sSCbayPHQzNx+a1lPdXF/4gYXMcQKWpBEZ3Dk+4q7rNppumrAkG&#10;k28lxO2xC4win1Y1W0zTRp3nOXV5pvvlV2gD0A9KyuoxbQqja3MnUdMfSkt77TQRFHOHmt2yY8Dv&#10;gZI59PyrSPiuLxAqadBHLa3E3E/mcAIOu0/xZ9q2IWAKnOPaor+2t9STybmJZU7divuD1FQpqStI&#10;UallYsKggRYYRiNRhVxwMVCySlfmAIPXjiucuhrGkajBF9uvJ9OlG2N4443kRh2IYZbj3zxWlPA9&#10;zo0uo2evXN1NCu5URFRQRyVZAM59jT9m0r3J5Lq5curK3vURZQdyHKSRkq6H1DDkVCNC091ke4i+&#10;1SONrS3B3vg+hPT8KsrcwyW8UyfdkUNnPqKaW3A7Wx6c1MJu5KbQ/wAMO8+g25di4RnjQueWRWIG&#10;c+wFW9SRIdMunCAFIXbOOc4JrnPDEr2wtrZJZSp82KaKRs7ZFOcr6Ag1v66+3w9qJ9LeTn1+U151&#10;SDWIsup6if7ps4rTFlaO7it+GGmyOO+HwACPfk1c8L+H9Nu9PS7kjf7T5jLlHK7OTjGPbFReFJ7c&#10;a3eRSTRh/svlhS3qST+WK1PA7brKZM5AkVgfX5Frtxs5Ri7eRy4NXjqVfFsdrpmn6ZEiCOISO2AS&#10;SWx/M5qx4N06O58NiW4jxJJcNKwB6lW+XP0xUXjhFFxpAYAlTI4+uF/xrY8KBY/DUJI5LO3X1Y1m&#10;6klhF6ijZ4l+hcniG37uAQe1cF4uCm+bpuW3XAPruJr0NyGhLZ4x+VcS1jJ4g8UNLGv/ABLoXUvK&#10;ejlf4R681jgHyzcmdGJi5wUUar2rad4fe5Exa8nMcZlAwVBI4X0xS6nYW1ppCCJFAjcMUY5Mp9z1&#10;JrT1+Pd4fmIAyjI5PoAw/pVK+gN0kFwk5jeIbkONykn1H+Fd1OfNqzjr+6kkWXVTCi7AFKgbcDGP&#10;Ss+70y1SIsBIh5IPmthfoM4FWbG4eZ5EuQElixuCnIPuKj1aGS5iCwsMA5ZG6OPSp5nzHONs5JJd&#10;OR3bMhTrjk1W0+2gktZMxqZ8skrHrVWfVzJaXEuXtLe3TlowGDH0DdKg0vWUiR7m8iZTcfMBGA3A&#10;6ucdK0s9xKJuaZZNYQFJJRIxOchdo9uKtuqyu6uoZWHKnuKoJrNk939kRn3E4VivyscZwDV8lSSD&#10;34rPW92VexV8HanZQaTNDNcwxFLqRRvkALAHjk/l+Fbd3renW8fmfaFmZjtRICHZj6ACuGTRdQ02&#10;SVbaNb62dyyqCEdSeo54Iq3Fp8tnIJ7gCa/lGI4k+6g9Mnp7miVNOVzojiHGNkjrLHXrO5aSOXfb&#10;SxnLRTkKdp6EHOCOO1XkvrJzxdQE+gkFcNZadeTa7NIEjuXSDDpvwqZPygZHsa2l068zltIhJ56S&#10;J/UVM6ML6miqya2NPwYyt4/8XFGVl8mx5U57TV3tec/D2NovGfixHgEJENl8gI44m9K9Gr3aKtBC&#10;bueY/GuJ7jwxpEMbOjvqyKDGMsMwzdBXM6NpK6HaW8CQebfNxFCD909yT+PzN+HpXZfFfzRp3h/y&#10;FDy/2zHsUnAz5U3eotN01bBHlmcS3c2PMl/TAH932rgzCtyJISg5uyImRfD+m3F/KPPu9u6Vxxn0&#10;UdcAelY7+JpVSS7gtLQj7QscxWTeGyAchuMYzg8EZrsiquoUqrADBGP5isDXILKd4rWOxhnu1JwH&#10;XKxg85Yd/XFeVRaqS95G8rQSML/hOtUkkito7S3SYkJPvz+5JYheh5/D9K2LC1mffYWcjPOzbru7&#10;bkqT1/4F6DtWBe6ZbG+0y1sIVQrchJrpYxhWIOR9a9I0+xg060FvbrtAPJJyWPqfevWp04rVGDbm&#10;9TP1PyNF0ARRR7/4AG5Le5/Srmi2n2PRbWBsBlTJA/OsnUvN1PXbazDjyISHlXtxzz+lLqWr/wBo&#10;vJZ2Uuy1XiecH74/uqfT3rWTSSYX5Q1HVH1GdrS0crbLxPMON/8Asqf5msa5t5NUWGztUEVh5qxl&#10;sf6znkL7eprQ07TzqrqiK0Wmx8ErwZfp/s+9b2pWvk2ttJBEMWsgYRqP4ehxWaTlqxJN6si1HR/O&#10;to/sXlxXFtzCCMKf9k+xFYcVyZJTBPEba6X70Lj9VPce4rs1f5Sw6YHXiuZ12OLVZFjc+XHE25ZY&#10;zh8+x7CpqQi1d7k1IpnA67Y6lcT3YhjkkgE4YoGIJIAx26Vm38Vwl06Kkn2d5fNnMsB+Vh0XI+8D&#10;2rvInura8NjfxkbwTbTHH7xR6+houIkeKRJFyCOazVRw0aMJPlYmmpMLO3VgkUYhUeWM7g319KxN&#10;W0+W21JJobp40ld5DtUZDbMdfwrV0eV5NLhyxdhuXJPOAxA/lTNSZVvbNpAqjc3XpjaetYczUibj&#10;dK+0QWEN5aXv2WSZA7oQGickZyV7H6EVpw6/rVqQ9xZ2t3H1Y2zlXx67WyP1rEZNGtwN6wkE5wBu&#10;wPX2FLapHa64YbYbYZLdpCi/d3BgMj061pzdWVGq0dzp2q2mqQGW0l3YPzIww0Z9GHUH/PNWN4AA&#10;A6HjtXCazA0Vrc6jaTPb3cMTMXiO3eByQ394Y9ahe9KRRs9xqyhiACXkwSegB7ms5RbtY6Y1k0bu&#10;u7rLVLbU3B+zGJredhzs5ypPtnIJ9xSPGrZdMHgEEVzdzcwhBDc3d+UnJjZHncAdAdwJ9WArS0C+&#10;juNKW3iYytbYgd85DMuAcHvTnB8qbMqrUtR9/bPc2pSN9kqMJIm64dTlc1s6Prq3p+yXcRtr5FyU&#10;ONsnuhzyKxL3UltZvL+yzzMiB5XjXIiXPU1U1VJL3T1ns5CJk/eQuhwT3IB9CKmN1pImE3B6j75p&#10;7fUJbrS9PmktPMZZ1UqFYjqyDOc+3erUNxFdRLPAQ0TD05rm9HnlutNiKT6sGJbzAjycHPfHeriw&#10;zaNOJ7O3vp7aX/j4ikhfcD/eUkfpVypN7FTXNqjWtLpfD1yjK7DTZmxLERxCT0ZfQZ612kLq6iRG&#10;VkYZDA5BrjLS4tr1GMTJLG33k4P5j/Glur6Lw/aNNb3Pk7VJWADcrn/d/wAKUU5Oz6FwqNaMPFF6&#10;+p6nFo9ojStGd7oOhbtn2HU1vaJokWlWzSSMJLuQAySn+Q9qg8OafHFp63rQkXd2PNmdvvZPb/61&#10;aOp3qafYS3L8BEzj1Pb9aK1T7ETRU1zc7Mu/P9r6xHpin/RbfEtzj+Jv4V/rW0f3aFjyAO1ZWkQi&#10;w0t7m7ZUmmzPcM3GCe34V5VqfjnVNZ8UrBayMunwzYUW+f3h7ZNOnh3VfL9lFVJ8sb9TpvEniF72&#10;c26B1gB2pFj5nb1I/kKm8PeGlu5N1xhmQ4uMdvSPP/oR/CqumaRcNqKmQhtTmG5jjItIz1Y/7Zr0&#10;TTrKGwtUghGI0BGPX1J9SfWuqrVjThywOelRc37SZMihFAUbQMYHpTbu7hs7SS4uJFjijBLMxwKi&#10;vr+3sIHnuZVjjXnLHr7D3rzTxF4lOoyB7lvLtQcQW2eXPqR6/wAq5aNKdRmtatGmvMtazrU2tzgG&#10;Jxaq4FvbgHc7epHqfTtXVeG/Df8AZhF5ehXv5Fx6iIf3R/X1PtXD6Tera6p9pvLgWkrKBbuQskSr&#10;9T0Y/wD1u1daNanJyNcgI6cxJXZXjKn7qVjmoWfvzd2b2qqG0q/Ro9ymCQFSeuRzXMaKqjwtpuyQ&#10;OVt0U4OecDI+op99rNwNNu/+JzbFvKfGI1HbnvWbpMgtdVNlBdRXEVxD5u2MABHXAPA/CuT2doM2&#10;qSU1czNf+bVyqxrM0cKnBHC8nP8ASseRy0cLRySIoc/IGJUNj06f/rrT1V3tNfn83Ks8hK543IQM&#10;Y+mMVhXQmJuBJIkUa4YlOCT2r6XAwp/V092eNUcvaNLY1rCd1VJ1U+fbvvKdyOh49xXYT2Gma1DH&#10;cywQ3CjlGPJHtmvM7ee8juhK8jMVjARU5GfQ/WughlWJwIZ7iCRxkpbsQT77Rx/Ks8dhXV/ep2Kp&#10;VPZ+4dRDo2lW+1k0+FdoO0Nltv59Kq2sq3Gr22krKHtftHmK2c4CjOwevJqaNb5/DTfa1InZGwDw&#10;xX3A74qa1stP1DTol8lGVRlQuVKtjnkYINfPpuN1I74S9651GradHqdlJA+QxXdGwPKsOhrm9Nle&#10;eyV5ABKuUf8A3hwahe31DTt0ukXUhkC8287mRHH4nIP0NZNrqz22rqz4Y3jBZ7UQlGRv72CTn60l&#10;C8bm9SSkdRET8nHrU8gO4EAjjqeKp39rJc6bPbwSmOZ0YKytgg/Wqek2kU8Jew1CW0vIRi4trljI&#10;uR1OCc49waiNPmV2yYwujO1jxDOmoNpaW8co4y4DFkbjHTvUmv3tvdWSXFvuiv3hbzZYvkDgNtKM&#10;uahu7B7u/wBQvoBHPFIFCSCQxkMvUgEeo45qbw14VfWLSOe5mnjtVV4yA2Gfc2cgnqPeupKCRUW1&#10;7qLgD2tiLWxgkU284hAcFxjG7n04OBWDoOu6xcatdW11ayXDDLpFHGFxg4wSTjHT1rtF8O3sLzxG&#10;8ZoJrpJXkeQ7yiqBj8SMfSuY1bSpdImMtp5ukW6v5b3MMnmFwxACqp6c0oundov2Pcf4dTUn8VPP&#10;qUK27O7BUXp8qAcevBHPtXUeKAV8MX+DljEVHHrx/WuYN1p39uRahem4kvLVY4IIZZMMxPyiTacD&#10;nPWreqeK2udO1EW1sm2G2LlZeSWDspAwcfwGuGpBzrxnHY6VpTZz/gnTk1a41Fp2YIqruUbSGYsx&#10;5yD04rvNJ02PTUkWMu5dwzPIck8ADPtgAfhXA/D++ktdVuY2TZFfMcKRyGwxU59CN35V6JNci3t5&#10;pjysaFiR6Ac1nmHOqvL3FhbKmcp4wvIZ9dsrdCT9nidnJHA3Fe/rgZ/Gl0vxMseiW9pp1lcahcIp&#10;LeWAsaknPLn+lcxrV1DezwJcSsttG6rcyR8mZmOW/AdK7m1msmgWGyCxKi4EYXBHvj9a7Z0FCjGM&#10;kcTqctVzj6FPT3utal+y69LLaOVLLZIu1JAP9vJ3fTiuntIIreGOGFEjjQcKOAPw9Kw7y1+22BQM&#10;UmQ+ZE/dXHQ5/wA8VI2tMLGCK2w9+6ck8iP1J/wrCdJSXuaI6aVe6uy7q+orHE2nwIk1zMMFW+6i&#10;nu3+HesjSZsRXNhJKsz2p27h6HkZ96qRxGKO5JlkwvNzcdyx/hHv/KprXZpVoDLEwuLrLlUGcAdj&#10;9BWkI2jYwqy5tWWbtvs93BKnRyI2HrUt2qXMTwSco4wwB7VVmlt9QhCQzATLgqp4Kn3HWkhnE8mw&#10;nZKPvxE8g+vak4voc930I3sJ4tOktY5I54xjy0nXjHocDms1dBvPvL5Efmbw0eTtQHHQ4q9qWp/Z&#10;ryK0gIeZ1Jwql2+mBj+dPN9qFqm+4tZQpHzBrcqT+Klv1rVOaVxqMn0K0Wi3MeoRsZIvs0UplTGd&#10;5JGORW184fr2/Os+K8utQ4tZrWMNwQJC0if8Bx1qQytZXhgupgUYZjlbA5/ums5Xe4pRl1L8UpQ7&#10;iOehJouYZLiRJ4pESaI8Bvukeh/Tmqc2owR27MsiOwHyoGBJPpT0j1Ygf8e5LAEkoRj8M81CTTHG&#10;43TdSvtEF5JeaaZYpJTK0tvIrMFwOoODxjtXW2txDfW0VxbyCSGRdysO4rjLi7vI7ee1uInklfiO&#10;SJDtOfXrir3h3VpLXS0gSwklCyS4ZXGMeY3HNFWnzK510ar2ZueDTu+IHi4/9MLD+U1d5XnngOY3&#10;HjjxZIY2jJhsRtYgnpN6V6HXt0VamkU9WcH8Tf8Aj28NH/qORf8AoqavI/E+pXVz4kv1urmRBbyb&#10;Y03lQqgcEevrXqnxauWs9I0G4VdzRazG4GM9IZq82tvEcOq2U9xqVnbXE8CeYrPCcnJ6Z9gwFc+I&#10;heaZvh68aUryVzpPDPiG9utAtrdXMt7lsTOMhI8/Kx9SR0FaMMLzs9hYSHkk3V2eTk88ep/lXM6N&#10;4g32hhs7SO3l89FjyNwCs5HzYxyKu63r+p6PbahB5sBlhniCGOLbw2C3FcjpOMmoowm+eV+h0Ws2&#10;0FhpNlBbKEK3cOzvk5GfrxmuplmSKCSVsAINxzxXjv8Awkl3eR3N5JOhlsrtZIFdSgCsQCRnr9Pe&#10;rDeMLm80q60y5uDJKz43eXt3LnnByeM8V0wpyjH3glNXN60lkvGu5vM8mKVyJGB5ZRycH0z3qTz7&#10;B03XEgt9NiAO1R80/OBwOcfzqtp0UDxW0VxHOtlGoJVImPmn8O386i1GaxtIbxTGb2O4lDGJ4HST&#10;A6KOMYFOMOZ3ZlFX3OyHiDTLWS0gy8fmjKL5ZG0dBkdq2ppEETF3Cpg7iT0HrXj9vc4KiWRisyoj&#10;u6PmEK2cH5ea6W78SW+o3JjMrC0i5WPYwMh98j9Kc/dLcrKxMupvqVmWnkEVjAxX5espB4/D271u&#10;aLaXEitc3aBEf/VxEZIHqaw/DWnNJrl3JfRlCu2aG3J+VAe5967RQwx29qztd3Yoq+rMzxDp39oa&#10;a6oo+0RHzYT3DDmuZjnW8t0uIz8rDJHcHuK6zVtTg0y3MsmWc8Rxr1dvQVwlk0sWtTxTBR9sH2hY&#10;kPEZHBHvnP51nXjfUyrJdBJLNrS4iurFGJVvnjU/fU9cA1DeR3Wo6harcEwQOWCxDBJXac5Nbci4&#10;xnrVS4TOp2II6l//AEE1ypsxjfYmWxtUVhHAiK/DbR14qtY6SllcmUySOyJsTd/yzT0H5D8qsag0&#10;kccEMcnlPPMkRk4yik8kfhmqtpM0GqyWQllmtHBNvNJ/Ey/fAPcd/wA6pRly8xXK7XJNWV5bE24O&#10;WuZUgwPdgD+hP5V1OqaUl1Zosb+VLbsJIXAHysM4/DrXK6gz2whuwu5ba4SZ1H90HB/IEn8K6STx&#10;Voq2nnm8DpjK7UPzfT1z/WnFXSsbUGranLWmmp4k0qKO6v4f7RuAZZ0aIFiePu9MDCgcduadoega&#10;tpVvNBb2cMe595kefeq8Y4AHT8a1bC90oWjNcSrFPK/mZjRh5foAcdhxTm1sqjKmoWrcffa3fP6c&#10;VbcpO3Q2aiyewsPsHmLcSfaLm4bdM7AAEYxgD0rBgtRb6hqFnAf9FicFAT91mGSo9qsyao0GbhdY&#10;86ResclsQG+hAyK52LxHaw3twskdwFuZzIH8skg9wR7eoqOSeplUSa0Ls+kJFM2pWN1NZ3KAsWi5&#10;U+uV6GsqG68X67Ej2moXLxNwsqokan69zXRW99DNEssDrLGcgn+lQLoemtIXUTxbuSkUzIp/AHFO&#10;lVcFaW5lCpy6M2bbw/aSW0Q1OGG4vAo82UJjce5rP0bRtMvfEEt9HaRiOAmOFSM5I6tWfBft4fvr&#10;20WaR7aS3MtuJDuKuOCAT+FddoFvFb6ZAoGHKAuT3J5qKjcW3fc6E07NGvnbGOPwrndSlTVtTSzR&#10;gbO0YSXTk4G4cqv9TUuuaw1uv2G1ZRcupLuTxCndj/hXFajfF7WOwst4tc8KPv3DHqxrShQ5veew&#10;q1VU1oVPiNreqahDLY6dhbJMGR42y0vt7Cr3hTQU8OaFas1us+r3Z3RRsPu57+wFb2jaNBo2lvqW&#10;qKrXGOEHIUHoo9zVwRT2llPqdyAL+cBY0H/LMH7qD+tdUqiiuWOxNNTa5pl/SNMFhGxdzJcSHfLI&#10;erN/hVq+1O20mzku7yURxIMnPc+g964iOyl1EyzW10bWJCUV1G5pWH3mOe2aqeRf6HKmp3Msd/BA&#10;D5qupDBc8kAnAx7Vz+zje8maOothbl9a8YXglitilqrfuzICqIPX1LYrIvdNsrbxAbPm5ktYmEkz&#10;j70hwMD0Az+teg3PiTSo9LluYbuFiIi6Kp6nHArz7ToJIbDz5+bqfMjt15JzXqZbD2lTyRwY2Uad&#10;O/ViLbiBZEkQm1fGCp+aM9cj6da9K8Makup6aBKsZuYP3cpwMMcZDfiCD+deczT+TGzdWxwCcZJ4&#10;wK2/A97FBrC232iP95ZgSDd95lbjH4Fq7cxpKUeZHLl1Vp2Z6LLaQ3FvPC0a/vI2Xp6jFclctFBJ&#10;o0xG1oS9nKSOQdvBP/fP61saXrUF3daoj3UbRQS/ITxhdg7+me9YniFNOvb23RNSht3lRmZ/MBDs&#10;v3OPUHn8MV4CTd0z2XqrEPiqwivtHaQxq0kLLIpxkqM84/DNeeXcJVnEMjSRXC4yy52gdP516Npu&#10;ppevJaStH9sh4dVIZWH94eoNcpd6Td6b88qRNC0zKCrHcM5I4xXo5ZXUG6czy8TTfxIzrKMpIznC&#10;JtA+Y+nc/wCFdNpEbQ2l9qaIeECRF1xkDqcemazNMtIrqbz5yFsbdt8jsOHbso9cV09xcS6kgt0j&#10;aC0IG5iMGQegHpWmZYtP91DYyw1H7ch6wX7xoy6gf3igkSIGA+lXtK09bKOQeY0jSNudm7mkij2x&#10;5BHTp6U+OcKSodCcdjXh6taHYnrcnkjHmg9wKaoUsxCjIGM4pm9y3J6ikBbDDpkUrND5tRQ2WXkH&#10;ms3xHa2LaXNcXcYLRxna6kq2ewBHNXURvlJU8Vz3iOcT30FiGO2P99N9B0H51thqTqVVEUqnJFyM&#10;aB9SFrHC2oM6KAWhlUFWA/hyOcdq9X8O3w1Lw7aXSwLAHTHlr0XHGPpxXlcLF5ZztziNj9OK9E0C&#10;/ttN8D2E80gWMRA9OWJJ4HvXrZphoUkuQzy+tKbfMXtd1ePRdJkvpUZ0QgbVOM5P+elcKLnUNe8T&#10;6TeXDiGxy0sNqrbvur95j0Jz+Val/deew1LV8Jg7ba1J+7n9C38qwoln0bWrG9mkjmt5pXXbDJu8&#10;ncM4IHXHrXjKFrvqeip3lodjq2iWGsQrFe24fA+VwMMvup7dvyrkfEWnzaRpT+fbpd2TFENwg2yR&#10;puOdwGM9Tz71eu/HC2kDTy2DbGiMluVbO8A4yeOOoP0rC1fx1Le6PNbvp25yUU7G+Uk44B9c5/AV&#10;zYenXU9djoqcrp6B4XtIZpF1K3mjhsIZVLtK+PmCv0B6D5hXeXEkd1pF00DLKrwvtKcgnafSvI7+&#10;Fns9P1HygLeeE+YY/uiXJ4YDvjA/Ctrwdri6RJqEs5lS0dQ0IYEK7jOcHt2FdOJo89TnvsOlSthe&#10;dsyP3EbCw3ukojWPDqQA3JBIPvzXS2t/p8ek25S4Edyo3qfmPPORuPY4PFcrqglv76Mxl/tFxIZJ&#10;ZipXaSDxz6DitbTmmktLVltJZJrQtuhKZVlAPI9+mK9rFRU6EZbHiU/dm0nc7SyvYL23MkDq5H3v&#10;Y46YrPaObTpJVjgkIupBJ5kS5OD1Hsar6W13FFJKLZ2Zzvm3qVJPoAewFbNvdmeBNhIA4weufT2r&#10;xW+V6G8HyjLWzZo42vPljT5orVT8qe5P8Rqxf2/2uIkNskXlGB6GmsWKbuvPYVStkvb6KWT7Y0QD&#10;FdqqMAD61Ck73FObkyeGG31GD97ABKnyuOhBqpfaGft1vKtu93boCTC85X5vUnnj2q/DFFp6SXFx&#10;cbmbG924HpS22s297LEkAYllZg2OwOM1Sckxx01GrY3vklEj06BCM+WsBbHvuyP0pdM8Q3trfDSb&#10;iH7RPnhUySVP8We+PQ81oO3ykkqABzntWJdIk+v2D2M6vcrMpkVSCNg6k+lHxLU2pVXzWOtvtIsb&#10;5SLi1jdh/FtwwPsaxb3Rb+1JFu4vrbHEUxxIv0Pf8a37vUrSzXdcTLGvv3+gqi3ifSfOwblgMdTE&#10;4H54rlpuodUowe5iw2N6zbbbSPIf/npMyhV/Ada1LbwvbMd2oySXcpHO5iEH0UcCrb6/pa4CXImP&#10;XbEpY/oKYPEumGQh5ZY29Hhcf0pzdToKEKcSKTwxZAt9mkuLXJP+pkIH5dKktfDdnbQrDFPdKqjj&#10;98TQ/iXT8N5a3EuD/wAs4W/mQKWDxDYswErSW57edGVH59Km9ZobVMXwLB9m8c+LIhI7gQ2Jy5ye&#10;RNXoNcD4KkSXx74teN1dTBY4KnI6TV31fRUb+zVzN26HnHxf8r+xNDM5KwjV0LkdQPJmzXDeH/Bq&#10;Ti6Fvek2oQpuVTl9x3Fc+wAGa9A+KVsl3Y+HbaQt5cutRo2DjgwzVneDl2+H1t1Hy200kKN/eVXI&#10;Bz+VcmNrOmrxCMbsg0/wVaQWMkUp8uW4lWVzCduzb90L6AVSj8Mx32tX9uLqdoInRp3kbcWPXZz2&#10;GAc13J+UBjgAckn0riLC5l1KwunRjDbTXMkk82cGQZwFB9MAc1xYec5NykVUaikhE0awntr61WRp&#10;ovO8xZ3UAKQP4fUDFc/onh+31DxaBEGNhAPmSTqxB6/QnP5V1ZiP2CS+mQxafCv7qIjaZjnjPtmr&#10;3g+y8mxkvpR+8uW3An+6On+NehTvyuTMkm2aOqxXw0dk0tUE/AHsvfHv6Vw2pw29rLC8Edyt6sO3&#10;yJ49xbIJLZ9Qa9NaeKCBpZmVI1GST0rlrvV2uZGuCojtR8kS7fnlz3/+tUqpbUp2SsecrH5soREl&#10;NpIOThjvlC9PrmvS/DPh2WK1tLrU/mnSMbI+yfX1NW9D0dvOF3exqj4zDAOkY9/erl5fyXk5sLAZ&#10;c8Szj7sQ+vr7U2+bViUdNSpbzl7rUtXVd0UcflRAcbtvX9a56NbjVIEur29ncy/OqRSFFQenFdXd&#10;3NpoOnCIJk7dscS9XP8AnrXCSpJp9xHcwTeXPdXA3Wq8xkHrgf1rOq9LJkVNFZFx9LuBOtxaXsnm&#10;KCoWcmRcfjyKXTtIuIb5r+9nSScqVHlggHP/AOqtRwBJ8pP50KxyVbOD+lcftJPQw5tRzKGdSe9Y&#10;lwtxqOr20kVyLS0R5FSQKCzbVO488YzV+fVbBJDEblQy8FjwoPpnpXO2t2bj7BBI2baCWZV25zKe&#10;T/WrpR0dy4KzLlxDNdyhr68Mun27h4sptaRumeO3861rvTLuTSxqLRsstqfNhtgMEKByCPUjPHat&#10;PTtKLyLeXaAOCPKi7J7/AFrbQZLfLS9prZG0YX1Zysvl3cIlgYMkg3A9iD/kVz02nXFhcW8kb50+&#10;Ny+zZuMLHuB1I6/TNdJqmmPorTX1lhrTlpbZjjZ6lD2+lZ9vrul3C5W4CNn5kkUhunTFNRnCWhhK&#10;LjI0E06W4tPtS6nZtb7S3mLH8oGPrWZFDrV22NMW3kt84M80ZRfw7mmeGLFNZ1S/MLP/AGKkqkRD&#10;hZZcfMfoP513+AiYXjA4A6CpnOMGdKgmcmNC1NzmfVFjz0WKEY/XNZuteH1t7Ay3OrTqFb5NqLuL&#10;dsYHWur1C/g022M9w/HRVA5Y9gK4LU9We6u0kuSPNYkQxckRj1wKqgpyfM9EZVZRholqY0VtrVpN&#10;HNaOt075MtuVwxX1JHetuPW7OQBZ5hazrw0Ux2kVt6TMlnb4tNOu7id+XlZAgY/j2p15p95qJ8yT&#10;Q7HeeMzNuP6AVVWUJPUXsHKKb3Oalto/EGs2CW8vmR27l5XTkbf7ufeus1TWU06L7NZlXuinTtEP&#10;VvT6d6rf2ZeWttI11fQ2Nsgy6Wse049ia5e6mFzKttYwny2PyIDl5D/eY1dOjGo1d6IJtUo26jZr&#10;ia5IhjDyyTNk8fNK3qfb2rs9E8Pw6Tate37qbojLMT8sQ9BTNG0ez8PWZvtQlT7SwyWP8P8AsrVt&#10;LefX5BLdK0GnKcpAeGlPq3oParrzXwQ2FSpSb56m423STXL5L6VWFhAx+zof+Wjf3z7elZ2uXclz&#10;FJKCdyym3tIgerngufpWzrWtW2kQeSmw3DL8kYPCj1PoK5rRLSWcC/uSSgLGBW9T95/6VnTenMzW&#10;c0tDVhgigtordB8sShR7+9Z2ryiHRdQZhn9ywHGeSMVpRkGQnPaqGpwS3WmzpEAZMblHYkHOKyi/&#10;eTOW95HPXQ1K08O2to9jbB5IxDFEyneygcseeKr2qTQaXBDclPORArbafq/iP+0NRbUfskwhjQW6&#10;jH3WP3v1wKxLvVLmO4dfL3/KCsY5I6Dn86+ly+nGnHn7nFjW6klFFy/sJL6S3ZJdgicNz0xnk/pV&#10;/RPDeY4NSN7FaWc0bRooclsYIYj6k/hWfaSSXVnaxXAlAuMm5MS5aKLOOnXnp+ddSum2V3fQWNnc&#10;vcWVvADK4PAHGyMY9sk+vFYZlXi3aJvgqbjFuRfstBvy0U8dzZ3MCwNEuxdu8ccnnk8VQ+xTW2iy&#10;61LZ2bvyU3E8c4CiqX9rTeDNdntI1P8AZt5CzW6f885umB9Tj866K6jVbvTNLkG6CG388qTw7AgA&#10;n6cmvJTS947kotXKNiNK02d57m8R78x4kJXAUdcAAcCqd7qen6rEIFjaWNrgRg7tvOMk07USk+oz&#10;lt0cYtzEZHTjdnj/AD70aVo9o2jwXMsEaE/vJGPAB9ahO+phLUc6WME0qylI7e3RRGDwATyeO5qj&#10;ca5PI2LQCGL/AJ6yjkj2FZ12Xl1G9uIQjRuw8uRwewA4H4VnzGBTuuJd7A4xnOPwFexhMtU4qdU4&#10;K+I15Ymhc3ltLIPtE8tw3cFiR+Q4FRh9OmYBIlDehBFV1uI1/wBVbyZx2XAoeO5uQF2xL3zg5WvZ&#10;VCnFWUTj55vdlyOCAuoCyLx2cjFWUTY5VJ7leP8Ans3+NJAqhwCSSByaexLMdgPTFP6tSevKjN1q&#10;ie5Zhm1CJB5GqTK3OBJ86/rWPFcotxcRXUqrd5zK7Pw+fQ/0rQjjnnlitLcbrqY7VA52+rH2rv10&#10;7R9A0hRcQRNHGvJZQzSN7epJry8RXpYWp+7SbPTw1GpXp++9DhNJ057i1ur6W8NrYJ+7VlXLysey&#10;1uwwra2dtLdq22JRHaWg5I9Pqx/Sp5JH3jUL2La2cWlkg+7npx/e9+1bmj6RJG/2/UNrXrD5UHKw&#10;r6D+prycRiZ1pNyO+jQjTXLEwJrH7LPa3+to7gku+xdyQgfdX88c+1Qa3HpWr27nT5YUvbc+ZER8&#10;m4jt7+lbmqTz6vqMul20hhtoApupVPzNnoi/h1+tZ58JaNsX/Qo32nIZutcvNGLu2dCSitDgIbHW&#10;9TttllPDcQ/ZmiQqwzGuQSpHqcYrqfENolroemL5Sq4mjUgDoQpz/Wny6PDo/jTTL6zUQ29wjW8s&#10;a8Lu2kqcfhVnxiQYtPjA63OePQI1YzqOWIhBbMudlRk1uR+EkgFjqBlVBELggBsYGFX1/Gq+vItn&#10;qNncqqPbTSCLyu3PX8DnP1FULdvJ0vzHQPH9qnYIejOF+XP4it7T/CFlFPDPLNPLIhDYZ/lB69Ki&#10;do1bye7HRb9mrdjyy3NzYfa3gfJS5MSxuMgnOBzXe6BNFpsRguGkivpOZPO6Of8AZ7YrnNBtVvNb&#10;EEq7o5L6WR89MLz/ADIrsLzQLO7gMUskroOY13/c+letiq6cYwueZFJSkzR8zeg47Y9KpSQyWqm5&#10;iHvJGP4h3I96ytPXUrOzHlyfbIEZlKufm4PUHvWnHqSX+nukBC3AUjy5OGBxXntW2KiWVuIlt1lM&#10;yqjcrk4zUVgY5Uu4S4ZA5JIORg81DZWksqoZ4gscKbFVsHJ9a1IoI4IHjSNVUg9BUrQHuctPbafG&#10;t7I8DyRCcLvjflR6/rWrbaGLIxSW11IAsZRQwBGOoq3Po9rLbpHsKRhtxVTjd9augKqLgYxVSm1o&#10;irnJalFei8B1G3ubuBU+RYmyjN6kCnWt1Z2BzcaA0EL/ACmWJc8n16GuvyDwBmquqx3Bs/NtovNe&#10;Ihwn96qjU1SFF3MXSZNPtrl5lWVreU7o7uVTgc/dOelbUrwyzFRcQtkdN4qPR9c0a00mKyupvLkw&#10;TJHNGVO4nJHI6VqxQ+H9T3LClpOABkLjI/CspTs9rHW6XMr3Kaq0EQKhRjuBjNRKZJZTkcehq+3h&#10;mIHFrdXNumfuq+R+ANOHhhBkpqV6jjv5m4flUqUH1Ilh5dyEMVixjvnFQrKW+V1DA561M1jrNmSn&#10;lwXaE4V92xvx7Utt4fa4k83VZfM9LeM4jH+NNyjFPUlUJNj/AIdRxReMfFawhQnlWR+Xpn99XpFe&#10;e+BLaG08c+LYbeMRxiGxIUdORNXoVe5S1grG1raHnHxgnlttF0KWFwki6xHtdui/uZeas6TaQafp&#10;McFvIHiHzeYTncSclvxPNQfF2Ez6NocW9VL6sihn+6CYJuTXN6VeTXOgw2jqLaxtR5UkgbPnbeOD&#10;/dNcGPp8zQ1JR3NPW9RbULW4SCQx2USMZJs480gHge3vUXhmyWfQbCa/cW+nxIoSOQ48w46t7e1S&#10;f2a+rWE0jxGKzWFvIhxy/wAvBP8AQVoRaVDr/g7TYDK0aqscisozyBUYdRtbsKzl7zKPjLXNPNrb&#10;W4u4RGzB254ZeBgdjwSa17DXtJubZvsdxHJFbqC2wHCiuF1vwrbzzQ6b/a1ukWnKXXzFO7kDOccd&#10;6s6FYnw9BNI8wljnCqkSJguexI9TXVNxsDlZmtqWpNeKtxcKwsw37mDvI3Ykf0q3p/2WzmW61V83&#10;RG6OBVLeSv4d6fa6a0FrLq1+oNzGhaKLtEAOn1rW0m2WGwRyMzyqHlkPViaxjvdijDuQxvca0TI7&#10;SWljjCqOHlHv6Cpr29stCskSGIbmOI4k6sf896TVtQjsoRnLTPxHGOrGuL1G9ks1muH/AH9+y8D+&#10;GMdh9P505zfQJSsrIs3l40c5ubs+fqEvEcS84/2R6D3qSw0xomN3eMJLtvTpGvoKTR9PktYftd64&#10;kvpVy74+4Oyj0q8GOOuea4qkzmk7CM21808YYHJwO9V5XVAzuflUEk+1ZSQyajELm5klWCQ/ubWM&#10;4LD39c0U4uTuiY3bFtRFNDPbzbXs4blvLAGfNJ5/HBNWhCljrGmtcIfOIkMdtGMhBjr9a3NJ0FbK&#10;COWdFEg+5Gv3Yh/j71S1CMR+NtLcfxW0o59sGtXLodcIW1ZrG9vXOIrHYCfvSvj9KbJFJHbvPe38&#10;kW3kLD8oH+Jqzc3MNlbtNMcKMfU+w965u6vJrq5SSdCWJIt7cc4Pqff3rKk+rKnKysUr8XGpMn26&#10;eaaMOTBanALHoN2Ov9K3bLSLbR7CbUb+GNpYoy+wDiNcE4Hv05rBH2nT9Rv76W5Hn2xhTysDB3EF&#10;lGfYiuk1i7gv44tOglDvJdLFKo6gD5yD+C/rWkpPmJhHuXdCsjZaRBG4AlYF5ccfOx3H9TRq+pQa&#10;XaPcTN14RR1Y+gFP1PVLfSbRp525HCIOrHsBXm9zqN7rWqCNhuu7j5IEHIhXuT9Kyp0XVnd7BWqq&#10;PurdjpLu+8Q6obeD5rkDk9Ut19veux0bw7aaVbhcedcE5knflnNWdC0K10SxS3gXLHmSRvvO3ck1&#10;oF1XGOTmrrVbe5HYIU+XV7jljCqqiory6gs7U3E7qiKOTVLVtfsNHt/MupPm6LGgyzH6V55r2r32&#10;tXALs0VvjMdup+b6saVGhzu72CtWUFZbi674hl1u9MESOyg/urZOSfc1ueH9D1WBBKtvDBM4+aWY&#10;7mUegHasrw9N/Ydg+oJpDTH+KUuAdpPYHtXbR6pqciq66O5DDIPnLiuqpOSXJBaGNKmm+eW4QaFB&#10;FILm+uGupl+60x+VfoOgqtq3iKOzQpAVZsct2FUdStfEuqsUSOGziP8AfkyT+VPsPBMKJv1S5a6k&#10;6+X0T8qwajvUYT9pJ8sNjiIrpda8R7J5N8MkoEkm7ggDIX6V6C+0DYi7VAwF9MVnT+FtNuNSuo4Y&#10;ktpYxG8LRr93GcnFTSJrVr9+2hvI1GN0LbW/I1dScallAPYuKJF+UkYoiz5h44NQ2d7HfK5SN43V&#10;tjxuMFTUm8oWJzgDJxWDupWMuWxwmtRTw3t7YmPPmTi4DE8AEgk/mDVCynLy3s7lmhX5wxGM8cit&#10;TVDLq+rRySsBEkJbYnXBbgMfwJqklqls08LqVtJxsJH8BPFfVYJydBNnBWaVTlO30DSjaWj3F0B9&#10;rucGQD+Feyj6fzzWrFBFZlkhiRA5LHaMZNZGj6uLuJLe6ZUvY/ldDxuPqPX1rXYkSYb8/SvmsRKf&#10;tG5ndBrl0MHxXpgv9HeVVDTWp89B64+8PxGan0mGJ44tQ+1TTl7dUQytnanXA/GtMsCjjjBBzmuA&#10;u73+y7e40NpDGqTiVJC2AICc4/pVUYyq/u0HO1FmproEuriO7LGB4gbcA4Utk5/Gqp8yREgkvbia&#10;JTxG7cfj61itfCeWIWltLMIySnmMQinGM81Dexai0DTzTgIOWjiOOPrX0WGw0YU7SV2jgqTcpaSs&#10;jRvtThgkKvMoxxtHX8qxxLJLeB7OzZY2OW8zgGmO72zN9ntYy5TJP3ivvmtWWymeKKaKT5wvJYfe&#10;46V3RlzIysqb1GfaxAU+0BFB4DBsirKX0GxiHHsa586f5l4rTsD8+HRQSAa6hLZEhMewbMYxitKc&#10;m9zKrGEfmFo+cSEkjHYcknoK6zTvCN5dRiS8uRbKy5EcS5bHuf8ACuOsjLZXdmcLJCLhMrjBxmvY&#10;b6+trC0e4uH2oq/iT6D3ryMzxVWD5YnoYHDU2uZmXb2Wl+F7J7lV24B3SNy8nt7msqS7kubhdSv0&#10;JYnbZ2i8kehx3b+VVbq8kupI7++ViScWloOcHsfrXTaForwS/b9QAe7ZflXtEPQe/vXgpu7lJ6nq&#10;rX3Y7FP7M+kadc63qIEl6FPlx9RFnoo9896jXQL/AOzR3x1GVdWJDlySYxn+Db6VoeIGF1d6bp3X&#10;zrgSOP8AZQZrWHJ6enSk522KasY+k6ZcWn2qe9eN7q6l8xzH90YAAA/AVYMWFbPStA4zg1WkwFIx&#10;WN7yEzB8R2c0+kNLb4+02uLiL3ZDnH4jIrm/E9/9psdHu0yBMxcD6x//AF67PVobi40q4htSFneF&#10;lQnscHBrznWrmK40nSlt/lEMcilD1R1UAg+4p04c1SL7CqP91KwaY7albW1mhLA3Mm73ZnOfyUH/&#10;AL6FejwEFhnpn+lcT8OoUuLH7W4G+MbF47t8xP8AIfhXaoT5hAAGD/SuPG1F7VLzOjDx/dnB+DLF&#10;hcahfPwvnvFFn/e5P+fSujlIPGOc8Gq3h+3MGlyj/p7n/wDRjVM+ecDpXZObnI8yro9CkscumRBm&#10;cNabjkEcpn+lT3OlWuoQq2MMDlZE4Ye9VAkk960V6/mW5BZE7AdOfzrUhYCJQnGOg9qJOwobGWG1&#10;PS1IdftduDy6/wCsA9x3q7/a1vJp81zHKpEalmB6j8KtrJ1Un5+uO9cx4ptFvmhsrRALqT55GXg7&#10;BVQ97cbNjSbu7k06Ka7YF5Pnx/dB6Cr32yCSXyxIrMBkgGuXt3e2Igvbd2VFHzJnIHqVrRe2Gpy2&#10;32KZIraP5meM/OT/AHaJQ18iTZlnSCNpGbAxTLbUEudyxlldeqsMH603+zI8gySSykdnbI/Knz6Z&#10;DcgOyncOjA4NS9NhJFKVpL+4nil8pYkYL90Fjx60kXh/T4rlpQjhyuAwbGKsR2ZtQxUkljkljkmr&#10;IfJwRg4pczLU5Ijim1LT8G2umuYwf9TcHOR7NWlB4osJHKSM8U+PmhZSWX/EVSIYj5RUd5psd2Aw&#10;zFcKfllTqD/hQ4xlozop15Jamv8A8JFppBzPjnoUP+FJHr2mZ/4+gOe6n/CuSS7ugzRXUw+1IxDo&#10;kJY4H8f0qte6rLaXhijkgmjWMStIoPQgkYHfgE0nh0be1n0R2vgW4iuvHXi2WFwyGGxAI9hNXoNe&#10;WfCmeW48TeKZJkVJDFZZCnI/5bV6nXuUlaCRN29zzr4uxwyaNoUdwcQtrEYfnsYZs1zHhiBprqex&#10;vS/kWm1raJxy8ZztZvpgiuv+JyCS38NIwDKdciBBHB/dTVlWG1vGWq7+HSCFEHqoycj2yTXDjp20&#10;8ilC7udIgA2jt6Vi2GpW+gQXdhevsjty0tuxOA6HnA9weMfStS7uYrOIzSSBFUZJNeeeNbp7zT4L&#10;i7TbmbFrEeo75PuSAMVwYJyUrM0qNKw/RAL5pNe1BXJmciC27uc9ff2rpbdI7W6W5vEkmvmG5IYl&#10;3eSv09feub0PXrDSooE1CKWTUo8RLbxpu8v0x9eua3dJ16CPVLuS/hltHupB5RnXgjAAGen4V6Dl&#10;aV2YpWepqX+oxXGnyWlssklxKNoQKcrk9T6Vbu9RTSNOiVgJbogKkS9WP+FUtd8R2uhaeszHzJpT&#10;iGJRkyH2rnba7k1Zx9kkFxqM3+sYjAgHcY7D+dJybV0KTtsTl7q71DamJr+Xlj/DEP6Cofsz3ZNr&#10;AuLaKfM9w/3p2XsPbNdhpulQaRZOFO6ZlJklbqzVzeiqBo0JzncznJ/3jWc/djfqZyXKrlt2JYjs&#10;BwKhVv51IRknFRlfl9DmuNnO9TN1qSX7A8UKlppiIkUdyTW3Z/2fobxnUpkW7KDauMiNRgcf41U0&#10;+3W68TwB/u20TSY/2jwK2tQ0Ky1KQSzrJvVNmVcjIPY/lXRTlyR1OqlDS5Be+Jbe3lkh8idjG6Kx&#10;Vf73Cn3zXOalr0MXiq0u7lZIo7dZIWVhzvKgjFa93o0dn5l7e3m4vPG+xExv2Z2qB61xmu2k39pW&#10;Ly3Do93eMQoxmNWx+vSrpQg3d9i5TsdMLx9QmW7kPmyuStvbqfuD39/U9q39K0oW8jXE5D3T9T2U&#10;eg9K5bRWj0nVj9pOZ9xEzgcNHj5Wx2wRg/Wu5triGZC0ciuCf4T0rCpdPljsFOKerMnVfC1lq1yb&#10;kvLFPlXyh43IflJFY0wl0bxJFd3pQmSNykUZyXZQFB+p3fpXRa1rsGjWwkIMk8mVihXks3+FcM4m&#10;17XIPIuVkuWjkDyN92MfLwB7DNaUlK3v7Cqyt8O5OftniHWioO6U4z3SBf8AP51vaFpVnZXt7dbg&#10;I7fFusjnknqxJ+vH4VtaRpdto9kLeHk8F5D1c9yTWVpunjU/DrrJK6iaZ5ty9c+YWFN1VstiadHl&#10;96W5PfeI9OsCnmykq/CuoyCfT61nTeKbS6QQadJm4kH3mHEecjJ9xg1BeeGI4y0rahtiVWJEqBhy&#10;2Sf6Vw85sre88uwd3ffghVwZGPYe3tV0aMKnvirVeR8q3NK4U3F0qoWuJmYqnOSx9c1ozadb6dLa&#10;Wc8qG4n+eck8Kg6KPqafY2sunRiSXcl3IpCRoMyt7D+6Per1loyRJPcXq+bdXH3953bR2UGqnOys&#10;jGNOy5p6siutt3dQaWjIiTHMhzjEY64rtY2jijVFddqqAOa8vu0/s/Xo/tcDT27RFYXJxjHJBNRX&#10;m64sJdVXzbS3TiCME5kbpk89CazjFM1hLlR6kbiLH3l/OpMxsvDDH1rzfSHGpacrnTZ2uUOyZEZv&#10;kYevNag087OdJvfzb/GolSV9S/avsafiNnins/sny3LvtSYsAq+x9a2kPyqHKlgOee9cFqFiJbu2&#10;tm0y9CkmRh82ePxp929rYIr3VlfxKzbQTv5J7darkXQr2jtsaZxaeJr+HHE6LcKT7fKf6VX1S2nu&#10;tnkk7VJ3oG27vxqLR9Ml+2TahPE8KvGI4opGLNtznJz0rUCOCcVnN8rVjmqSu7o4O6s9T0e7eU2O&#10;6ymfLFDuMQ9DTr/y30wujqyAhmIPUAgmu5LsCA2PxrEvk0J70xG1SW543RxqT17kDivTwuZunHla&#10;OOrh41Jcy3MiWazlXa5MxU8mIEkfQjpW/wCHbua7WeKXzHihYCKV1wSCM498dKpNr0FrLeQw2arH&#10;bfKFBClzx0H1Ipz+JXRCRbHdDuM6hvubWCnHrz0rPFYiVdXcbGtKkqezuXtRtNTurl44btLa12nl&#10;BmRjjn6VxGpaZHo+vRmZZLmOeLdHJJ8xVh1H0xzXpasXQn1Hauf8VWZuNI8+Jf39ownTHXA6j8Rm&#10;sMHX9nVQTXMmjiNRvJdifY2JjPBKD3q3LbmLRJW85xgbnLjcQD2q9bx2++OeIhVnTcqk8Y9cdqyp&#10;tb2M8Ati3mEoATwe1fVqS5bpnmpNy5UtFuXdJ0LV76eVraxljMgULJKMIoH8Rrd1PSNR0ARNfslx&#10;aOcG4jXb5Z/2vb3qlY6/qOnxpHe39x9m8vCbCCUIHAPrVq38Qx6vMkV/d3UtjgPJE6j5zjOCfTiv&#10;Lli6kJ+SPSVClViU4dIn1vVms9LuYUIjEsjsu4ZB9u9X9R0K90K5jW4vfPhuVIDsuNjgdPpXZ6Jc&#10;2SzNaw6X9hd0Ei4UDzF9eKj8X29tdaFItxMIShDRHGTuHQY75rl/tOftVfY1WDgqdmeTWj3VzfiI&#10;SMSqu+48DjkfyrvFurvUtOXV7+P5Yot0VuDwDjqfU5rnLfw1cxmO5vHjhMo2pbW4Jd89vb3r0G28&#10;PyzaBcWd7IVaePGE4EYHQCnjcRGo00LDUXFWKmjXUUWohdWFus6xK8MvTG/+H612aNyB7V5//wAI&#10;re2VlLbxk3puHVllY4MW31z2rpdW1v8As+NLa3USX8i/Ig6L/tH0FeZJRb0O+NoorSSxt47ZZJV3&#10;R2X7tSe5PJFTarfXMM8FraukbyhiHcZHAzj8a5mS1jeT7OIftmpyks0pJBHq2R0UelO0BpUNjFd3&#10;H2lY5ptrOeijgNz75H41XJdXM3K6Os0+8kvNOhuJkCSMvzKOmenFVtVvpbdI44I1eaUkDPTAGTTJ&#10;yujkzKSLVz84J4QnoR7ZqkgVdEfUXLNPLDuLOeVzzx6VlFe9cJXsbNpMLm2tpz8pkiWTb6cZrybU&#10;pYF1fVp4OYVnuSPTIEYY/mDXr0CKkMMcY4RAoxXk19phtrvWLRs+WssvzH0cqw/StcNbnZFbSDN/&#10;4aq40BnZcZZR/wCOCuugA8wcnkiuK8M6l/YWnxQ3FvKIZYkb7uSG2gZHqCBXX6ZewXyM8Dk7Ww2R&#10;jBxXk4uD9s5dDupNcljP0WMHTJD/AHrmY/8AkRqZKhViAKj8M3sU+lyxq3zxXEodT1GXYg/rV54i&#10;TuIrs2Z5dZXehg348mNbkOEeMHG7o3t+lXbSYyW0UgGN6hselN1Oz+0WgVSBIrB1yOMj1qol+I4l&#10;EsUiSDjbt4P0rR6ozSI74E3dzOp2yRRhlJPYHn8KZ4fR76O51aQYNw2Iwf4UHSs/U2ubqWOFQY3u&#10;/wB2E77AckmtyC0lsYClkUVNoBjfp+FaOyjYctCe7t47hQrghgPlccEVmCO380t9o+y3kZxvXgP7&#10;kd61N8+P3lqSSOqMDVeae2DhpIsN3LR9KzTaQlcp3+q6hEYBdI8lmP8AWTWZxn0Oe1adhLpd3tSe&#10;6v4FbhVmk+V/bcKaLRHcy2k3lBhhlUAq34VSj0tpzcpBKscqPtYbcxyfVe34Vo+WSsa06i6o6K40&#10;aS1BfTJSydTBK2Qfoe1RQyxTzPGUaKdB80UnDD/61c/Drt/oV0unXbCCOVcxPJ86g57H0+tWr2a4&#10;1Jlk/tG2WVOVlRBn6ZzUKnJbm0+RmxdW5udOngyUZ0IUg4OaZYWUklnDdaRKi+Yg8yCdiVDDrg9Q&#10;c1mSX+qyW726yWSsRt88E5+uKmsLy9sLeO2iktNiDHfJ9TQ21HQKThFWZLqOl3VrLp8gvGF1cym3&#10;uZUXjyyCcAexHWkvdM0OyukM9/HboAo8piDkqpVT+p4rL1nWdT1KRdIt5bVLhiXMy5zCo/i/pWVb&#10;aXPZSrKl3b3UssoQMWywY9zkH3qlCTV27GvtI9DtPhbHbReKvFYtJ1niMdmwdRgZ/fdBXqNeYfC5&#10;7l/FHin7XHGkyxWanyxgEAzYP4ivT69inpFEt31OE+JbBYfDLMQANbiOScD/AFM1cN4h8TQ2+vWt&#10;5YKHkjR4WYg4kB5AHrgg113xeEZ0XQhKxWM6xGGIGSB5M1chqGnLLaRyhWguFbdZwJhmLgfef1J/&#10;QVxYuK502DlZWIb6/wDEd3JBc3FuqAH9xAMEknvjPX+VUL+z1h9btIb+WOa6kYeVGp4iBJPT/gNd&#10;Fot613FHcrGbrVXjG5cYS27YJPTp9TSW9ksPja3WTMsuwvJK3dsH9PmrmVWMbpLoNRbs2a914eCW&#10;lrNZRqb22O4O3WTI+ZSfeq63EOpwSQS2+HQ7ZoJRyh/z3rb1TVYdOhX5fMnkGI4h1c9vw9a5GW5l&#10;j1yyu7mcNcSuYpVReFRh8oPsDwPrWNJzmtSa6jfQvWGk2NtdJcLE5kQEJvcsE9duelWpoGtLpdVs&#10;FHnJxLGv/LRPT6jtVposYI/GnDiI4654NNVJRldnMm0xuo+KrOawMdjJ5t5OCkcOCGVj6+mKgtbc&#10;2enw27HJRcZHr3pftMUchY+Wjd3wBn8az/7etpHRIWMm+fycjpn1+lXKbmti5z5kaaYViSKYWB/O&#10;nMpG4ljUKKcZz3rAwYxLoaZr1tctxBcKYJD6Mfun8+K6O+1CCwtzJKcsThUHLMfQCuN1ycB7O02M&#10;zTTBiFGThTn/ACat7rm5vQdomvpB+7QH5YV7/wD666ErpM6YSajZE80s9zeRSTJ5t5Jnybdfuxj1&#10;/wATWf4g0xLC40iSRvMup7tVkkPp1wPQV2Gn6WljFncXnf8A1kvcn+g9qwvGCKdT8PoB968/kCTV&#10;Qlr8i3GyuwvrGK5YHc8cqN8kiH5l/wAap/bPLmFte2u67k+W3niYxrL/AL2OhHU1Z1O+eyJZbeWd&#10;+u1F4A9z2rO1F1udMuFkmiF1EnnqsbZK45/lUU5NGMZO5VvYTHaXk9qSZoIpGluWJIQ4ztTP5UkW&#10;kzeHr3TdStJD5a5WeNznLOAM59z/ADFb2tRQrpEGmWce1rwqiRjrs+85/LOT3J96ZrcLzaddW8YB&#10;d4yFA9ccfrim6j2LfutM6i2uo7m186M5Vl/z+RrG0a/t9O8H2l1cyBUEIY57n0HvVUaxDp2kJqoJ&#10;azuIwzxj7yvjGQO/fIrgY7291y2sLSIGRURUijTsfX6+9XRw/PuOtXUF7u7Ler63e+INQWC2jfDN&#10;tihQ/qas6NpY0ee9uZVWS7t1cgnoG4AA+ldVoWg2fhu1FzdMpunGHkPQf7K1W0i3XVL/AFtmU+Q8&#10;jRA4x15JH51o6sbezjsZ0qLvzz3LlnbiysvPYGe7dd0jn7zH0HoK5vVPFs0NvK0enyqUYxl3xtVv&#10;fFbX2trILp12ypdqpERY4WYdiDXOyW12Li2inikSSS5aR4xyhQ54J6Vil/MOWrL2lXMesyXEdyYZ&#10;4Yyu1WXvjk/nTr1V1PWoLNAPsliBJIBwC/YfhVu6lt9Ks7i9EaKwXsOWPQCo9CsmsrHzJsmec+bJ&#10;n1POKV9bkOVhFuY9J8VWbZCJfKyS9hkDINdZDqlhPbiVLuIpkjJbuOtcHrFyH1nT3igklFrIS7IM&#10;gORwtSWmgyajLNNeKbJ33fI0QZefTPeqnTUo3bsdFOWmpv8AiLXYdIubOfyhLI/yKQ4AGasXlsdV&#10;gsb5WCyQHzAMZVsjkc/zrE16xgW301Y2uZmhljVliJztHU4FTR36C1ubeK1uWtdnHnbg7OegGecV&#10;MYOysXdWMSPxhNc6pHYR2hSbzNsuWBAXOMitHWPEK6OW/ciQCIynLY4BAwPU81ytppWqi+jmnspm&#10;y4LooySuR3znpmtXXraeW6UQwSeV9lKYVC3ORwTzitZQhzanO1qXdN16TVLlFNp5aSBmR92c4wD/&#10;ADq/daPa3D/aChSXqXjO0nHr61z/AIdjlTVYYmEnlQQFQHiK7MkcZ711V2boWkotAjXAXCBjgZrG&#10;okp2iQ12MK90K8uXy80Z8ty8bY5YkggN7DFRNoFz5ZUyRgzhluDjsX3nH6ipIr2/Vg+p301iBw6/&#10;ZC4z65HGKVijTGSDxbBMzoPleP5cEdODxWyjNqyaLUG0bsM4aJmRgy4OCDVcX9nhlluIuQAQWFZV&#10;tYW0NuIf7UsNgGMkuATjrtq9BZ6G8arf6yk0fAMUSiNP8TUxoWd2yY09dTM0HwfBrNvqEiXLi3SQ&#10;xWUq8bQMnoeoBOPwrC1HwtqVgoSXT3MyPjzo1Lo49eOler22uaFZwRwwXUMcaDCBRwKefEmkHn7Y&#10;mM9RmvQp4mUC3QizznQvCV3qN5B9qs2isowTK82cvxgAZ966Hwv4R0w2xujG5XzXVVZsjaMj9a6X&#10;/hJdI2H/AExfwBrJ0TVrS08NGR5AscMjofU88Ae9YV6rkuZFwpxprQh0VrXSLPUry8kdmgneBS7Z&#10;bYD8qiqlxdPc3C319GWlbi1tF5259v73v2qIxgub25RjJNKWtrMHJ3Huff8AlXT6HoTWxa+vsPeu&#10;vC9RCP7o/wAa5dErsE3N2QzQ9GeCX7df4e8ZeF6iIf3RW45HOeeKQ8HA9KxNYu3ju44Y9Q8p3Q/u&#10;xFu/E88VlGfObaRRjXPiXUbMXqTqsUoJ+yqV4YbgM57/AErN0e6lkguryeKe5uN7+ZOkZYHHYeg9&#10;qpvpXnTXMTajLNGiM8jeSWEY64Bzwc9qv2eoSWehW6w3CtBMrHyxAGYL3ZiG966VBIxb52ZjeKby&#10;2uJGs7aCNrwBC20lgQoJ/Q9K6C3v9Al0m0he3cyxxYRBExZd3Jx681m2ui2Ooai1pFcJkjCS+QwB&#10;KgHAO7rjFbct/f2kraZaXMEskaBSyQ4WAY7nJyfaiSRbslYq6d4qjj1WLQdSgl3SKoiaROW9Nw7V&#10;0WpwiTTp41QD5MbR9K4vRrjSvD3iq/a7l8xrnYUvHXcEYD5lLdB1Fd8ZUkXIIKnp71jUSjLQN0Mt&#10;ZVeGEqc7kDCsPxN4Zm1JpLvT7hIrqRQjo4ykmM4zjoeetWDcxafcrFFMJYyceUDloj7eo9q1bS+i&#10;u0ZotwKNtZWUgqcd6xUpQlzIpxUlZnO6HcuSNF1O0EF3FAAF+8kqDgsD/OssG78O6zD+8V7S5fZ5&#10;YB3Bc4X8gwFat7JM3jTSgyfuPIn2n/b44/LNQ+JrW4e1F9br5klrljGOrDKtx75UVjJpVV2ZrD4D&#10;k9EuZY9asZYmI8+Uwyr/AHhzg/hivQJBsU4OetcD4OZLnWdNZSCqQyS/RuF/qa7DUpUa7Ec0hSBY&#10;y7YOM9q7a0dUjy4XcW2RT3cMbKjsNxH3RyaqjULQRKd5Zv7o5b8qu2iWhhP2faDjkd/15rM1m8C2&#10;SWdoytd3bCJdvVQep/Ks1FNlRRQ0e5jvb+51KdZI4z+6tiy4G0df1rpVRTEXRg2R1BpLK1h0+wS1&#10;iGFQbQD3qvdwvAhns0bdn54lPDj2FEvekKdiW/me2055ocFxtxkZ25PWrZ0rUjErLfxTZGdkkQCn&#10;8e1ZkE73HnW11F5Z2fdU5+U1q6Xqy2yR2GoP5cq/LFI33ZF7YPr7VDbib4fld0zJaG1F00FzE9lc&#10;4yV3bQ3uD0NWXmsdOj2Q/vZW6Ro253NdFdy6ZcqI7prabHRXwR+tNtE0m3YtbLaxn1TaKl1tNjRU&#10;I3vcztP0UuZLvVI45biUYERUFYl9B7+pqCfwzFaTNNpaQoSMtBKgZG/qK6I3UGP9fGf+BCmTXlvC&#10;GkeaMIq5J3DgVgp1XI6YqKRzcU+lK6w6lpsVpcngB0G1vo3Sq1zf6RdQzxaPaW91eqwRUAAAycbi&#10;fQU83Fx4okIjaKDSFfBd1DNPzzgHoPes+30SxtvEMj6IIZl8phNBKxKAgjgN/Ca6ox6tjTjZ3J9C&#10;8H2ztdmeZ2mEm2SSPgMxHzY9hnFdGug6Taw710+MmJSQAOTgfzpul6tYowsWi+wz5P7lxgMfUN0a&#10;tlmXaTuGMHIBHpWU5VJS1J5YmH8OSreLvE7pB5Cvb2LhN2cAiY16RXmfwxLHxJ4i3LtP2WwwPbE2&#10;P0xXplfQUvgRi9zz34sJM+meH1t1LzHWY9ijufJmrPstAvbcfapZnkvWUBmaLKr/ALI9v51u/EEf&#10;vvCf/Yfh/wDRU1dIp5x3qK1BVfidhHAaJpd5p2sapLNbbkupFmWSNMDJGCMZz71FfWGpR+JE1G0s&#10;JJ1EZXA4ycY79uBXopGaSsXgoc12yufSx5zJpWqM/ntA0l5NhWkYfLEvoB6D9a0P7Ag/seexEcrS&#10;TfM0xU7i/UN+BrtiMik5GOelP6nFbMlWTucRaW9+1jGLq1kWdRtbA6471KbS6CECCTnrxXZAUmQK&#10;Hg4Gfs0eV6h4Tknv3lXTpmhaE52nndn3NN0/wXJbwxEG9TbJ5qoQAVPfp616qRnnrSqKv6vG1rj9&#10;mrHGGyusf8e8nT0qM2V2EJFtIT1Ax1rtz060YyKz+pQJ9lE8wXSdbn1EX01mYnVTHEg5CA9WY/0r&#10;qdNsY9OicBJHlcgySMnLH/Pauo7Y6UY4rVYaFrFxiomMZT/ck/75rmdQs9Tv/E1vcvav9itQ3ljH&#10;JYr97+ld/wBB70h5I9qlYWC6lydzgdZsNRu7Epa27+buVhnjoc1kWXhK5isr4NZiC5ud6q6jcVVu&#10;2eOK9U7nuaUde9EcNFLcz5DgrHSr6GR7q7ElxdMgj3bMBF/uqM8D+dWJLa7fk2snX0rtAO9NIqJY&#10;SDBwueS33hzVp5LlVs5mhEjPAm4YUsBnHpls1peHvDc/h/T4rmGCRr/y1WZGXAYY5UehHrXpVIR8&#10;pwSD04rb2S5bJijSSlzHIk3d7qMDy2E8cMQZvnA+/wAY/IZplsl7ZtqciWc0jSzmSJAB82QBXYdN&#10;vP6UEjJGTisVhII1ep5Ze6DrWr3Gby3OZfvSnlYl9FFbWn2eox2EUNzFK8seV3EfeA6Gu5Ujecfy&#10;p2cmtZ0IyVjFU4rc811LRdSv9RtEa0kFlEfNcnHzsOg/rVu9stS8nZaWkhlbChj/AAe9d9gUYGaj&#10;6pAr2aPO18IMth9lF/ehGO5v3a/e65zjPWpLHRtViudl5c3MkI6MIxg/XuDXoPbGetHqKcsNF9Su&#10;VHnaeG5Y7ySYl/LbcBgvuGfqcVyz+EvETapZSiGZoYWG8vITn5jg4zjgV7RMNyAd80/A44pxoxj1&#10;BxR49P4c8QwaqZ7O0uGUuP3jzf7Wc7c9K0U0XXpA8kiyrNhkPAIdT3A7EV6mTzTSeaboxYnC543o&#10;fh3xJDqn2i9tpVjCsu3IORu47ntXWNY3pGRbP7jFd0o/WiplhYSdyfZo891C31aO0c2mnyTzkbVX&#10;gD6nPaq2jeE77TrZs3uJpmDzYt8gHHQHPavRwoOc09TgY5qo0IJWGqaR5hqNj4mgkcWK+cir3hxv&#10;PoPmrLbS/G11GoWP7Mw44VMfzJr2PvmgDiqVCKVh8iPHl07x9bOkQFtMhUky7DwfQ1bgt/FoTbdW&#10;bk+sKK382Fer9GyT9KXoc0/ZQtZoXIeZJaa3j5orrOP+fZf/AIuqX9iav/azXTWU88bDeEKBAkg7&#10;4yevrXrWO9IAD1pewjYPZo47RtLa1b7ZexvJesMZ2kiMei/41stMecRyf981sD0pQOvJrOWFhI0j&#10;7uxzt3cXEduxtrWWWYrhRt/nXNtpOoQrLMltJcXs3DynoT/RRXo2KQqM9KSwsI6Ima5nqcRFoH2a&#10;Am0lntppBmXam5Hb1wapnwpMxDfaWSSQv55EPDBsZCjPHSvRfxpveqeHXcpOx5fLoGsW10q2CDyQ&#10;7lJccxhhgk++OlW10a/igh06zgkghY5mum5Pv9SfWvRD196UCj2Ee5LSZzcOm6fFpY08WO+2xyjR&#10;5z7n3rAufCPkoTpN/qNpIrb4kLb41PptPUe1eh4yeaUe3B+tNYeN73KPLrrwzq0kkNqt1evbj555&#10;fLRQxPUAYz+PbirWhWuu6deyW8tqWsFk+WRkG9wR1JB7YAr0Y9f5e1GOnp6UpYaD3EcTq1jczXem&#10;3EMEh+zzlnG3opRlP6kVJdW909pPHHbOXdCo46/KRXYMTuGefWm5rCeX0pNPXQ0jNpWR4povhTxD&#10;o17bXMNhIfJBG3cPnBA4/n+Qrp7vSNTv71me2CRFl2nuAMEjHua9GB44OKVeOnFbyoQkYKmkrHAT&#10;6LNOuWtJd+MZBIJHpxisMeHNX/tp7mLTngCKIoWUD5V6k/U9K9cc0ZBPT9KUcLBB7Ox5xp+kapFF&#10;I1yk8jSHcA3O0elJJpmuFpHjhwAcLEy8Eeue1ekk8ikJpfVIrqS6Se55lJpOpTSL59iwcLhZYWxt&#10;qAaNrPmbns5J4mOGjlYNkehGP1r1PIyf5UGmsLAapxR5pL4fubeX7RaWBkQ/ftZAD/3yT0NTnSpC&#10;P+Re+mdlei+3b0pCBQ8LTHyHmraPNggaAfw2f41j6t4a1G+uoI00WSO1B3S4ZQW9uvSvYuM01hkk&#10;dqFhaa2HyHkM3hzVVkha002dEUbWiAXH861dM0aWxhMbaRdyMXLFsAdT04bpXpg5707HvVewg9AU&#10;bKx5zc6UtzHsl0O5ZQdwDdj7c1ljSNYsJS1tZX1zAx5hllYFR7Nu/Q160V460xk460vqsENo4X4Y&#10;wSW/ifxLHLC8Li3sf3btkj/XV6bXFeGBj4keL/8Ar3sP5TV2tdCVlZDOL+IP+u8Jf9h+H/0VNXRF&#10;STkMRXO/EH/W+E/+w/D/AOipq6QdaYCYpdtLRRYBMcUhFO7UhoYAKbgUuaTPFIBCMCkU+1I5yprJ&#10;n0wCR7r7TqDsMMIUuMA+2KOodC4+qWaaguntMoumTeI+5FSG/t1uHtzKBIgBYHjAPSvNtUsy3i1d&#10;084c3CZUBt7EjjDAYXH1NTRaRqUOvX1zC8t1MEG+FnJKE8fIWyMgfh1oFc72HWbC4ufs8VyjS5IA&#10;BzuwM8evQ0y313T7u7ltbe6SSaLO5VPTHWvOvDWm3Vv4ilSSVFuk8w4EeNvHGTjBHJ6U7RNDksdb&#10;mvHtVhju5CBIoLF/lI4+X5Mnp0ziiwJnoo1mycxKlwrebuKY77etMi1uyuI4JIpg6zP5aEKfvdq8&#10;00XT0RU/cqJPtCxqn2d0kwCC21uo75/OpNI097W9jtJTdQzrdEMrKTtTDFWB+mKGguenR6jbySTI&#10;JkLQAGQD+EEdf0/n6VVj8SaW6O/2pAqIHZmBUbT0OSAOa43SoLhGvJDLM4SzdEh8sbiGYhVbgZbo&#10;fxNLpKPZw6n9rspXeOzHlxMWdLh0BJKZyBj5R/IEUkFzs7HxBpeoSrBbXsLzncNgbnjrj1A9an/t&#10;G1Nq9z5wEMYcux/hCEhuPbBrzjwn9u8rULRrOdP3LNFcS7gUOQCQQAeeuOnFSRaLfR+DNRWK5knS&#10;VJTFduW81NshO3HcN159T1oC56Hb6naXU08UEyyPBt8zH8JIyM03+17H7JNcGdRFESHZuMEHBHP0&#10;rhNHsIbS61y3S7kjhaMFnSV5JGG35iAVAz27496qR6bc33h7WHuLi5cjy28oxceYqjgKMc9j+dMR&#10;6BZ67p2pzPFZXSzPFw4Xt+dXyw3HntXm/wAPLae0vr+O6iltxckSQIVZVKjrj6E16Iquxbn8xzUs&#10;okDKGYk4wKVXVs4OagEIaRgxJOKlVMLgGqkMkz70vTFMxz1p+RSEGeRRmmhTwQaOV5/h7mhsBJTh&#10;Pxpw5GajkI2AA5yakXoBSQDiKO4pTTTnPamAoPzY9qrXWp2NkwS5uoYnI3BXcAkVMzGPDYyOnFY0&#10;su7xMw7LZg8+u/8A+tUTqKEWw6lka/pPONStP+/opRr2k4/5CVpn/rsv+NNwnPyg9ulJ5UZOSi5/&#10;3RXH9c8iuUlXW9K/6Cdn1/57r/jV2KaOeJZYnV42GVZWBBH1FZphhCMPKj6HOV61JoP/ACAbHDZ/&#10;crz+FdNGuqnQlo0SWzxinEn8O5pO+OcnsKy4Naiurt4bW3nmWNykkpUKqkdeCQT+ArcDW60me3eu&#10;LXxJqWy0YCHlFeYMhy4aTZgemPWr+ha3eajqUsUxTyWjLoirgrhyo579KGB0o65pRTRSjrQgFFBN&#10;JQTzigBRTcc0vejvQAmKWjvQelACD71OxTR1pwpgJQTQTmg8CkAw5zSdWIxTz1pg70AKPlFVX1Ow&#10;ilMcl7bqwOCGkAI/OrXUdBWLoMILakzqpzfSY4zxQBfGracwOL+2/wC/q/407+1dPz/x/W3/AH9X&#10;/GpxFFjJiT8VFHlRZ/1af98CgCsdVsAR/p1t1/56r/jVsNnB7VQ1e3iOl3H7tPu9lHHNXYRiJPXa&#10;OfwoAf1NITyB1psh2KzZ6AnriuM03xXd3euPBIIxb73VUUFjgHsQP54oC52/Q0hznA61xGm+Mb+b&#10;xTcWd1ZutqcBAgBaLngsOvP6Vag8XC68VXGlRRP8i/8ALXCKMfeIPOfpTFc6xTlRzz3ORT+3SuH8&#10;M+ItQ1bW2Sa8RoVaRTGpBJIOBgAccD1rtwSc5oAKd1ptO6CgYZprdBS+tI4yKAOc8M/8lI8X/wDX&#10;vYfymrta4rwwMfEfxd/172H8pq7WgDi/iD/rfCf/AGH4f/RU1dIBXN/EH/XeE/8AsPw/+ipq6UUA&#10;B4pM0pOaTvQAtIelLnim5yaAE70Ype9GaTAjfoaYn3ulSMODTUHNC3H0G7FCknGM556ZqG+u4bK0&#10;lnlOERSzBRzgVHqenHUIYk81k2SBiR/EPTPWszU/DSTLHJC8jtHuOyaZ5A+RjHzEgD8KOomQ/wDC&#10;W6PJayXKSyNbRqN0qxNjJ6KOOtSW3inTbu0muLczOsS7iPKKkjpkZxXJ2vhrU4tDmQWQRvukQ4y5&#10;8zO7afQVa07Sb2KHULbypti2xRDJDg8sDjuDx6UCTZ0+neJrPULWe5jt7iOCBcu8keAPbrnp2xTp&#10;PEenppJ1F96oh2GMoTIG6bcda5/RNHeHw7Mz+c8M0X7tjvLKwZsfJkY7HIxWZd6G8vgt38udNRbA&#10;eR4Xyx7cEnJGOvFPQNTvtP1G01UGW1k3xcAvtwGyM4z7Z5rQB4Hb0HpXC+EPD1xps9/BcPNE7qrC&#10;SI7Bgs2cDoOAP0FdX/ZRJG6+vD/22NShk97fQafbtc3MhSFSMtz+H4dqym8V6ONL/tDzz9l3BQdh&#10;+bIzwPpzUPiPQXvNAmtoGuZpyUePdJv+YHgHPQVy9z4elt/ClvpsEcqXZu4fP3oGUkbQSpAwRge3&#10;U0xanbT65p8GnyX0kpECYXftwWPHTpnrUNt4j0u8tUuIZz5ckpjRyhUE88gnqODzzXK2/h+/l0S5&#10;sbhJnmS4jZNzZCDYGJUHjqT0rOfQryXR4dPl064NzDOZ5Aqgo52kAZP/AAHp1oYXZ22oeKNM0+Cy&#10;uZncx3LlI2Ve/Az7dvyok8V6TBbRXc1ysazJuRSwyecY9M/jXD63o99dafpjQafcLKsu6aORAdrZ&#10;AO0dMHDH05pLjw7qMukxLLZeXPaDy5GCZZizgnZj+HHNLqK7O0bxnpMdul0ZXZJQdgjQvnH06fjU&#10;p8XaattFMwuQsudv7kkjHXPpXBroF3dWWnxfZrkzQoysDFtxnA5ZiTVi70zUnt7S1jsZ1W28wk8t&#10;5mevzdB04FOQ7s7C98baRYXMkE7TbowCxWIkDPv+NX7jxHp1qA0hmIIVhshZshunQcfjXmer+HdV&#10;14m6MF1CryqEjVcFRxyc84rqbrSLq8sGSSylTaIlAEhDyMCMkkEZ4oC51c2sWds0KzS+U0oJCuME&#10;YGefSrYZZFBHKsM1w2oeFPP8SWM8Ec6PHkrOFG2MAcA5J3c9c128AkEKrMytIBhiowCaTGiORSg4&#10;OFznk1NG+6MGo7hA8TK/SpUAEahRxikgH54pDuzwadjNNPU0wGEtvA4xjrisC8hubbXmultJp4Wt&#10;wgMe3ghicckV0DdsdawdT1O7j1IWls8MeIhIWkjL5JJHHIx0rOoo8uoXsKt9KMg6dff98L/jTxeu&#10;QT/Z97x/0zH+NZ0eqawucz2uP+uDf/F0/wDtXVih/fWmf+uDf/FVxWodxe0RdN+xBH9n3xz6RD/G&#10;rWiRSQ6JZLKjRyCJdyN1HHSsmPU9XOR51kD1/wBQ3/xVbOkXcl7pNtcyhfMkjDNtHGfat6Ps/sMa&#10;lc0ex5qvLY2093DdPEPOizscEgj8RU6nNNZ1UfMQM8Ak11AZC+GdPEts6iRfs4woD8Ngkjd64JqW&#10;x0az0y6lntkk3SZ4Z8hcnOAOwyaeuuaaIrh/tSlbf/Wna2Ac4x09eKdHrWmzzQQx3UbSTpviUdWX&#10;1psC+pJNKD1pFXng04LwaSAN3HSjvRjijvTAM80d6U0lACnrQelJ1bFL2oATpSg0negdKAA9aCe1&#10;L1oNADSTmkBJySKdmmE8nigBR0NYdq93p012n9nyzJJcPIrxOmCCcjqQa2j90nofWuet557u6umk&#10;1c24S4eNYwI/lAPHUZpdQNJdTuCDnSrsf8Cj/wDiqcNRmzn+y7wfjH/8VVZRMV414nn+7F/hTj9o&#10;DH/ieZ+qx/4UwE1C+uLizlhj027LuMD7n/xVa0WRGuVIO0cGsK/nvbSza4i1ZZCrL8hjTnkDtW6j&#10;ZVTjqM/SgBsoLoyhmXIxuU8iucs/CUdjq73/ANrnk3sWIaRgck55wcH8q6U/SkbBI6de9AHPWPhk&#10;2mvNfieNo2eRynlBWy4xjcDkint4VtZrmdrht0L4ESINhTBz94Hmt7enXcv1zTqAMPR/D8ml3806&#10;XpaGUnMHlBVHTGD14xW9+H5U1TinFhjpTAX3peopAaXvQAtNbnFLSGgDm/DP/JSPF/8A172H8pq7&#10;WuK8M/8AJSPF/wD172H8pq7WgDi/iD/rvCf/AGH4f/RU1dGD71znxB/13hP/ALD8P/oqaujB9aAA&#10;n8aTvTgMCkoYAT8tGKDSj+lACHjmmBmPUYp/amgYpNMBpJINC9aU9DQooW4dAxx170vUUvQUHpT6&#10;gG0Dmk2jFO7UUrAN2A9Rx9KjcZcAjt+dSngUz3PWhgYHiHxTZeG5IBdo587dtVRzkY/x/wA81F/w&#10;l9v5VqyQvK09qbkBew4AH1JOKb4n8KR+IWhdp3DROpCgDAAYE4474pL7wxI0VlFZ7GS1iaNDIcEc&#10;gg8DsR+tJbCOiguFntIrj7qugkyegyPWuX8ReNrXRWCRxGZ2RWifeNpLZIx7fKTW5FYS/wBmW1nI&#10;wVFg8qbaT/c2gioL3w1p99pMdncwLN5cPlJIVUsAFxkUDIo9fglt9Pmi2RrcoJWaRuI09SfUnAFa&#10;MmoWSWRunuoFt+cSM4C+nrXFaj4R1FvDqRWZP2qWdZZVwBhFGFQY4AA9O9SL4W1W48HW+k3DjzoZ&#10;wQc4+Xnk468mmwudadRs/IWcXMRh3Ab0bcuSeBkcVa2hmPCniua0fwr9i8PjR5cIqzKxkU583BBz&#10;jtnGK6pUC9PpSAjVP3jfSmhcE56VMBljSFQBTYEZiUcj8DTto4470/GQKXHT60AIF+YHNOpR0oxS&#10;YFW6LKvHc1LGW2jPHFNuPuge9SgZA57UkA/dxTS2WwKDgDigLz6UwGkMcYNcvqAP/CSShu1qh45/&#10;iNdUOCKxNat9Me4WS7vvssxXAxNsLLn/ABrOrT542RMtjKJIXgckU1MqCCec05LXRs/Lr5+v2pTU&#10;htdJ25HiI5z/AM/CGuL6nMx5V3EyeRjnHB/z9K1/DYB8O2Bz/wAshWalrpuf+RjxnjJli6flW7pd&#10;pDY6XbW9vIZIkQBXJzuHrW+HoODdzWCS2ZbArAOi3q6ybyaaK+jL5RbjIMI9Fxx+mfeuhGaOeea6&#10;yzgptJvRJefZNOuIodyvJE0mRK4l3ZXJ9Kbpeg6jBq+mNLasERVZ3yCEIB+Un15rvgePajkfWgQ5&#10;e9KKYDShqBikUnejORSY5oAd3ppOD0zT6aetACbhuFOJ4phTdyDTiOKADNKBSA4pw5oAbjFDUMec&#10;c0GgBMc5pOpNLTRncaADHB5wDXJWmn3M899KlvpzIbuTDTRFm+93Oa608LWA9vpEdxKP7SkiZpGZ&#10;1S4I+YnngUuoDDpF5yfsukH2+zn/ABqD+x74ylTYaL/34arDS6YCANdmVj0BuTzT1msHcga9KCOC&#10;PtAyKAMvV9IuYtLd3sdKUKynckZBHzDpzXYxrhE6/dHWsGdLC4RYZddd0Lj5TOuGwQa316DHTHFM&#10;BJB8pwefXHSsJLbUbaS5e+uftUbI2JEJUqPQIOM+9bp60x0w4YHrwRSA88V4Y7JrfzVl09J0LzeW&#10;EzkE4fAHINdp4fDrolmsmdwTv6dv0q+kEQ3KIlG45Py9TT+M8UwFXk040xetOPORQA8cUo5NM7Cn&#10;jtTAQ0dqXPJpGPFAHN+GP+SkeL/+vew/lNXa1xXhn/kpHi//AK97D+U1drQBxfxB/wBd4T/7D8P/&#10;AKKmrpM1zfxB/wBb4T/7D8P/AKKmro6AFzxTMrkjI496fjiuO8S29tN4q0sXkjrbC1mZwshUHaVx&#10;nHXqaAOjuNW0+0H+kXkEfs0gB/Ks+Lxdpc+rwabCZ5JZ1ZkcREIcdeTXnETXttqV7b29hDZ3eozK&#10;AX5Egbu2YmG4rF03KOxAyT713NxbtB4m8PRSSeZIlvMrPgDcQF54oYkdXSUgOaXFIY0ng0q00ng0&#10;KaXUfQccYoZ1jjLuQqLyWPQCkI4qtqYB0y5B5Bib+VMREde0krkahbkeu+k/t3S+f9Pt+P8Abqh4&#10;ctof+Ec07dCjHyBklRWn9ntwP9RHz/sisnVtoNK6Ijr2lf8AP9F+BqSHWNNubhYIbyJ5WGVQHk04&#10;WsIB/dJ/3yKz5oI4/EenOqKp8uUAqMdhQql3YGbeOeKCADwBQOlQ3N1BZW7XFzKsUKDLOxwAK0ES&#10;jI560EAqB7YrGutfSDS59QW2kMSbQm/jeCQM/TmqreKkF7p8CxRyxz7fMljfITcxUY/EYoA6XGRz&#10;TSox0H4UobsRzQelADf7vNLjBozyKQnBoAUD5z9KTrkUfxkeopQMA+tNgBpB/WijOPzoAcOlGeaQ&#10;OKU9KQFa7PCY7tU652ioLnGEJ7HNWAw20kAuOKXoaaZFQZY4A6n0pc5wfWqQCE4IrzvxqryeIYyh&#10;HFup5/3jXonGea8/8Zq6a/G/kuytbgBghIzuPpUyOfEpum7HL2+9iUcAA9eOtSOilsADINTJMCvM&#10;cgKjvG3+FA8s7nYNuB4+Rv8ACs9TxlCr5iRu3lsuB908etem+HAR4c03d1+zR5/75FeYIGJYncvy&#10;kfcP+HvXpvh5inh7TVdSrC2jBB7HaKqN1qelglKz5jW71jQ6/He6k1rbhVWNishmbax/3V6n61s5&#10;6/SoZbW3ncSSQozA5DEcj8a0O85NvFF+UglRYVURrLKNuSwaTYAPSmp4n1CWWVFaMCUjyflzsG8r&#10;k+vArZ/4RewK2w3SjyQFwG++A24A/jUcfhTT4HuGVpt0xGG3cxgHIC+nNDEX9Fupb3S4prgqZTkM&#10;VGASD6VfAqtYWkdjapbxZ2IMDcck1aBpIYdBR3o7UZwaYDqb3o3UmcUXAUcUvamBgWxSlxRcBcc5&#10;pRxUfmD3p4bigBc0jfSkoYmkACkHU0buaQ9c0wDoOtc1ZXscSXEEMK3N611Nsj67RuPLHsK6Q8r7&#10;1xUKXour23axuYLZ7mR5ZolG6cFiQAc8DFLqBfjtjLcOICk903yz3ZUbYh/dT3rZttNstPtiBGgx&#10;8zyOBlj3JNVIb+3tLcQw2F0iLwAIuv61lXGpzXxklutOvRbx/wCrtBHzIfVj6e1AD9WmF9bK8IS2&#10;shKoDlQGmO4dPauoQ/L1ya5IiS9gR7qCVrppE8uLysJEMjge+O9demMYzz6elN7DILidbeGSaTIR&#10;BlsDPFZA1yS40S71CJYxsUtEgIJx/tf4VuOobII4NV5bC1kjkjMCAS/K+ONw96XURzB8TXy6goCx&#10;G3CbWXbyW2bs/StPw1qF5em5S8kWRk2OrKuMBhnH4VbHh3Tvtf2nyTv8vZjdxjGM49ccVY03SrfS&#10;kdLbdiRssWbJ9BTEXBwaCQDzSjHbrTSMigoeDxxTu1NHHIpw9aaELimtTs0jDNAHN+Gf+SkeL/8A&#10;r3sP5TV2tcV4Z/5KR4v/AOvew/lNXa0AcX8Qf9d4T/7D8P8A6KmrpO9c38Qf9d4T/wCw/D/6Kmrp&#10;KAFrlddVz4q0dY445JHgnCiT7v8AB1+ldV0rndc0zVLvXdMvdOlgRbZJVkMyk/e246fQ0wMK/sA+&#10;qMZki1W4kZY50Q7JbcdinoBUyWV/YeMtJhub43VuYZvJ3riRR8vBPerl14Uv7+/tr651RI7iBiyv&#10;bwBSe3PqKWPw7qMXiyy1KTUJLq2ihkRhJgFWOOg9KQjqFGKXPFApc5oGMYDBpFHNK3ekQ5Y1K3Do&#10;OPSq1+pbT51HJKMAPwqweRTZXEcTOQcLyTTA5zRdXsrbRbKGaYJIkQVlKNwR+FXxrenHcftQyP8A&#10;Zb/Cq0WsyXUKyw6S7RN91tyjIpzalc4BGjPn/fWuScqaerKjexZ/tvTtv/H0P++G/wAKpvqFvda/&#10;pf2eXzMGTdhSMDb7iphqd11/sY/9/Fog1hzqVvaXGnG3acNsfeD0Ge1VB029HqI2gfamSwx3ERil&#10;RXjYYZGGQaeOSKB2/GuhbCMp9GhjtZ47NjA7hcH7ygg5HB7VjxeD2iurWc3YJSQyzgJgOfMaQY9A&#10;GY11H2m22lvPi25ALbxgH3p7dKAFpSwxUD3UCbA0yAs20AtjJ9KVZo5N4RwzKcMoPINHQCTIyKXq&#10;554xTQMkUvQmkAo5fPpTh1NNAwTj0pCcA1QDj1pvfrTdxwKMnIJ9aQEooJpgPTvQGyTkGhgQXZHl&#10;j61Y4CVXuhmJQB/EKmOcdKSAUrxzzmnZ5pCOM0E89KaAWuR8VeKpdGv4rWK1jkLR+YWc+pxiuuWv&#10;NfHkYk8QHDci2XH/AH01XTjd6nPiqjhTckJH47uCzA2FvtB65PrUx8eSd9Otuv8Aerj1hKqMkfNU&#10;LrjO05ya3dGJ4n16r3O4Tx07nH2C35PHzV2mm3Qv9Mtbvbs86NZNuc4yM4rxW3DLIrHsTXr3htl/&#10;4RrTO/8Ao0f/AKCKxqRUdj08BXlVvzG3nrQ8iRxszMAqruJPQAVHuzkAHoeK5efT9WMV9IrtDbPB&#10;IBaM3mFmKnBB7fSs0egdGupWbzpAtzF5si70Tdyy+oqI6xYG3kuRdwmGI7XfdwD6VxC6ZevqsWy0&#10;l8wRoySEcBRCVIz/ALx6URWF19jmm+wSrFG8AdCnL7RhjjvVMR6FbyxzxCWJ1eNhlWXoRUgrK8NQ&#10;TW3h+0inQpIE5U9R7VrCkhidsUEUHpSZOcUgFApO9OzSYosAzIB4pcZpMc9KfilYBoHzU8Ugzu6c&#10;Uo4poBD1oNLQT7UAIAKQjml70nU0wEP3T69q5ufU9USzuruMWoWO4MSqynJHmbfX3rpTwhrlpfm0&#10;G5A5B1HH/kekBYtLnV57y7tibMfZyoJ2tzuAPr70+/vdWsntgRZuZpREOGGMgnPX2qTSzu1jWG7e&#10;cg/JFpNd5u9IX1vB/wCgNQ9wKcWr6t9l+1Sx2vli48lgu7J+bbmukGRjBFcrDk+HZeeft559P3ld&#10;YBgc80wGscE1HLIiDc7BVyOScCi7/wCPaX92ZMqRsBwT7VylzpuoQaS4kdyJZoyluDuEQz60AdUt&#10;7bbpE8+PdF98bh8v1qSGaO5jWSGRZIz0ZTkGvNhp947XYWCbzU8wzfL94FwQPfiuy8LxPHpsrGJo&#10;kkuHeNGGCF7cUAbaikPApR1prDNADu1OA4FIuMU7cBTiAChjxQDmg0COb8M/8lI8Xf8AXvYfymrt&#10;a4rwz/yUjxd/172H8pq7WgZxfxB/13hP/sPw/wDoqaujJIGVGa5z4g/67wn/ANh+H/0VNXRgUAOx&#10;mkxxS5xRTEIRSY9admkpDG45oNLmkIoAYxGDTUPNK44NNRTmp6j6EgPFRXX/AB5y/wC4c08n5c1D&#10;OGe3dAQCwIyaBGLoWDoVp3+Uj9TWkec5/lWTZ6bqun2UdqlxZsiAgFs56k1YMWqjO6ezB+hrx6mE&#10;qSmzSMlYvgADGazrsf8AE80hwRxJIOfdGqTydTK5+1WY/A02LT72bUrSe4vLZ0gYuEjXBJKkf1Na&#10;UMNOE7sTlc3B2NKfuk5PQ9OuMc0DmlPP4V6a2IPLb1oksjao7z2cW4+b5ZDeY0MuFb1Ibb+ld0lp&#10;qjxwub/y8KpMflAkHAzz+daoiiUHCKATuOB1PrT24HvTYI841S3nNwi+VKxN1OEwpPzGeMj9A1av&#10;haGePV75mR1wm2TIPLeY5/kRXXkfMD2BBpTgLx69qfQLCEsCOKQlmY8U7uKNuSeakYo4Y/Sk5wc0&#10;v8R9MUh6YqmIRjgZ7UnXHPekOMfWlGOlAC+mT+VHXgGk6ke1OGB060mBBchgiHrhqsDpiq145VAf&#10;erI6DNJAI/3eD0poJyOOKe3Q9getA65FUgEUniuY8ReFbjWdR+0w3EUY8tUIdSTwSf611BJHOM8H&#10;gdayR4it1tryWaCWJrQqJUYcgN0NNMmUFJWZyS+Ab7cd93b9MD5TS/8ACAXaqALm2yOnymuin8W6&#10;fbWV5dyK6x2qqzlxjJZioH5j9arW3jixvdEu9Riik/0diPLYYJGQP6iq5pHN9To/ymIPAV8M4uLb&#10;I74NdvpVmbDSLSzYhmhiWMkdyBXMaZ49jv7O6ufsLKsMXm4EoPG7b+HTNbWjeIF1eynuhaPDFHzl&#10;mBzgcjiplJs2pUYUvgRtHC5PtRkbjgVgy+KbFNIGoKxZCVXb3DHnH4f0qC08YWd5ZXd8IpUghJVX&#10;dcBz/wDrpI1OmGMYA47UvHrWLbeI7e402S8KFIlyEyf9YQuSB+RH4UXXiS3t9Ilvo4nmMWA0cYyQ&#10;Tjj9abEbY6njij6Vzx8Y6cmlQ3z7kEwOEI5BAzg+hpF8Y6cdPkvnYrDG/lk++M0hnQHij+Kucm8X&#10;WcOlWt8yMyTsBtQbiOaj1DxpY2N9FaLFNLNLH5iKqHOc8D60hHUk+lNyc+1cpdeObW2NkDBI32oN&#10;kAcoR1BFZtz8UNNs5NkltPkIW4x2JH9KYzvhj6U7iuZk8ZaVFDYymZT9rI2qDyAe+K6GOQTRLIFK&#10;hhkBhgihAS5opoNKKEAGkPNB60nFIBRRjk0qrnnNG2qAYVyKxn8PLIsiC9uFjaYzbQRgNu3fzrcC&#10;YoCUgMW30WS2luJY9Sn3zMHfIBycAf0ptzo1zczwtJqMp8l/MT5RwcEf1rcKCgrk0rAYMHh4w2/k&#10;G+laHzfNKlRyc5/nW6MfhS7aQjFMBNoJ+tJjmlC5NO2UAIFAb696OAeBSheaNvegBq9aCMilKhfm&#10;qOJy8YJ6k0ASAYpcdKMcZpfSmgBe9DUYpD2oEc54Z/5KR4v/AOvew/lNXa1xXhn/AJKR4v8A+vew&#10;/lNXa0DOL+IP+u8J/wDYfh/9FTV0lc38Qf8AXeE/+w/D/wCipq6XNABikzS5opiEzRR2o7UhgBRi&#10;k70bhSAY2cGoy2PrUjsApqEEHgtnNLqPoLnsOuaSYf6PJnrg8/hSAnvzg8U+biCT/dP8qLiOS0XT&#10;LWfTYbmZXeZnYszSNzhjjvWg2lWUjMzQkk8/6xv8apaLqFrHo8KSTxqwZ8gtjHzGtAajZAf8fUX/&#10;AH0K+cryrc75bm8ErakR0ixA/wBQf++2/wAagNnb2esaW8EZjYzMpIY8jY3XJq59vs8E/aov++hV&#10;We5gn1LSxFMjsLjOFOeNrc1eFlV9qnIJ2todMAR2NNlcRQPJyQqs35U9enWmzp5kLpnG9SufTNe+&#10;tjA5YeMlKs/2VwBAHQ7h8zYjJBH/AG0HNaFt4gt3s45LqRLeUs6sjHurFTj15FZ48HZieM3Q2mDa&#10;pxyGwgJ+n7sVt6dp62NkkMhWSQu8jvtxlmYsce3NMDHl8VhZr8Rwq624Hl5bBlyF5HtlhSWvi/7V&#10;cQwGzKiTCyMG+45LYA9R8pqzqPhx9Qu2ke8IiwxiUIMoTt79x8v61FB4Ujtri3nN2xMZDSDbjewL&#10;c+33zTbEdEHztyMU4OuSM0nGQfSk2jcTUlCkqWI46UpP0xTQqlm47daQRjFUxDjSc57U0p7mht2e&#10;DS6gPB5wRijgnFM3nI6UqlSc55oYEV2vyqPerIxxUFy2YxgZOamHGKlAOIzSHg04/WkJ5FVcBrE7&#10;G2jJx09a42C31G60TUrW70uVbq+DuzlgQSeAOvYY/Wu0xk47YrNv9Zisrr7N5E0smA7CMcAEnFUt&#10;RHHXWh6tdaNrNneWoubi7SPY+RhtrBSDjp3b6Gk8PeHr210nUVuYHkjunlzG5IcAgYxnjGf5V0ie&#10;JY8/NZXakHtH0p58RxbTixvDz/zyPNNpk88O5ydp4U1DSdAvbSG0QS3EyF5IGGfKHVMH0H6nNafh&#10;7SNQ0PQWto7Mv5tvHiLzQCrlcPnPTn0rY/4SOKNWZrK9AAzkQnpWvaXEd3aQ3MWdkgDrn0IqX5jV&#10;nscbcaFfy+D4tINg0DpsGY3VgSOSx9s81n6RoN/ZaffabPp8jyXagByf3Y4HzH3HP5V6Uec96TA9&#10;hQh2OJfw3qUdha6Pb7Ps0D5juGOdqlWBBHcgmqupeGtZ/sS8gjndpmnDxNBgZAXAJH1FegdOhpf0&#10;NAWPP5fBV4fDIs9we4EqyEq2Gk5GeT075qeLwrczaWLG4t/Kj+0mZyXBbCn5VyOK7oYoAxTCxws+&#10;i6g+iR2q2k/mfajNtWUKAueho1Pw7eahrGn3os/3UCfvEaT5uD0z3rusBuopNnSpGeZar4M1m9Wy&#10;+ynyJVaRmZn4QHoPrWTqfgO7uY7Yx2swEYRNpcMdwzk/Qk9a9k2nvzTQOegoFY8+k8EzXK2ET26o&#10;IGAEm8ExKpzx9etd3ZRTRWUUdxIskyjDOBjPvU23kU7pTGJjBpRSHOaUHigBGUlgeKQ8U6msTSAe&#10;p+WlpqnK07HFUAUDpS44pBQAZzRRRQAhphNP703FJgKuadmkHFKKaAQdaM0d6BQBDdyFLZiASTgC&#10;hBtCUkgLzxr/AAjJIqXHApWAcOtB6igUnXFAD6a1LmkbkU2Bzfhn/kpHi/8A697D+U1drXFeGf8A&#10;kpHi7/r3sP5TV2tAHF/EH/XeE/8AsPw/+ipq6Sub+IP+u8J/9h+H/wBFTV0lAC0UdKKYCY4o70tJ&#10;SATikApeaKQDGXIamLGA2cCnnvQp5pdR9A2jB4HX0pGUBD39adnr9aR87Dz1piOY/tKxnBaLQGlj&#10;3FQ4jj5IOD3p32y2+Y/8I8//AH7i/wAar6OP+JcCP+esp6f7Zq6cbDyM189WzGcJtcqOmNK6RCb+&#10;328eH3/74j/xp0Gp20d5bKdGa1MziNZtqDBP0NOBO7GOMVXu/wDW6cfS7izj64p4XMJ1Kqi4oKlF&#10;JXOpXrStzimrn8aViSM+mc/lXvo5yFbq3IIE8eVIU/MOM8U8TRs5QMpZDhhnlc+teXaypEDWlr5k&#10;tpuaTe0e1kmYS4UkYzg7fXtW1pltdt4juEhZ7aYGZp5DHkHdIpTPTJxnFBNzt5Z4ohmR1UAbiSeg&#10;9aje4gyyGWPdjdjI6etcb4ltbpbuA3Mr3EaxAysIsDb5qZyB7A1iGyvvI2LbTC5a2AUhTnZ5GMZ/&#10;3u1NoZ6dHLHMqPG6sjdCpyDUwA59qwPCUZj0hh5bIhnkMYIx8pbjjtW+M5PFSAgH7w/Slx1oH3z9&#10;KXrVMBpHH4UvTtS4pcZpPcBpGccUbBk8DNLS9jQwK064KEDvUwHAzTJvu8+tSAcCpQCn8KQ5FOwa&#10;BwadgIxuyDzXN3pz4juiRz9ni7e711PHFc/qWnX51Wa6tYYpY5IkQhpNpBBb2/2hVw0ZnVTcdCiA&#10;rOT+ualAKISME5qM2uq97CPoDxOP8KDa6ngj7AOT2nWt3JHCqUxsm5o5DnB2nnPTitnw7keHNO/6&#10;94//AEEVjG21QRuo05sn/psnP61v6Ray2mjWdvNgSRRIrAHOCBg1lOVzqoQlHcv+uenesEazeDWD&#10;a3Nt9jg3hUkkQt5w9iOBn65rf5556UnoOlQdBxFxqeoaZJfy3M0jGUTG1ZZFZFCnoRjIIBFbXhq4&#10;uZVvoJ5WmEEoVJGxkgqD29CatJ4f0zz5Jvs+S4YFSxKgN97AzxmrdjY22mwGC1j2JnPUnJ+poAtL&#10;1paQY7UA0AIKWkFLmgA5BpMc0pooAbzu46U6gdaGFACZyaUCmA4JqQHIoAToaY44p5pGGRSAEGFp&#10;+KavSnVSEApBSigUDENJ1NKaO3FACZ5pAaWm96QDhSikFKKYCd6KB1psj7EZvQUAMi+aR298U8mm&#10;W6bYR+Zp5pAOHSjFCnijOKGA4UjUtIabA5rwz/yUjxf/ANe9h/Kau1rivDP/ACUjxf8A9e9h/Kau&#10;1oA4v4g/63wn/wBh+H/0VNXSA1zfxC4l8J/9h+H/ANFTV0XSgB55ooqOWeOCJpZXVI1GWZjgAUAS&#10;E4pKTcGUEHg9D61WN9bLerZtMouGTzFjPUrnGRQIs0UCjikMjY4BpqHJNOdchqRFpdR9BRQ+SvPc&#10;0HgUr/cIpi6HMx6BqNuhjh1K2Ee9nAaAkjJJ/ve9KdH1Xn/iZWmPUWx/+Lrjd88l1MZJ7pv37gH7&#10;RIOAx44apCXLHMt0B7XMn/xVeLVnhud3genTwVWUU7nYjSNUwM6pbZx/z7H/AOLo/sS9lkt/tGox&#10;OkcqSbEgwSVORyWPpXHHIU/vrrP/AF8yf/FUhllhWOSO4ufMWRCCbhyPvDsSaKVXDKS5Y6k1MFVU&#10;W2z1NSOKcuc5pimlDHOK9iLPOFCgnGOvX/GmsO4ABPWs/wDt2zFwsEjPDO2dkUqFd5A7HoayI/Fz&#10;TXdrH9i/cyRxsz7zuVmRnAAxjGFIPPWmB0zDJAPX3+tAAxnHftXGf8JvO2nm4GnDzQSTH53G0RiT&#10;OccnB/P867KGTzYEk6bwG/OhgKchgKXdgmlI5BppHJpDFBy5+lLnApFOWJ9qRuhzVMQ7PFBzkYpm&#10;eMU/J/WkAcnFAPUUAcigdaGBFNzjvUx4AwCar3YcoBGQG+lTpnaueTikgHc4pRyOaQj0pRjpTACA&#10;BxXF+JLq7OtvCl1NHHHCjBY325JLZ/lXaHgVwniVtviGfj/l3i/m9b0EnOzOfFSap6MopNdFnzf3&#10;g+sv/wBapPtN0qk/b7zr/wA9B/hVSKTcHyTntgU9pMKFwclsdK9B0o3PGVep3Jze3v8ADqV4p5/j&#10;B/pXaaFcyXWg2E0zF5XgRnY9yRya4Av85GOfeu48Mvu8NaaR3to//QRXHiYRjsejgakp3UjYzgGq&#10;cuqWcF4lq0wNw/3YlBZvqQOgqwyBuvb1rMbQrT7bJd25ltbiRg0jwSFfMx/eByD+VciZ6BWn8XWN&#10;vEHMc7fPIrbVB2hG2ljz0yanj8S2smrJZJFIVdjGJsfKXABI9eh9Kxp/Cl8IsQywyGTzo5d5Iwsj&#10;7tw45I9OBU9p4avbfWoZTPEbKGV5hjO92YAYPGAB9abA6sHmgUg4pRQAucCgnmkxkUcZoAXPpTA4&#10;JxT+nFR45zik2A/PNKTTCcnmlAFCAB97NPFN70ooQBmgnig0hORQA9eRS01eFp1UhAOKTNFGOKBj&#10;SeaUdKbjmnCkAhpobNOPJpiigCQGlpopc0XAM1FOQQiZ5Y04ONxqEtuuuvCr+tJsCwvC47UjHFCn&#10;KVGQSwzTAk3ACmlgR+NAGWP0pMZx9aGBNmkJpegphbgcU2Bzvhn/AJKR4v8A+vew/lNXa1xXhj/k&#10;o/i7/r3sP5TV2tAHF/EL/W+Ev+w/D/6Kmro8c1znxB/13hP/ALD8P/oqaukBoAWuR+IFzENCTTpJ&#10;RF/aM6W7MeipuG4/lx+IrrSciuK+IenrJ4dvLwEvOoiSIMcqmZFzj9PypMDHmvrqPxG+i3XiCKz0&#10;22jiCC2AiZnP3E3EktwOelXNL1N9Y8VaFfSRCNmtLhCuc8hhz+Nc9d6V9j8baVaXCQ3c88wu5rtY&#10;SXT5SFVuuFz0OR0roNI0240rxBoFtebfOW3uC2w5HLA8H6U2JHoAPFB60ooJzzQMY3ANNU4NOY8G&#10;owSSanqPoKTkfjSv9000cL+NOPQ0CPKTIqS3ALKGE8nBb/aNPVwc/OuT05616JJoGkSyGWTTLVnJ&#10;yWMA5J/Coz4f0bOf7Ks8j/pgn+FeZUy7nlfmPUpZjyQ5bHAHaesif99CorgosWRIhyRwGGeor0Ua&#10;DpJBX+y7MnrjyVzT10fS1KFdPtV56iJeKUcu5ZXuKpmPPDlsXk6A9sUuAeDn/PvSDJbj+VOxnGOn&#10;rXpRVjzLlGLSbSB2lSINO6kGaQl359zz+AxWMvhQw3VrILoGKONFZTH8xZEdAQc8cOTXTZwfm44z&#10;z6UjsMD1pgcaPA7Cz8j+0BuLYLCH+AxiM8Z67VHPrXYxp5cSoM4UY5prEYJI4HFSBgUOOx9aY7Bz&#10;xSEDJzSlsECkJ69aABBh8Dpigjrn1pQRu/CjORTYhD/Sl9KQ+3T6U4fSkAoPOaO9A6DIpBSYEF2d&#10;sWeevbrVhPuL9KgnPQgfrUy/dXntQgH0nfNNLqM5YD8aYZl3D5hQmgJSegwa5XxHceG7a+3apAZL&#10;pox9xGY7cnGcfjXSmUcEBj9BXmfjkmbxAx2spFvGM5A/iat6EeedjGvLlhcu/bPB5DH7NOvtslH8&#10;qiF74Q2Z2TqCeOJ65BppFHXgj1qu88zYGAfevT+qL+ZnmrEf3TtZJ/BrKS/2nb3z5+K7rSfsv9lW&#10;v2Ik2vlr5Rwfu446814mpd22lunP+fzr1nwvH/xTGmL5j4FvHwD/ALIrixdHkS1OvC1FJvQ6BiAT&#10;SZw2cdutRmMFsEtg+9YEupXK639kmtUs4NwAmmVnEo9ARwp+tcR2nSLIgGGZc+56Un2mEY/eKSfQ&#10;5/lXEXmrajYXlxbz7oJp5glofLQoE37SR3zz3qOz8S6rPNblpIwI3jSYCPBlLkjOe3QVVgO8EqNy&#10;Ax/CnCQkcRt+IpRgE8j8acuKSAZuc/wfmaXLeg/OlPSk70wDLZBHSmtnvTs8cCmbi1JgABp44FQ5&#10;weop+/C84pIB2eTTweKg84biMHp6VIrkrwrU0wHE5NIKaWbd9386Rt+BwM/WlcZOvSlpkRJT5gM+&#10;1PzVJ6CDNNJpc80hoYDaUUhIFG8ClcBSajVsE81G8vOM1ErFsg0mxlnzB60x5cjgmmKuTT/J4oWo&#10;DEBJOT05plqN6vJ/fY4+lSTDZC2Op+UVLFEI41UdAMUmA4D5aD2p4HFIw6VYhF4b8KAOn1o6GjPS&#10;kA40hHAFAfrTZHwoNUBz3hj/AJKP4u/697D+U1drXEeFTn4i+Lv+vew/lNXb0AcX8Qf9d4T/AOw/&#10;D/6KmroxXOfEH/XeE/8AsPw/+ipq6TvQAdqwPGGn3Op+Gbi1s0Lyu8WACOgdSf0Fb5pM/wD1qAM6&#10;x0i2sIW8pCJZOZJWOXY47t1NYMGn6t/wmsDXCtLYWcD+XcufmffjCn1Ix1rricik6/h0zSAUUvam&#10;K1BYjr3pgI3emAgtQxODyPypi7ix5A/Co6j6EGo3P2LT5rlV3mNc4/Gql1dajFZyXUZtWiVC4XY2&#10;Tx65/pWg8ZeMqzZU9Qeh9qqf2NZpL56od+e7nH5ZxT6iexyth4o1dojNcQgmS4EZj8liEU44DZAz&#10;zUGjatqFx4pu4bi8vDHCCxjDqAAR3G7gda6abwzYeeJ906nzfOKCZtpP0zipIvDmmxXk10iymSTh&#10;8zMQR9Ccd6VwRy/h3Vrq48QSrd3N4bXcfILy/K568rnOMfhVO+8Sana+LgjzyPbLc7Nka7l27Orc&#10;8da7eLw9pUETotqpVm3YPOOMcegx26UJoWnJdx3CwbXVt+N3BO3byO/FU7AtTiruTWJPGotY7ufy&#10;pmEsBWdwpTGTx0OBg1Ouo37eM1k3XDaesxCK9yyhsMVwBkg/Nn0zgDtz2sOjWMc3neQrSlg4duWU&#10;jpg9gPSnf2XZR3TTiFPMdQpBHGAc4x061KFY8ul1jXpdVe3W4u1eO7dDsmdh1LBeBjhVP5j0pJNY&#10;1e48bKDNcpaG6QpGZMEBgdoI7DGK9RfTLaS5gnEYSSKQygpxl9pUk+vBNRXGg2MsqStD86S+duBx&#10;lx0J9ccfkPSi6DlOD03Wten8SiK5nYwRXHkuQW2twzY/I9cdhVuz1OdfFMoN3MbMXDbd8jYK+XnO&#10;Cen6V1v/AAj+nyal9v8As6i4DBt/fIXbz68UyTwtpUiMTb4ZpN+Q5yOMY+mO1Nu6HY8rn8R6tB4l&#10;+zx3WoyxveHBifhUDEbRnj/9Va2q67qdv4vvbaC4uyswVII1bIDH6nj6j0rvJfCelSzxytag7d3A&#10;Jwc5zn16n86mbw7prTyyvbh5HRU3MSdoHQA9R68UXFZnk+tanrsHiWdUub9oUnHyCYqoA6rntyet&#10;dL4j1vWo9b042tqwtIyPNlWVzklcnIBAOK7GTw3pdzcmSa2VnDb92Tyff1qcaPYiaCZYRvgGI+eF&#10;/CmwscRc6jeS63Hcpds1lJPs3CdwpwB0C8Yqxrmq6zH4ntUimAsELK7pHhlyOSMnnHrXV3Hh3S7m&#10;RHktE3J93HAH4Dirf9n2n2tLo26mdVKBj1xSGSwNvgjZZd6kAh+u73qTHUbjQo2gKFAA4ApCQCaT&#10;AhnwiZ5IqaPaUXjtUU/zJ2GKcN2xTk9KEBMQpHSm4G7pikG4qOtNKEkHJ/OkBIccEt+tef8AjDSb&#10;261o3NvbPNGYUXKEdQzep9670xhgM1wfjPxbeaDqaWlrDAy+UJCXUk5yff2rfD83P7pnVipQtI5s&#10;6HfGFh/Z1xlRk4Cn+tQJot/syun3Ryf7g/xq3B8RNTfIMVsB/ukf1qT/AIWNqAyPs9qwB5+Rs/zr&#10;0ubE9jhdGncojRNT3krp136fc/8Ar16b4atZ4PD9jHOrRyJCgZSeQcVwUfxK1Ek4tbTOcDhv8a9K&#10;0S9Op6JZ3zhVaeJZCo6AkZrkxTqNLnR0UKcYv3S7sYE/Nx+dLty3zHPccdKeQM57UHgkelcbOoxJ&#10;vC2mXMs0skchMuScyt+7JIJKc/KcjqKWHwrpUNxBOkBDQKAi7zg46EjuRnrWq08CLmSVFGduSwHP&#10;pSiWLeyB13L1GckUAPAGTxSjGOKbFIjglWDD1BzT16UIYHpR3pCfSgk0CDHOaaFUnpUgz61GM7jz&#10;SANi56CnFRjtSfxU7Ax60wGgANxTt2KYfpS54JoGO601u1KpGBSGkA9OFp1MH3aXdVIQpIHNRlx6&#10;0NluuaiWMkkk8ZpMAaTdnFB3MSBThHyfepAuDRYCsIizCpEjwTU6rz0oxzRYdxqoAakxikHU0ppo&#10;RBNzLGnbOTUoHWo1w0rN6cVN0FIBAPlpDTh0pDTATuaQ9RQ5wGPtURk6Y68UmA/ByaGUBQKlA4pj&#10;DHWnYDnPC4x8R/Fw/wCnew/lNXbVxPhg5+I/i/8A697D+U1dtTA4v4g/67wn/wBh+H/0VNXR7h61&#10;znxCGZfCY/6j8P8A6Kmrodg9BQApdAucim+an979KdsAHQUbeaQDDLngK5+lLuYDhD+Jp2Oc0ZFA&#10;EYaQ9EA/GkKyEfwj8KkUj3pS1AEG1wDlgR9KUR5PWlZjg8UieYTxtApLcBDEoXHPWkaJSmMd6cRJ&#10;g5YdaRkJQ5c0aXA4651LVJdRvIortYoYZfLVBEp6AHr+NRPfasjEHUFx/wBcVoKqNS1PJ5+0n/0E&#10;U6VI23Ag47U7HpUaUHFXQxr/AFLaQdRwf+uKf4VXm1DUY7SWUam5KLv2+WoB4+lT+UhXIU/Wq91b&#10;lLGbcMgxNj8jSLnRp8r7nbW2JbeGQtJl0VjgnuKkaAb9xL+mc0unENp1pgfehQ/+OirWBtwOwP41&#10;KR5bMBdbsXuLOBbiXdcgbMZx1KjJ7ZIIrWeGTZxLIAK5mPw7epcaadibUEYkO77oSVn/AFDYroRp&#10;VtDMsyrI0q5ILSE07CMoeIrBZogb2ULJGJdxT5VBBIz7kKT+FaFjfpqkMklvNKNj7WV1wQcAj9CK&#10;5Q+Fb+SKG2OxVeGMO+7O0rGydPfcP1rpPD9jc2kF092gR5pQ2xWzgBVXr77abSsNsvtDOcETkf8A&#10;ARTWiuMt+/z/AMAFXeSRzTSPmNKwirFBchiTMvT+7VhUcLhmBP0qRSNx+lO47GqaAhMbeopREMg8&#10;k1LSdCKVgG7QKTHNPyKbn5jQwIpQCnIBPpUq/cHHaq12+IjjrmrC/cGPSkgJMUhXJpw6CkPWqAj6&#10;Yrx/4m4HiZTnpbJn82r2AsAa4zxX4f0PVdRjn1G++zzbAu3zQu5QT/jW+HnyVLkVFzRseOoQ7HsP&#10;anKsqP8ALyDXosXhDwxv+XVcAjp5607/AIQ7w6XBXWSCDz++WvS+twvqjm9izz2AhpwSv3iK9z8G&#10;sH8IaWyj/l2QfkK5A+CfD8sildZ2EccSoa7jRrGPTdItbS3kMkMSBUbIOR65FceLrqaVjSlTcWav&#10;GOlc9e6Reya0t6ZRd2wYbbd2KeVjHIxwfXkVvDcM5pevXtXEzoPN9YhneH5opNr3d0E+U8OXUKf5&#10;4NVpBNHqWrMBIJ44JhI2Dnb8oX9Aa9Q8pSFJGecjPrUbQpk/IvPGcdaAOb8Dnbpdy6Z8hp2MWc/d&#10;9vxrqFdjuz0FMjiVF2ooCjoAMAVIo6ipAaDxTs5Io2Uu3kUWAU5qMKc9aec0znNAC4weTTh0OKYS&#10;c4p44zmmAmCTS44xQOtOHNMYzFKRxSkUE4FIQfw0oXjNKvSlPSmAgFNxTxTRTATFOo70tABnmk70&#10;vejvQADrSOdqk+lKOtMm5XA6k0gGRLhfrzUuaRBilNAAOlBNA4WmseRQArDKnPpUKqMDipm5Wo15&#10;x65pMCYUjDOKWkJ4qgOb8M/8lI8Xf9e9h/Kau1rivDP/ACUjxd/172H8pq7WgDi/iD/rvCf/AGH4&#10;f/RU1dJiub+IP+u8J/8AYfh/9FTV0tADSOO9GKWlzQA3FIR7U7PFJmhgJ2ooyCcUuaQDCOueaFwK&#10;U9DSKc0luAN0NNYcdKc3QmmO3y5pgc5qdj4Za+kkvJYI7g8uDNtOfpVb7L4RIObm3I9fP/8Ar1wn&#10;jHJ8VX5wD869R7VkrwuAox6YquU9fD4CVWmpqZ6kIfCCpg3FsR/11zTWj8HlcGa2yeMbzzXmuxdu&#10;UIBxnpSh/MhIwCQD1FHIXPLZJNuR7lZ+ULeIQFTCFAj2njbjjH4VY9Px5rI8OMG8O6YR3tYz/wCO&#10;itRiQuQcNjj9ahHjSVnYfnDemRz70hxgf5xXDy+I9RjaJw6lfse4pt+85jlfP5xj8zWrpuqag8Ey&#10;NA120MzR+aCFBGARn/voigVzoWK59u9IxyPfPeuPvNbv7ZryGcvDOzgQZUbfLMoXI98N3qtaeIdS&#10;lubONpgVDpHJ8v39zuufyUGgLnc7sYFOPWkIyR2pT940DEUfOc9MU7A7dKUcuR7UdqpiEI96aeop&#10;x9KQjkUgG+n1pADuPpT8gYFJnJpMCpfSeUikg8kDirar8g+lQXXzFFIyC1WQflxSQC4ppBJpc0o6&#10;9apAMC9Oa8e+KCO/iWPsBbLj82r2L8a8k+JkE7+I4zHFI6m3UZCkj7zV0YeynqRPRHB28WSeSD2q&#10;aNzGCx5ANIsF3G4zbyj0+Q/4UC3uDuHkyYJyfkNeu5Q7mFpD1lMjjaP4gf8AP517l4RyPCWlZPP2&#10;dP5V4bbWlx5ozE+3PHyGvcfCKMPCWmblIYQrkHtXBjeWy5TSnfqdAPXP1+lYt/4kt9KuDFfQyxqx&#10;2o6Ybdn2HNa/f/PWqqaXZx3T3QtozM3Jdhk//WrzzY5++8WXMNsZbe2jk/fTKAxIGyPr+JqvL4zu&#10;I552FtH9n2uIjk7t646+3Nad34SguYVRLqWM+ZK5YYORIcsKa/g6zeWZmmlMcgbbHwBGzYyw9+BT&#10;YFrw7q0+qWk5uY0SWGUxny87Tj61tL1rO0bSY9Hszbxu8hZi7yP1ZjWgOhqQHUYpFzjmlGfWmApF&#10;R49qeelR4JJ5NJgGPmzTieDTQKXAIPcUAIrg81IvNRqgGQBUgGKADikakI5oJoAkX7tKBmmrytOq&#10;gDoaaB1pxNIOlABilopM0AIRlqB3zS96TNAC96YeZsegp5qOPli3ekwHqMZNHWl6UmaADBxTGHIq&#10;Ttio36igB/aoguPzqQnC59qjRgx470mBNjikbpSjrSNVAc34Z5+JHi//AK97D+U1drXE+GP+Sj+L&#10;/wDr3sP5TV21AHF/EH/W+E/+w/D/AOipq6QVzfxB/wBb4T/7D8P/AKKmrpBQAp6U3mndqQdaAEOc&#10;UmKcelJQA0L81KBS96KQDW6GmqKVuhoSgBCOKR1ylPP86jMsZOzeu7OMZGaAPJvF2k6lJ4nvGhsZ&#10;5I5CrK6JkdKxW0TWEBxp12eO0de4meEyLH5qb8kAbueOop3mR7mG9c+mapSaPQo5jUpRUVsjwyDR&#10;tXmOBp95gdf3VTR6Fq0MpH9m3ZGM5Ede2CeEqxWRDjqQRxUaSpIwCSITjPBFDkypZpVkrGd4cgnt&#10;vD2nR3ClJUhVWQ9QcdK1xyOeh6imKwckg5KkggetSDkjFZo85u7uZ39g6cZY5DBkpF5YyeMYYfyZ&#10;h+NWLSwt9OthDbptTcTyc5J55q2BjvQw4piMOfw9ZTSyu6u3mDA3Ofl5DfL6cgGkj8O2FvNBLGjK&#10;0GAvzcHBOCfXqfzrZYfNSMMqcetJjBSAQO1ScZNQY+cfWphwSaSYCj75NOz1oByT9KSrYhcdKQjk&#10;cUvpS0ARkDIPpQCDwKGxnHrTQuDSYEFxnfEM/wAVWcAcVTvgQsZz/EKtxnKc9aSAV3WOJnZgqryS&#10;T0qv9utDC0wuIzGv3mB4FPupI4oHaRC6AfMoXOfwrKW7gnV7W10+RUdGLExbVHHcd6YFxNY0+WMP&#10;HdxsmQNwPGT0oi1CxuYJZkkjdICRI5HAx7muNvNMng8LaP5rSSiOeI+Wi4Yj0OOuKpHTrmy8K3Gl&#10;XIeGbzY3l25IlV24yfQEkH6VSYjvUeyNqbv900ATeHwMbfX6VHPdabbxefK8CpgckDv/APrrz+LT&#10;Lt/A8scmosLVS6OwJ6qSAFPox7VFquk6iNO0q1n4jMy5uWGVw653N33cAe2KG3fcD0GTVdHtLdJp&#10;poEjkcorEDkjg/kafca9pVlBHJPdRxLInmID1K+wrza50G+1nS9MtxbebFHunXaxUjDHdn2OMAe9&#10;XNbhe60SwtY1D3SW7hgEIx8y8H34I/Ok7vcDvY/EOmP5bC5QLLuKFuMgYz1+tSya7p0EKTTXCxxu&#10;hkUvxlcgZ/UV5HrtlNJFZ2vmbJY3mVYkBZwS44+g/pV+80641Lw/Al1FMJ7S1dZ2kJGx9wIHvnH5&#10;UIVz0Z/FmhxQRTPqEKxSsVRz0JHUVdTVbKTT/t8c6vbEbg46Eev0rx680x/+EWsbW2gWaZxvdpB8&#10;qMX4Ue/Jre1KxuLHRLBI5buGVYWhaMLhVXBzn6nAFNjud9fa5p2moj3l0kSuNy57irlrdRXdqk8D&#10;bo5F3KcdRXkXivQ76WKxjg825lW3G4up+XuB9e1ei+FJ86BYQvv81YQH3DBBHBFJIZqT6ha2zFZ5&#10;0Rgu4qTzjpmmS6rZQyLHJcIrtjCk889K4Pxh4d1DU/E9vLCkpjlGzhwAMCqmsQm08QkSKCziEEyE&#10;sVIHY0rgenzXEUMDSyOAijJNRW95BdRiSCRXUgHiuN8TWc95pl7JDcSLBdIojKk/utoPP40vhTSr&#10;6KxsYX82JomWd5C2RKCvQen0oA7bcc9aerDoaj2knFPA+bHbFIBc8mnAGmgfP7U8U0Ah60mKcetB&#10;6U7AKvSlpF6UtUIKQd6WikMO1N706m96AFPpTVGCaX+KgdaAEc4U+uKI+FFMlOXRR3PNSgYGKW4C&#10;5BpvegUuMmgAqOT7y+lSHmo26gUMBW6Ee2KhiXZgd81MO9MHIHPekwJs+lMYNnrxT8UhqgOb8Mf8&#10;lH8X/wDXvYfymrta4rwz/wAlI8X/APXvYfymrtaAOL+IP+u8J/8AYfh/9FTV0ma5v4g/67wn/wBh&#10;+H/0VNXScUALRRRTEIfakz/KnU3k5yKQxAeKXmjkGlFADWFCilPSkFLqBFdrI9rKsJ2yFSFPoe1c&#10;ybeQIcT2gvDHt/6ab8etdZ29KrtaW4fzBBF5nXfsG7P1xTA8ktJL228a+dNFI5BZ8ZJAyu3cB9RV&#10;/Rvt0mtv5ryIwlk2o7ZJAUnkdvvHFel/Y7bz/P8As8Xm9PM2jP51IIIg5k8tNx/i2jJ7daQrHkOg&#10;x3cuovCWdV852PmOenJwOxPT9areGbfU7PXIS0jCNom2L5hJ5HHPrkivY1tbdFCJBGFU7gNo4PrS&#10;CztxJ5qwor4Ch9ozigLM5HwfDqEWpXr3U73UbTsqyKeEbapOR39M+1dsMDHGPao4IY4htijRVJOQ&#10;oABzUmQcZ7nFJDDApHPHFL6UjdBjvT6ARMeRS84P1pxAOKQ8KfrUsY0g7x3qUg+lNB5GOeaeTihI&#10;AXhqO1Jnmml8Z71TsIkyeKCRURfIzmnZHXNADiQDmmZG6lxkU3bzmkwK1+P3akf3qtKelVrwfuPo&#10;asqPlFJAPzTWOe2adUbNtbmmBV1DUbLTLU3F7NHDCDje/A9qoWfibRdThmkt7uJ0hXfKzcBRnv8A&#10;lUPi+y/tHw3dwCLfK67YwE3HceK5DSrCez8J6lafZpUuNwZ08nd0wCM+nBb6UJAdtDrOiPpcl2lz&#10;b/YkxvbA2gnnkevf8adH4g0a4tpp0vIJIbc/vGBBCnt/9avM5tE1KLwRJZWtrcSfaJEkGwZXAkJy&#10;R1zwP0pNP8OajYWOoRmGe1gup4WVipPlxlyPzHFMR6kNa0qPTZNQN3CLSMkNKD8vHUCpn1HT1tku&#10;jPEIGICSdQfxrzq/0eb/AIRW20iwkkvInvGVtiEFlOCcAjqM9e3NSvp95FodjYMtyJI5wsm5j8r7&#10;1GxcY+XGTk9qAPQmksREt6/khXIKSEDktwOfWoNT1jSNJKrqV3Bb+b0EpA347+9c/rBeDw7Bp08b&#10;xT/aIziElztEnLDOccDNYHxB0e5106V9itZLrMDqjMTuJ468ccZ/GkgO6Ot6HFbRyfaLfypF81MA&#10;EFR/F9OtXJNRsAqF7iACQZXLDkdRXltzpF7ZxaUsSzS28dqY8RRtuIHLbgB6kjHtR4ouxBrunKtm&#10;7hEQyBYOJOBxz7cVTA9WFzbExDzFzMCUGfvAelRvqFnbTeXJcRI7MAFJ5JPQVw+p6bqE3iCyNhNK&#10;kMcRZbUcAJgZGexPSszXNIlHiE3c0soH2iFljdiAuR6jrjpUpgeoyXVvEwSWaJX5wGYAiq8lxYi7&#10;EMksPnOMhCRuIrgPEWnG+8T2dxaoJ4Jk25AZirKeT/Sq0aXyePZLkRFVjQRh/LLADoOO31oYHpB1&#10;CwaQwC4hL52+Xu7+mKlS9tmnaBJ4t69UB5FePWWlaoNXt9RZZYg14zOW4BXPB9s1u6Nb3cGs3d9J&#10;eK004lQwqvzjk4zx06d6bQanoVvqVldTSRwXEbvEcOqtkipUvbaUOYpVfZ97HavLvCelX9nqct3P&#10;HLF56yNGAn+tbPT2GK6Xw3FcfbpjKrywl3QvvO1SAOMdxkmiwXZ1MWoWk5PlXEb7RltrZwKF1WwK&#10;SN9ri2xrvc7vuj1NcpDpk6eH9bBKxK7TeWY49rgZPGfQ9qw7Wzb+yNSg+yvDNeIjLNISR5CqAx9u&#10;V6e4oQHpVvf2t5u+zTpLtO1tpzg1YJ4rkvA8ey0nJAErMpfg56ep6jt+ddXnA6ChjHqeKdTF5U04&#10;UxC0UUUDEo70UnegAagetKfSm5x16UmAwZacn04FSgYBqKEE5Y9Sc1MaEAwmgZpD1pR0pAL2ppHO&#10;acOlBpgAwRUR++fepOgqNuobtnmkwJ6Q0vakPSqA5rwz/wAlI8X/APXvYfymrta4rwz/AMlI8X/9&#10;e9h/Kau1oA4v4g/67wn/ANh+H/0VNXSVzfxB/wBd4T/7D8P/AKKmrpOpoAU0UdqKACiiigBuOaBw&#10;KWjigBjHIpFPtQTwaVaXUOgvahuRQaO1PqBnSXUqa7HbbwImt2fae7bgK4yXxZqsfjQWMmEtzM0S&#10;QhSS2FznP49K757OCWdJ3iUyKMB+4Gc1kzeF9OuNQa8lVmdnMhUngsV25z1GB0pAcmNT8RL42/s9&#10;rwi0MwKrtGDHjJA4z2q3oesand+LJ7e4uLh7VHIjAQANnpnjPY811aaFYrdi8MRe5UbVldySF9B7&#10;VHa+HLG0neaNG3s25dx+5wRge3J9aBEMF/eNqmqReTuihYbJCRhTsB246nmuY8MeJtX1PxGLe7dT&#10;CsTsybACCCR356gDpXXW+hQ29y8y3N0WlbdJmQYY4xk8elVoPCdhb6lFfRGVJUI4DZDAEHByPUZ+&#10;poAunU36iwvD9Y8VHPqEx0+4mS0kjeMfKso+9+VamKr3UJuIHi3tGG4yuMj8xSGcFpPinVLnQNQl&#10;edZ72BfljCBdq7sFs9M9cfhU0viHVxp2qzQRl9smBJjAiIO0qPUjGc9K6O28KabaQXMUCOi3SgS/&#10;N94j+L2+nSkPhizfzFaScwszN5O4BQWOSeBk802I5DRvEms3cGos92rSQQlxtj3bTuYdBjHQdfTN&#10;XJPEWpW/hiO9luhK8rqkZVNhf379foK24fB9jb7wk11tdCjL5nG0sTjp6k04+ENLkha2ZJTCZvO2&#10;eYfvYx17UgONfxJrum6K8slyXna6KHzAMoCcAY6+/SptV8T6pH4Ttbxbjy7hrko0iYIIH+FdbL4N&#10;0ua7luCkiu6oPlf7pXoR7+tE/g+xubCOzneeSJJTKcsMsSc8kVTA891Lxdrqabb3Nvd7d0rqxEX3&#10;wAOgIzVq18a6snhMTyb7i7MoB2rhlUEfgfrXZy+D7M2i26SzRxx7vJVT/qwT0BPali8JWsNitok8&#10;yqSpc5B3YOcdOM0uorM19Iu2vtNhuXZWaQbvk6D2q5jPQ1Da2cFmjJbxhAzFjjufWpxxUssqXp2w&#10;gjPXFW0+6M+lVr0gQc9c1bAwoHtQhBisrX7u5sNLmubVY2eMbj5hOAB1PHWtbNZuuaSutaTcae8h&#10;jWZcbwM4/DIpoDjtA8aXlzot1qOowoI7dMbIxl2bscelWl8byDwxaak1uGkuXSJFQZLH+Pjt3AHf&#10;irGkeALbSWlxdGUuhCHy8bTkkHknOM1pN4UtE0kWVu7RP+6LTbcljGcg4zjPGPxqhDPCOtXGuaZJ&#10;cXcPlTLO6FcYCgE4Hua6BV5PUA/n/npWXoGhR6DbzQxS71kkMhAQLgk5PT61rgAUDGBRzx1pSueo&#10;HXPPangAUGgBm3rSbOfrTzS4oAYBx/hxTWiQ87Fz0zjmpQOKQ0mBEAdxJxnpSgLnoAad36UnHPFI&#10;BFjReVVVPsKCgznHPenDpS0wGFBjGBge1RiNQSQoB9QOTU9MPJOKTAj2fMP6VIo2jgfgOKULzSlf&#10;SmAgHPNLjI6Dpim7TnrTx0oQDQoUjgHnnjrSngAClIooAVelL3oHAoNMBaKQdKXvQAhoGM0ho6Gg&#10;AzzUcpwh9af3qGRsyqoPTmk2BNGMAD0p5pkZOOetOzzTQDSOaTGKceppO1T1ABnbQc0DpQT0pgGe&#10;tMPIH1p54FMA4HHekwJR0pG6Zo7U1+gqgOd8Mf8AJSPF/wD172H8pq7WuJ8Mf8lH8Xf9e9h/Kau2&#10;oA4v4gEGbwng5/4n8P8A6KmrpBXM/EQXAtvD93b2N3eiz1iK4kjtIWlcII5QTtAzjJH51F/wnCY/&#10;5FvxP/4J5v8ACgDrKBXKf8JzH/0Lfif/AME83+FIPHEf/QteJ/8AwTzf4UAdZRXKf8JzH/0Lfif/&#10;AME83+FB8cx/9C14n/8ABPL/AIUAdXSVyv8AwnMf/QteJ/8AwTzf4Un/AAnEf/QteJ//AATzf4UA&#10;dQ3Q8ULXLHxwmD/xTfif/wAFEv8AhQPG6f8AQt+J/wDwUS/4UAdUaXjFcr/wm8f/AELfif8A8E83&#10;+FB8cR4/5FrxP/4J5v8ACgDqu1NA9q5b/hOEx/yLfif/AMFEv+FH/Cbp/wBC34nH/cHl/wAKAOqz&#10;RmuW/wCE4j/6FvxP/wCCeb/Cmnxuh/5lvxP/AOCeb/CgDqweKPSuUHjZB/zLfif/AME83+FOPjhP&#10;+hb8T/8Agnm/woA6nNNPNcx/wnEf/QteJ/8AwTzf4Un/AAm8X/QteJ//AATy/wCFKwHUEcUcgVy/&#10;/Cbx/wDQteJ//BPL/hR/wm6Y/wCRb8T/APgnm/wpgdMW5FIrfOa5g+NlOP8AimvFH/gom/wpB41T&#10;eSfDPif/AME83+FTYDrAcsaD3rlh43jDZ/4RrxP/AOCeb/Cj/hN0/wChb8T/APgnm/wqgOmYUbeR&#10;XMN43Qjjw14n/wDBPN/hQPGyZ/5FvxP/AOCeb/ClYDqQeaDXLHxshP8AyLfif/wTzf4Uf8Jsn/Qt&#10;+J//AATy/wCFIDevseRn3FXe1cbceMRKm1fDfibr/wBAmb/Cpx44ULj/AIRrxP8A+Cib/CiwHV0d&#10;65U+OEP/ADLfif8A8FEv+FH/AAm6f9C34n/8E8v+FAHU9xTu1cn/AMJumf8AkW/E/wD4KJf8Kd/w&#10;nCY/5FvxP/4J5v8ACqA6oUDkmuUHjhP+hb8T/wDgnm/wpf8AhOI/+hb8T/8Agnm/woA6sCkPpXLf&#10;8JzH/wBC34n/APBPN/hSf8JxH/0Lfif/AME83+FAHVY4oHWuVPjiP/oW/E//AIJ5v8KP+E4T/oW/&#10;E/8A4J5v8KAOrFGa5UeOYx/zLfif/wAE83+FH/CcR/8AQt+J/wDwTzf4UAdT3zTe9cv/AMJxH/0L&#10;fif/AME83+FA8cJ/0LXif/wTzf4UrAdT2/Gg8Vy3/CcR/wDQteJ//BPN/hQfHEfbw34o/wDBRN/h&#10;TA6rrTcc1y//AAnCf9C34n/8FE3+FJ/wm6f9C34n/wDBPN/hSA6nJB4FLnjmuUPjZD/zLfij/wAE&#10;83+FB8bpjjw14n/HR5v8KQHVjFKBXJjxtHnJ8N+J/wDwTzf4U7/hOI/+hb8T/wDgnm/wp2A6qkNc&#10;t/wnEf8A0LXif/wTzf4Uf8JvH/0LXif/AMFEv+FFgOozz3pu45PpXMHxwmf+Ra8T/wDgnl/wpP8A&#10;hNoyf+Ra8T/+CeX/AAoA6clioOTQC3rXMf8ACbJjA8N+J/8AwTzf4Un/AAmyY/5FvxP/AOCiX/Ck&#10;B1Af73NLuJbFcr/wmqc/8U14n5/6hEv+FKPGyA/8i14n/wDBPL/hQB1XNJjktgZrl/8AhN0z/wAi&#10;14n/APBPN/hR/wAJun/Qt+J//BPN/hTsB1J4zil5xXK/8Jug/wCZb8T/APgnl/wpT43Q/wDMt+J/&#10;/BPN/hTA6vvzRXKjxvGDz4b8T/8Agnm/wo/4TiP/AKFrxP8A+Ceb/CgDqgKQ1yw8cRj/AJlrxP8A&#10;+Ceb/Ck/4TiP/oWvE/8A4J5v8KAOrHNLgVyn/CcR/wDQt+J//BPN/hSjxyg/5lvxP/4J5v8ACgDq&#10;+MU1gMZx0rlj45jP/MteJ/8AwTzf4U0+N4yP+Rb8TjH/AFB5v8KAJvDH/JR/F/8A172H8pq7auE8&#10;Ey3N/wCMPE2qSabqFlb3ENmkX222eEuUEu7AYDOMj867ugBm085707FFFABijFFFABijmiigAx9K&#10;MUUUAHNHNFFABzRiiigAwaOaKKADmjFFFABijFFFABijBoooAOaMfSiigAx9Pyox9PyoooAMUYoo&#10;oAMUY+lFFABj6flRiiigA5o5oooAOaOaKKADmjH0oooAMUYoooAMUYoooAMUYoooAMUYoooAMUY+&#10;lFFABj6UY+n5UUUAGPp+VGPp+VFFABj6flRiiigAxRiiigAxRiiigAxRj6flRRQAYo5oooAOaMUU&#10;UAGKMUUUAHNGKKKADFGKKKADFGKKKADFGKKKADFGKKKAAUtFFAH/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FvO&#10;AQBbQ29udGVudF9UeXBlc10ueG1sUEsBAhQACgAAAAAAh07iQAAAAAAAAAAAAAAAAAYAAAAAAAAA&#10;AAAQAAAAKswBAF9yZWxzL1BLAQIUABQAAAAIAIdO4kCKFGY80QAAAJQBAAALAAAAAAAAAAEAIAAA&#10;AE7MAQBfcmVscy8ucmVsc1BLAQIUAAoAAAAAAIdO4kAAAAAAAAAAAAAAAAAEAAAAAAAAAAAAEAAA&#10;AAAAAABkcnMvUEsBAhQACgAAAAAAh07iQAAAAAAAAAAAAAAAAAoAAAAAAAAAAAAQAAAASM0BAGRy&#10;cy9fcmVscy9QSwECFAAUAAAACACHTuJAWGCzG7QAAAAiAQAAGQAAAAAAAAABACAAAABwzQEAZHJz&#10;L19yZWxzL2Uyb0RvYy54bWwucmVsc1BLAQIUABQAAAAIAIdO4kBfG7L91wAAAAYBAAAPAAAAAAAA&#10;AAEAIAAAACIAAABkcnMvZG93bnJldi54bWxQSwECFAAUAAAACACHTuJAA5vqB/AFAADKFgAADgAA&#10;AAAAAAABACAAAAAmAQAAZHJzL2Uyb0RvYy54bWxQSwECFAAKAAAAAACHTuJAAAAAAAAAAAAAAAAA&#10;CgAAAAAAAAAAABAAAABCBwAAZHJzL21lZGlhL1BLAQIUABQAAAAIAIdO4kBepMzTjcQBAH7EAQAV&#10;AAAAAAAAAAEAIAAAAGoHAABkcnMvbWVkaWEvaW1hZ2UxLmpwZWdQSwUGAAAAAAoACgBTAgAAn88B&#10;AAAA&#10;">
                <o:lock v:ext="edit" aspectratio="f"/>
                <v:shape id="IM 340" o:spid="_x0000_s1026" o:spt="75" type="#_x0000_t75" style="position:absolute;left:5068;top:2175914;height:10437;width:7844;" filled="f" o:preferrelative="t" stroked="f" coordsize="21600,21600" o:gfxdata="UEsDBAoAAAAAAIdO4kAAAAAAAAAAAAAAAAAEAAAAZHJzL1BLAwQUAAAACACHTuJAVLbo7boAAADc&#10;AAAADwAAAGRycy9kb3ducmV2LnhtbEVPu27CMBTdK/EP1kXqVhyeQiGGAQnoVJXAkPEqviSB+DqK&#10;TRL+Hg+VOh6dd7IbTC06al1lWcF0EoEgzq2uuFBwvRy+1iCcR9ZYWyYFL3Kw244+Eoy17flMXeoL&#10;EULYxaig9L6JpXR5SQbdxDbEgbvZ1qAPsC2kbrEP4aaWsyhaSYMVh4YSG9qXlD/Sp1Fw1/kv2vTS&#10;Zf1psTxmP/tnM1RKfY6n0QaEp8H/i//c31rBfBHmhzPhCMjt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tujtugAAANwA&#10;AAAPAAAAAAAAAAEAIAAAACIAAABkcnMvZG93bnJldi54bWxQSwECFAAUAAAACACHTuJAMy8FnjsA&#10;AAA5AAAAEAAAAAAAAAABACAAAAAJAQAAZHJzL3NoYXBleG1sLnhtbFBLBQYAAAAABgAGAFsBAACz&#10;AwAAAAA=&#10;">
                  <v:fill on="f" focussize="0,0"/>
                  <v:stroke on="f"/>
                  <v:imagedata r:id="rId84" o:title=""/>
                  <o:lock v:ext="edit" aspectratio="f"/>
                </v:shape>
                <v:group id="组合 77" o:spid="_x0000_s1026" o:spt="203" style="position:absolute;left:8384;top:2177890;height:1149;width:2127;" coordsize="2126,114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100" style="position:absolute;left:0;top:994;height:153;width:40;" filled="t" stroked="t" coordsize="40,153" o:gfxdata="UEsDBAoAAAAAAIdO4kAAAAAAAAAAAAAAAAAEAAAAZHJzL1BLAwQUAAAACACHTuJA6ZCq/7wAAADb&#10;AAAADwAAAGRycy9kb3ducmV2LnhtbEWPT4vCMBTE74LfIbwFb5pWxJWuUVQQBPfin8P29miebdnm&#10;JTbR6rffCMIeh5n5DTNfPkwj7tT62rKCdJSAIC6srrlUcD5thzMQPiBrbCyTgid5WC76vTlm2nZ8&#10;oPsxlCJC2GeooArBZVL6oiKDfmQdcfQutjUYomxLqVvsItw0cpwkU2mw5rhQoaNNRcXv8WYU+Pzn&#10;6miF+X617q6X7zTwxmmlBh9p8gUi0CP8h9/tnVbwOYHXl/g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Qqv+8AAAA&#10;2wAAAA8AAAAAAAAAAQAgAAAAIgAAAGRycy9kb3ducmV2LnhtbFBLAQIUABQAAAAIAIdO4kAzLwWe&#10;OwAAADkAAAAQAAAAAAAAAAEAIAAAAAsBAABkcnMvc2hhcGV4bWwueG1sUEsFBgAAAAAGAAYAWwEA&#10;ALUDAAAAAA==&#10;" path="m20,0l20,153e">
                    <v:fill on="t" focussize="0,0"/>
                    <v:stroke weight="2.04pt" color="#FF0000" joinstyle="round"/>
                    <v:imagedata o:title=""/>
                    <o:lock v:ext="edit" aspectratio="f"/>
                  </v:shape>
                  <v:shape id="_x0000_s1026" o:spid="_x0000_s1026" o:spt="100" style="position:absolute;left:83;top:20;height:1026;width:2023;" filled="t" stroked="f" coordsize="2023,1026" o:gfxdata="UEsDBAoAAAAAAIdO4kAAAAAAAAAAAAAAAAAEAAAAZHJzL1BLAwQUAAAACACHTuJAfCl3Nb0AAADb&#10;AAAADwAAAGRycy9kb3ducmV2LnhtbEWPwWrDMBBE74H+g9hCL6GRYqhTnCg5hBZ6TJxAr1trbZlY&#10;K2OpdpqvrwqFHIeZecNsdlfXiZGG0HrWsFwoEMSVNy03Gs6n9+dXECEiG+w8k4YfCrDbPsw2WBg/&#10;8ZHGMjYiQTgUqMHG2BdShsqSw7DwPXHyaj84jEkOjTQDTgnuOpkplUuHLacFiz3tLVWX8ttpmL+Z&#10;7GDlranzepV9Hr/Odl8rrZ8el2oNItI13sP/7Q+jYfUCf1/S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KXc1vQAA&#10;ANsAAAAPAAAAAAAAAAEAIAAAACIAAABkcnMvZG93bnJldi54bWxQSwECFAAUAAAACACHTuJAMy8F&#10;njsAAAA5AAAAEAAAAAAAAAABACAAAAAMAQAAZHJzL3NoYXBleG1sLnhtbFBLBQYAAAAABgAGAFsB&#10;AAC2AwAAAAA=&#10;" path="m484,92c484,41,525,0,576,0l740,0,740,0,1125,0,1929,0c1980,0,2022,41,2022,92l2022,324,2022,324,2022,464,2022,464c2022,515,1980,556,1929,556l1125,556,0,1026,740,556,576,556c525,556,484,515,484,464l484,464,484,324,484,324,484,92xe">
                    <v:fill on="t" focussize="0,0"/>
                    <v:stroke on="f"/>
                    <v:imagedata o:title=""/>
                    <o:lock v:ext="edit" aspectratio="f"/>
                  </v:shape>
                  <v:shape id="_x0000_s1026" o:spid="_x0000_s1026" o:spt="100" style="position:absolute;left:63;top:0;height:1068;width:2063;" filled="t" stroked="t" coordsize="2063,1068" o:gfxdata="UEsDBAoAAAAAAIdO4kAAAAAAAAAAAAAAAAAEAAAAZHJzL1BLAwQUAAAACACHTuJAME5Uo78AAADb&#10;AAAADwAAAGRycy9kb3ducmV2LnhtbEWPT2vCQBTE70K/w/IKvekmClqim0CLYo6tf1Bvz+xrEpp9&#10;G7PbmH77bqHQ4zAzv2FW2WAa0VPnassK4kkEgriwuuZSwWG/GT+DcB5ZY2OZFHyTgyx9GK0w0fbO&#10;79TvfCkChF2CCirv20RKV1Rk0E1sSxy8D9sZ9EF2pdQd3gPcNHIaRXNpsOawUGFLrxUVn7svo+Ba&#10;HN7ifj07H/nyMpzirc1vi1ypp8c4WoLwNPj/8F871woWc/j9En6AT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OVKO/&#10;AAAA2wAAAA8AAAAAAAAAAQAgAAAAIgAAAGRycy9kb3ducmV2LnhtbFBLAQIUABQAAAAIAIdO4kAz&#10;LwWeOwAAADkAAAAQAAAAAAAAAAEAIAAAAA4BAABkcnMvc2hhcGV4bWwueG1sUEsFBgAAAAAGAAYA&#10;WwEAALgDAAAAAA==&#10;" path="m504,113c504,62,545,20,597,20l760,20,760,20,1145,20,1949,20c2001,20,2042,62,2042,113l2042,345,2042,345,2042,484,2042,484c2042,535,2001,577,1949,577l1145,577,20,1047,760,577,597,577c545,577,504,535,504,484l504,484,504,345,504,345,504,113xe">
                    <v:path textboxrect="0,0,2063,1068"/>
                    <v:fill on="t" focussize="0,0"/>
                    <v:stroke weight="2.04pt" color="#000000" joinstyle="round"/>
                    <v:imagedata o:title=""/>
                    <o:lock v:ext="edit" aspectratio="f"/>
                    <v:textbox>
                      <w:txbxContent>
                        <w:p w14:paraId="006A45A5">
                          <w:pPr>
                            <w:jc w:val="center"/>
                            <w:rPr>
                              <w:rFonts w:hint="default" w:eastAsia="宋体"/>
                              <w:b/>
                              <w:bCs/>
                              <w:color w:val="000000"/>
                              <w:lang w:val="en-US" w:eastAsia="zh-CN"/>
                            </w:rPr>
                          </w:pPr>
                          <w:r>
                            <w:rPr>
                              <w:rFonts w:hint="eastAsia"/>
                              <w:b/>
                              <w:bCs/>
                              <w:color w:val="000000"/>
                              <w:lang w:val="en-US" w:eastAsia="zh-CN"/>
                            </w:rPr>
                            <w:t>本项目位置</w:t>
                          </w:r>
                        </w:p>
                      </w:txbxContent>
                    </v:textbox>
                  </v:shape>
                </v:group>
                <w10:wrap type="none"/>
                <w10:anchorlock/>
              </v:group>
            </w:pict>
          </mc:Fallback>
        </mc:AlternateContent>
      </w:r>
    </w:p>
    <w:p w14:paraId="6BFE0069">
      <w:pPr>
        <w:ind w:left="480" w:firstLine="0" w:firstLineChars="0"/>
        <w:jc w:val="center"/>
        <w:rPr>
          <w:rFonts w:hint="eastAsia"/>
          <w:b/>
          <w:bCs/>
          <w:color w:val="auto"/>
          <w:highlight w:val="none"/>
        </w:rPr>
      </w:pPr>
      <w:r>
        <w:rPr>
          <w:rFonts w:hint="eastAsia"/>
          <w:b/>
          <w:bCs/>
          <w:color w:val="auto"/>
          <w:highlight w:val="none"/>
        </w:rPr>
        <w:t>图5.3-2</w:t>
      </w:r>
      <w:r>
        <w:rPr>
          <w:rFonts w:hint="eastAsia"/>
          <w:b/>
          <w:bCs/>
          <w:color w:val="auto"/>
          <w:highlight w:val="none"/>
          <w:lang w:val="en-US" w:eastAsia="zh-CN"/>
        </w:rPr>
        <w:t xml:space="preserve">   </w:t>
      </w:r>
      <w:r>
        <w:rPr>
          <w:rFonts w:hint="eastAsia"/>
          <w:b/>
          <w:bCs/>
          <w:color w:val="auto"/>
          <w:highlight w:val="none"/>
        </w:rPr>
        <w:t xml:space="preserve"> 评价区水文地质图</w:t>
      </w:r>
    </w:p>
    <w:p w14:paraId="4B80517F">
      <w:pPr>
        <w:rPr>
          <w:color w:val="auto"/>
          <w:highlight w:val="none"/>
        </w:rPr>
      </w:pPr>
      <w:r>
        <w:rPr>
          <w:color w:val="auto"/>
          <w:highlight w:val="none"/>
        </w:rPr>
        <w:t>（3）第三系上新统底部砂砾石孔隙承压水（N2）</w:t>
      </w:r>
    </w:p>
    <w:p w14:paraId="1D96BFDD">
      <w:pPr>
        <w:rPr>
          <w:color w:val="auto"/>
          <w:highlight w:val="none"/>
        </w:rPr>
      </w:pPr>
      <w:r>
        <w:rPr>
          <w:color w:val="auto"/>
          <w:highlight w:val="none"/>
        </w:rPr>
        <w:t>岩性为含泥砂砾石，地表无出露。据钻孔揭露砾石由玄武岩、流纹岩、泥岩、砂岩组成。分选差，次棱角～次圆状，含泥量极不均匀。在横、纵向上常相变为含砾粘土、砂质粘土。与下白垩统地层为冲刷接触，属上新统底砾石层，经初步分析，形成机理为：</w:t>
      </w:r>
    </w:p>
    <w:p w14:paraId="6629B275">
      <w:pPr>
        <w:rPr>
          <w:color w:val="auto"/>
          <w:highlight w:val="none"/>
        </w:rPr>
      </w:pPr>
      <w:r>
        <w:rPr>
          <w:color w:val="auto"/>
          <w:highlight w:val="none"/>
        </w:rPr>
        <w:t>本区第三纪晚期、上新世时期，受喜山运动的影响，在继承原盆地构造格架的基础上，地表缓慢下降、沉降伊始，古地貌崎岖不平，起伏较大，冲积沉积占优势，沉积了底砾石层。受古地貌基底的制约，底砾石层主要分布在地势低洼处，随着地壳的持继下降，湖泊面不断扩大，沉积了砂质粘土、粘土层，其间发生了3次小规模玄武岩岩浆喷发，使粘土与玄武岩相间产出。</w:t>
      </w:r>
    </w:p>
    <w:p w14:paraId="52303634">
      <w:pPr>
        <w:rPr>
          <w:color w:val="auto"/>
          <w:highlight w:val="none"/>
        </w:rPr>
      </w:pPr>
      <w:r>
        <w:rPr>
          <w:color w:val="auto"/>
          <w:highlight w:val="none"/>
        </w:rPr>
        <w:t>（4）下白垩统砂岩孔隙、裂隙承压含水层</w:t>
      </w:r>
    </w:p>
    <w:p w14:paraId="5188C498">
      <w:pPr>
        <w:rPr>
          <w:color w:val="auto"/>
          <w:highlight w:val="none"/>
        </w:rPr>
      </w:pPr>
      <w:r>
        <w:rPr>
          <w:color w:val="auto"/>
          <w:highlight w:val="none"/>
        </w:rPr>
        <w:t>岩性以粉砂岩为主，局部夹薄层粗砂岩、砂砾岩，泥质胶结，大部分胶结较疏松。孔隙裂隙发育不均，基本规律为随深度增加而减弱。</w:t>
      </w:r>
    </w:p>
    <w:p w14:paraId="25004131">
      <w:pPr>
        <w:rPr>
          <w:color w:val="auto"/>
          <w:highlight w:val="none"/>
        </w:rPr>
      </w:pPr>
      <w:r>
        <w:rPr>
          <w:color w:val="auto"/>
          <w:highlight w:val="none"/>
        </w:rPr>
        <w:t>（5）构造破碎带水</w:t>
      </w:r>
    </w:p>
    <w:p w14:paraId="047C7BC6">
      <w:pPr>
        <w:rPr>
          <w:color w:val="auto"/>
          <w:highlight w:val="none"/>
        </w:rPr>
      </w:pPr>
      <w:r>
        <w:rPr>
          <w:color w:val="auto"/>
          <w:highlight w:val="none"/>
        </w:rPr>
        <w:t>根据水文地质孔资料，结合断裂带周边岩石组合与对接情况分析，破碎带本身富水性差。由于岩性破碎、空隙大，导水性好，可沟通连接破碎带两侧多伦组玄武岩与下白垩统含水层，即为导水断层。使多伦组玄武岩孔洞裂隙水侧向迳流补给下白垩统砂岩裂隙含水层，是下白垩统含水层的补给源之一。</w:t>
      </w:r>
    </w:p>
    <w:p w14:paraId="4C994CA5">
      <w:pPr>
        <w:rPr>
          <w:color w:val="auto"/>
          <w:highlight w:val="none"/>
        </w:rPr>
      </w:pPr>
      <w:r>
        <w:rPr>
          <w:color w:val="auto"/>
          <w:highlight w:val="none"/>
        </w:rPr>
        <w:t>（6）隔水层</w:t>
      </w:r>
    </w:p>
    <w:p w14:paraId="5DE60F02">
      <w:pPr>
        <w:rPr>
          <w:color w:val="auto"/>
          <w:highlight w:val="none"/>
        </w:rPr>
      </w:pPr>
      <w:r>
        <w:rPr>
          <w:color w:val="auto"/>
          <w:highlight w:val="none"/>
        </w:rPr>
        <w:t>1、第四系中下更新统粉细砂潜水与下伏各含水层间以第三系上新统粘土、砂质粘土为隔水层。其基本遍布全区，厚1.90m～135.50m。粘土、砂质粘土为湖相沉积，在盆缘的周边，具体位置为勘探区的西界外山麓地带，因湖水浅，属湖滨相沉积，粘土层变薄，含砂量较大，至湖盆的外缘砂质粘土尖灭。</w:t>
      </w:r>
    </w:p>
    <w:p w14:paraId="6758A25C">
      <w:pPr>
        <w:rPr>
          <w:color w:val="auto"/>
          <w:highlight w:val="none"/>
        </w:rPr>
      </w:pPr>
      <w:r>
        <w:rPr>
          <w:color w:val="auto"/>
          <w:highlight w:val="none"/>
        </w:rPr>
        <w:t>2、第三系上新统玄武岩由上至下，气孔逐渐减少，直至消失变为致密块状，下部致密块状玄武岩可视为隔水层。玄武岩顶、底普遍分布有第三系粘土层，对其形成独立的含水系统起着重要作用。</w:t>
      </w:r>
    </w:p>
    <w:p w14:paraId="0235DCC7">
      <w:pPr>
        <w:rPr>
          <w:color w:val="auto"/>
          <w:highlight w:val="none"/>
        </w:rPr>
      </w:pPr>
      <w:r>
        <w:rPr>
          <w:color w:val="auto"/>
          <w:highlight w:val="none"/>
        </w:rPr>
        <w:t>3、第三系上新统砂砾石含水层的顶部隔水层为第三系粘土层，底部与白垩系下统为冲刷接触，二者间无良好隔水层。</w:t>
      </w:r>
    </w:p>
    <w:p w14:paraId="016AB96A">
      <w:pPr>
        <w:rPr>
          <w:color w:val="auto"/>
          <w:highlight w:val="none"/>
        </w:rPr>
      </w:pPr>
      <w:r>
        <w:rPr>
          <w:color w:val="auto"/>
          <w:highlight w:val="none"/>
        </w:rPr>
        <w:t>4、下白垩统砂岩含水层上部的泥岩为隔水层，但因泥岩的厚度变化大，稳定性差，常相变为泥质粉砂岩、粉砂岩，故隔水性差，顶部的第三系粘土层为较稳定隔水层。</w:t>
      </w:r>
    </w:p>
    <w:p w14:paraId="1A564389">
      <w:pPr>
        <w:rPr>
          <w:color w:val="auto"/>
          <w:highlight w:val="none"/>
        </w:rPr>
      </w:pPr>
      <w:r>
        <w:rPr>
          <w:color w:val="auto"/>
          <w:highlight w:val="none"/>
        </w:rPr>
        <w:t>但在第三系砂砾石分布区二者内无稳定隔水层存在。</w:t>
      </w:r>
    </w:p>
    <w:p w14:paraId="054A326F">
      <w:pPr>
        <w:rPr>
          <w:color w:val="auto"/>
          <w:highlight w:val="none"/>
        </w:rPr>
        <w:sectPr>
          <w:pgSz w:w="11905" w:h="16839"/>
          <w:pgMar w:top="1440" w:right="1800" w:bottom="1440" w:left="1800" w:header="862" w:footer="1009" w:gutter="0"/>
          <w:pgBorders>
            <w:top w:val="none" w:sz="0" w:space="0"/>
            <w:left w:val="none" w:sz="0" w:space="0"/>
            <w:bottom w:val="none" w:sz="0" w:space="0"/>
            <w:right w:val="none" w:sz="0" w:space="0"/>
          </w:pgBorders>
          <w:pgNumType w:fmt="decimal"/>
          <w:cols w:space="720" w:num="1"/>
        </w:sectPr>
      </w:pPr>
      <w:r>
        <w:rPr>
          <w:rFonts w:hint="eastAsia"/>
          <w:color w:val="auto"/>
          <w:highlight w:val="none"/>
          <w:lang w:val="en-US" w:eastAsia="zh-CN"/>
        </w:rPr>
        <w:t>评价区</w:t>
      </w:r>
      <w:r>
        <w:rPr>
          <w:color w:val="auto"/>
          <w:highlight w:val="none"/>
        </w:rPr>
        <w:t>水文地质剖面图见下图</w:t>
      </w:r>
      <w:r>
        <w:rPr>
          <w:rFonts w:hint="eastAsia"/>
          <w:color w:val="auto"/>
          <w:highlight w:val="none"/>
          <w:lang w:val="en-US" w:eastAsia="zh-CN"/>
        </w:rPr>
        <w:t>5.3-3</w:t>
      </w:r>
      <w:r>
        <w:rPr>
          <w:color w:val="auto"/>
          <w:highlight w:val="none"/>
        </w:rPr>
        <w:t>。</w:t>
      </w:r>
    </w:p>
    <w:p w14:paraId="2C2EC57B">
      <w:pPr>
        <w:keepNext w:val="0"/>
        <w:keepLines w:val="0"/>
        <w:pageBreakBefore w:val="0"/>
        <w:widowControl w:val="0"/>
        <w:kinsoku/>
        <w:wordWrap/>
        <w:overflowPunct/>
        <w:topLinePunct w:val="0"/>
        <w:autoSpaceDE/>
        <w:autoSpaceDN/>
        <w:bidi w:val="0"/>
        <w:adjustRightInd/>
        <w:snapToGrid/>
        <w:spacing w:line="5583" w:lineRule="exact"/>
        <w:ind w:firstLine="0" w:firstLineChars="0"/>
        <w:jc w:val="center"/>
        <w:textAlignment w:val="auto"/>
        <w:rPr>
          <w:color w:val="auto"/>
          <w:highlight w:val="none"/>
        </w:rPr>
      </w:pPr>
      <w:r>
        <w:rPr>
          <w:color w:val="auto"/>
          <w:position w:val="-111"/>
          <w:highlight w:val="none"/>
        </w:rPr>
        <w:drawing>
          <wp:inline distT="0" distB="0" distL="114300" distR="114300">
            <wp:extent cx="8693785" cy="3469005"/>
            <wp:effectExtent l="0" t="0" r="12065" b="17145"/>
            <wp:docPr id="38" name="IM 342"/>
            <wp:cNvGraphicFramePr/>
            <a:graphic xmlns:a="http://schemas.openxmlformats.org/drawingml/2006/main">
              <a:graphicData uri="http://schemas.openxmlformats.org/drawingml/2006/picture">
                <pic:pic xmlns:pic="http://schemas.openxmlformats.org/drawingml/2006/picture">
                  <pic:nvPicPr>
                    <pic:cNvPr id="38" name="IM 342"/>
                    <pic:cNvPicPr/>
                  </pic:nvPicPr>
                  <pic:blipFill>
                    <a:blip r:embed="rId85"/>
                    <a:stretch>
                      <a:fillRect/>
                    </a:stretch>
                  </pic:blipFill>
                  <pic:spPr>
                    <a:xfrm>
                      <a:off x="0" y="0"/>
                      <a:ext cx="8693785" cy="3469005"/>
                    </a:xfrm>
                    <a:prstGeom prst="rect">
                      <a:avLst/>
                    </a:prstGeom>
                    <a:noFill/>
                    <a:ln>
                      <a:noFill/>
                    </a:ln>
                  </pic:spPr>
                </pic:pic>
              </a:graphicData>
            </a:graphic>
          </wp:inline>
        </w:drawing>
      </w:r>
    </w:p>
    <w:p w14:paraId="037D3EF7">
      <w:pPr>
        <w:ind w:left="480" w:firstLine="0" w:firstLineChars="0"/>
        <w:jc w:val="center"/>
        <w:rPr>
          <w:rFonts w:hint="eastAsia"/>
          <w:b/>
          <w:bCs/>
          <w:color w:val="auto"/>
          <w:highlight w:val="none"/>
        </w:rPr>
        <w:sectPr>
          <w:pgSz w:w="16839" w:h="11905" w:orient="landscape"/>
          <w:pgMar w:top="1785" w:right="1376" w:bottom="1785" w:left="1569" w:header="862" w:footer="1009" w:gutter="0"/>
          <w:pgBorders>
            <w:top w:val="none" w:sz="0" w:space="0"/>
            <w:left w:val="none" w:sz="0" w:space="0"/>
            <w:bottom w:val="none" w:sz="0" w:space="0"/>
            <w:right w:val="none" w:sz="0" w:space="0"/>
          </w:pgBorders>
          <w:pgNumType w:fmt="decimal"/>
          <w:cols w:space="720" w:num="1"/>
        </w:sectPr>
      </w:pPr>
      <w:r>
        <w:rPr>
          <w:rFonts w:hint="eastAsia"/>
          <w:b/>
          <w:bCs/>
          <w:color w:val="auto"/>
          <w:highlight w:val="none"/>
        </w:rPr>
        <w:t xml:space="preserve">图5.3-3 </w:t>
      </w:r>
      <w:r>
        <w:rPr>
          <w:rFonts w:hint="eastAsia"/>
          <w:b/>
          <w:bCs/>
          <w:color w:val="auto"/>
          <w:highlight w:val="none"/>
          <w:lang w:val="en-US" w:eastAsia="zh-CN"/>
        </w:rPr>
        <w:t xml:space="preserve">     </w:t>
      </w:r>
      <w:r>
        <w:rPr>
          <w:rFonts w:hint="eastAsia"/>
          <w:b/>
          <w:bCs/>
          <w:color w:val="auto"/>
          <w:highlight w:val="none"/>
        </w:rPr>
        <w:t>评价区水文地质剖面图</w:t>
      </w:r>
    </w:p>
    <w:p w14:paraId="138B318D">
      <w:pPr>
        <w:pStyle w:val="6"/>
        <w:rPr>
          <w:rFonts w:hint="eastAsia"/>
          <w:color w:val="auto"/>
          <w:highlight w:val="none"/>
          <w:lang w:val="en-US" w:eastAsia="zh-CN"/>
        </w:rPr>
      </w:pPr>
      <w:r>
        <w:rPr>
          <w:rFonts w:hint="eastAsia"/>
          <w:color w:val="auto"/>
          <w:highlight w:val="none"/>
          <w:lang w:val="en-US" w:eastAsia="zh-CN"/>
        </w:rPr>
        <w:t xml:space="preserve"> 地下水补、径、排条件</w:t>
      </w:r>
    </w:p>
    <w:p w14:paraId="415CBA27">
      <w:pPr>
        <w:rPr>
          <w:color w:val="auto"/>
          <w:highlight w:val="none"/>
        </w:rPr>
      </w:pPr>
      <w:r>
        <w:rPr>
          <w:color w:val="auto"/>
          <w:highlight w:val="none"/>
        </w:rPr>
        <w:t>评价区处于多伦盆地含水系统的迳流区，各含水层的补、迳、排特征如下：</w:t>
      </w:r>
    </w:p>
    <w:p w14:paraId="12112312">
      <w:pPr>
        <w:rPr>
          <w:color w:val="auto"/>
          <w:highlight w:val="none"/>
        </w:rPr>
      </w:pPr>
      <w:r>
        <w:rPr>
          <w:color w:val="auto"/>
          <w:highlight w:val="none"/>
        </w:rPr>
        <w:t>（1）第四系中下更新统粉细砂潜水：主要补给源为大气降水，大气凝结水的下渗与西部山麓地带多伦组玄武岩水侧向迳流补给</w:t>
      </w:r>
      <w:r>
        <w:rPr>
          <w:rFonts w:hint="eastAsia"/>
          <w:color w:val="auto"/>
          <w:highlight w:val="none"/>
          <w:lang w:eastAsia="zh-CN"/>
        </w:rPr>
        <w:t>。</w:t>
      </w:r>
      <w:r>
        <w:rPr>
          <w:color w:val="auto"/>
          <w:highlight w:val="none"/>
        </w:rPr>
        <w:t>勘探区为该含水层的补给、迳流区，地下水的总体运动趋势为由西向东，向滦河河谷平原聚积。</w:t>
      </w:r>
    </w:p>
    <w:p w14:paraId="32B26172">
      <w:pPr>
        <w:rPr>
          <w:color w:val="auto"/>
          <w:highlight w:val="none"/>
        </w:rPr>
      </w:pPr>
      <w:r>
        <w:rPr>
          <w:color w:val="auto"/>
          <w:highlight w:val="none"/>
        </w:rPr>
        <w:t>（2）第三系上新统玄武岩孔洞裂隙水：该含水层主要分布于勘探的中北部、形成于上新世的几次小规模岩浆喷发，超覆于上新世湖相沉积的粘土之上，玄武岩之上普遍为粘土层。受埋藏条件的限制，仅在勘探区东界外侧粘土层变薄地段可接受第四系潜水的下渗补给，因薄层粘土的存在，玄武岩接受补给的渠道并非完全通畅，十分缓慢，以储存量为主，易疏干。</w:t>
      </w:r>
    </w:p>
    <w:p w14:paraId="7CEC5166">
      <w:pPr>
        <w:rPr>
          <w:color w:val="auto"/>
          <w:highlight w:val="none"/>
        </w:rPr>
      </w:pPr>
      <w:r>
        <w:rPr>
          <w:color w:val="auto"/>
          <w:highlight w:val="none"/>
        </w:rPr>
        <w:t>（3）第三系上新统砂砾石含水层：迳流运动方向总体为北西至南东。本区为补给、迳流区，迳流过程中，因其与下白垩统为冲刷接触，可入渗补给下白垩统砂岩含水层。</w:t>
      </w:r>
    </w:p>
    <w:p w14:paraId="24599238">
      <w:pPr>
        <w:rPr>
          <w:color w:val="auto"/>
          <w:highlight w:val="none"/>
        </w:rPr>
      </w:pPr>
      <w:r>
        <w:rPr>
          <w:color w:val="auto"/>
          <w:highlight w:val="none"/>
        </w:rPr>
        <w:t>（4）下白垩统砂岩含水层：按受补给方式有：第三系砂砾石层与煤系地层为冲刷接触，下白垩统砂岩含水层可通过</w:t>
      </w:r>
      <w:r>
        <w:rPr>
          <w:rFonts w:hint="eastAsia"/>
          <w:color w:val="auto"/>
          <w:highlight w:val="none"/>
          <w:lang w:eastAsia="zh-CN"/>
        </w:rPr>
        <w:t>“</w:t>
      </w:r>
      <w:r>
        <w:rPr>
          <w:color w:val="auto"/>
          <w:highlight w:val="none"/>
        </w:rPr>
        <w:t>天窗</w:t>
      </w:r>
      <w:r>
        <w:rPr>
          <w:rFonts w:hint="eastAsia"/>
          <w:color w:val="auto"/>
          <w:highlight w:val="none"/>
          <w:lang w:eastAsia="zh-CN"/>
        </w:rPr>
        <w:t>”</w:t>
      </w:r>
      <w:r>
        <w:rPr>
          <w:color w:val="auto"/>
          <w:highlight w:val="none"/>
        </w:rPr>
        <w:t>接受第三系砂砾石含水层的入渗补给。该含 水层受构造的控制呈向斜盆地型储水构造，地下水循环不畅。</w:t>
      </w:r>
    </w:p>
    <w:p w14:paraId="116988A3">
      <w:pPr>
        <w:pStyle w:val="5"/>
        <w:rPr>
          <w:color w:val="auto"/>
          <w:highlight w:val="none"/>
        </w:rPr>
      </w:pPr>
      <w:bookmarkStart w:id="151" w:name="_Toc56771189"/>
      <w:r>
        <w:rPr>
          <w:rFonts w:hint="eastAsia"/>
          <w:color w:val="auto"/>
          <w:highlight w:val="none"/>
        </w:rPr>
        <w:t>地下水环境影响</w:t>
      </w:r>
      <w:bookmarkEnd w:id="151"/>
      <w:r>
        <w:rPr>
          <w:rFonts w:hint="eastAsia"/>
          <w:color w:val="auto"/>
          <w:highlight w:val="none"/>
        </w:rPr>
        <w:t>预测与评价</w:t>
      </w:r>
    </w:p>
    <w:p w14:paraId="7C613B6C">
      <w:pPr>
        <w:pStyle w:val="6"/>
        <w:rPr>
          <w:rFonts w:hint="eastAsia"/>
          <w:color w:val="auto"/>
          <w:highlight w:val="none"/>
          <w:lang w:val="en-US" w:eastAsia="zh-CN"/>
        </w:rPr>
      </w:pPr>
      <w:r>
        <w:rPr>
          <w:rFonts w:hint="eastAsia"/>
          <w:color w:val="auto"/>
          <w:highlight w:val="none"/>
          <w:lang w:val="en-US" w:eastAsia="zh-CN"/>
        </w:rPr>
        <w:t xml:space="preserve"> 项目取水对地下水环境的影响预测与评价</w:t>
      </w:r>
    </w:p>
    <w:p w14:paraId="5D37DECF">
      <w:pPr>
        <w:rPr>
          <w:rFonts w:hint="eastAsia"/>
          <w:color w:val="auto"/>
          <w:highlight w:val="none"/>
        </w:rPr>
      </w:pPr>
      <w:r>
        <w:rPr>
          <w:rFonts w:hint="eastAsia"/>
          <w:color w:val="auto"/>
          <w:highlight w:val="none"/>
          <w:lang w:val="en-US" w:eastAsia="zh-CN"/>
        </w:rPr>
        <w:t>本项目用水主要为生产过程中选矿浮选系统补充水、洒水抑尘用水和厂区新增职工生活用水。选矿浮选系统补充水和洒水抑尘用水全部为拉运过来的中水；生活用水采用地下水。本项目新增生活用水量较少，仅为540m</w:t>
      </w:r>
      <w:r>
        <w:rPr>
          <w:rFonts w:hint="eastAsia"/>
          <w:color w:val="auto"/>
          <w:highlight w:val="none"/>
          <w:vertAlign w:val="superscript"/>
          <w:lang w:val="en-US" w:eastAsia="zh-CN"/>
        </w:rPr>
        <w:t>3</w:t>
      </w:r>
      <w:r>
        <w:rPr>
          <w:rFonts w:hint="eastAsia"/>
          <w:color w:val="auto"/>
          <w:highlight w:val="none"/>
          <w:lang w:val="en-US" w:eastAsia="zh-CN"/>
        </w:rPr>
        <w:t>/a，占用区域地下水资源量及评价范围内的地下水资源量微乎其微。项目的取用水不会对区域及评价区内的地下水产生影响。</w:t>
      </w:r>
    </w:p>
    <w:p w14:paraId="5DD1D94F">
      <w:pPr>
        <w:pStyle w:val="6"/>
        <w:rPr>
          <w:rFonts w:hint="eastAsia"/>
          <w:color w:val="auto"/>
          <w:highlight w:val="none"/>
          <w:lang w:val="en-US" w:eastAsia="zh-CN"/>
        </w:rPr>
      </w:pPr>
      <w:r>
        <w:rPr>
          <w:rFonts w:hint="eastAsia"/>
          <w:color w:val="auto"/>
          <w:highlight w:val="none"/>
          <w:lang w:val="en-US" w:eastAsia="zh-CN"/>
        </w:rPr>
        <w:t xml:space="preserve"> 污水下渗对地下水环境的影响预测与评价 </w:t>
      </w:r>
    </w:p>
    <w:p w14:paraId="03D91B94">
      <w:pPr>
        <w:rPr>
          <w:rFonts w:hint="eastAsia"/>
          <w:b/>
          <w:bCs/>
          <w:color w:val="auto"/>
          <w:highlight w:val="none"/>
          <w:lang w:val="en-US" w:eastAsia="zh-CN"/>
        </w:rPr>
      </w:pPr>
      <w:r>
        <w:rPr>
          <w:rFonts w:hint="eastAsia"/>
          <w:b/>
          <w:bCs/>
          <w:color w:val="auto"/>
          <w:highlight w:val="none"/>
          <w:lang w:val="en-US" w:eastAsia="zh-CN"/>
        </w:rPr>
        <w:t>（1）正常工况：</w:t>
      </w:r>
    </w:p>
    <w:p w14:paraId="44B236A5">
      <w:pPr>
        <w:rPr>
          <w:rFonts w:hint="eastAsia"/>
          <w:b w:val="0"/>
          <w:color w:val="auto"/>
          <w:kern w:val="0"/>
          <w:highlight w:val="none"/>
        </w:rPr>
      </w:pPr>
      <w:r>
        <w:rPr>
          <w:rFonts w:hint="eastAsia"/>
          <w:color w:val="auto"/>
          <w:highlight w:val="none"/>
          <w:lang w:val="en-US" w:eastAsia="zh-CN"/>
        </w:rPr>
        <w:t>本项目正常工况选矿废水经返回循环池沉淀澄清处理后，全部循环利用，不外排。</w:t>
      </w:r>
      <w:r>
        <w:rPr>
          <w:rFonts w:hint="eastAsia"/>
          <w:b w:val="0"/>
          <w:color w:val="auto"/>
          <w:kern w:val="0"/>
          <w:highlight w:val="none"/>
          <w:lang w:val="en-US" w:eastAsia="zh-CN"/>
        </w:rPr>
        <w:t>本项目生产车间、原矿堆存库、精矿石贮存库、尾矿砂贮存库及选矿水倒排沟等采取抗渗混凝土进行基础防渗，选矿循环水池池底和池壁采用1mm厚HDPE膜进行基础防渗，防渗系数均小于1</w:t>
      </w:r>
      <w:r>
        <w:rPr>
          <w:color w:val="auto"/>
          <w:highlight w:val="none"/>
        </w:rPr>
        <w:t>×</w:t>
      </w:r>
      <w:r>
        <w:rPr>
          <w:rFonts w:hint="eastAsia"/>
          <w:color w:val="auto"/>
          <w:highlight w:val="none"/>
          <w:lang w:val="en-US" w:eastAsia="zh-CN"/>
        </w:rPr>
        <w:t>10</w:t>
      </w:r>
      <w:r>
        <w:rPr>
          <w:rFonts w:hint="eastAsia"/>
          <w:color w:val="auto"/>
          <w:highlight w:val="none"/>
          <w:vertAlign w:val="superscript"/>
          <w:lang w:val="en-US" w:eastAsia="zh-CN"/>
        </w:rPr>
        <w:t>-7</w:t>
      </w:r>
      <w:r>
        <w:rPr>
          <w:rFonts w:hint="eastAsia"/>
          <w:color w:val="auto"/>
          <w:highlight w:val="none"/>
          <w:lang w:val="en-US" w:eastAsia="zh-CN"/>
        </w:rPr>
        <w:t>cm/s，</w:t>
      </w:r>
      <w:r>
        <w:rPr>
          <w:rFonts w:hint="eastAsia"/>
          <w:b w:val="0"/>
          <w:color w:val="auto"/>
          <w:kern w:val="0"/>
          <w:highlight w:val="none"/>
          <w:lang w:val="en-US" w:eastAsia="zh-CN"/>
        </w:rPr>
        <w:t>满足《环境影响评价技术导则 地下水环境》（HJ610-2016）中规定的“一般防渗区”防渗要求</w:t>
      </w:r>
      <w:r>
        <w:rPr>
          <w:rFonts w:hint="eastAsia"/>
          <w:b w:val="0"/>
          <w:color w:val="auto"/>
          <w:kern w:val="0"/>
          <w:highlight w:val="none"/>
        </w:rPr>
        <w:t>。</w:t>
      </w:r>
    </w:p>
    <w:p w14:paraId="10698E46">
      <w:pPr>
        <w:rPr>
          <w:rFonts w:hint="eastAsia"/>
          <w:b w:val="0"/>
          <w:color w:val="auto"/>
          <w:kern w:val="0"/>
          <w:highlight w:val="none"/>
        </w:rPr>
      </w:pPr>
      <w:r>
        <w:rPr>
          <w:rFonts w:hint="eastAsia"/>
          <w:b w:val="0"/>
          <w:color w:val="auto"/>
          <w:kern w:val="0"/>
          <w:highlight w:val="none"/>
          <w:lang w:val="en-US" w:eastAsia="zh-CN"/>
        </w:rPr>
        <w:t>本项目产生危险废物废机油采用全密闭桶装包装方式，并将废机油及废油桶置放在金属托盘上，</w:t>
      </w:r>
      <w:r>
        <w:rPr>
          <w:rFonts w:hint="eastAsia"/>
          <w:b w:val="0"/>
          <w:color w:val="auto"/>
          <w:kern w:val="0"/>
          <w:highlight w:val="none"/>
        </w:rPr>
        <w:t>危险废物暂存</w:t>
      </w:r>
      <w:r>
        <w:rPr>
          <w:rFonts w:hint="eastAsia"/>
          <w:b w:val="0"/>
          <w:color w:val="auto"/>
          <w:kern w:val="0"/>
          <w:highlight w:val="none"/>
          <w:lang w:val="en-US" w:eastAsia="zh-CN"/>
        </w:rPr>
        <w:t>间地面要求采用防渗层至少 1 m 厚黏土层（渗透系数不大于 10 -7 cm/s），或至少2 mm 厚高密度聚乙烯膜等人工防渗材料（渗透系数不大于 10 -10 cm/s），或其他防渗性能等效的材料，满足</w:t>
      </w:r>
      <w:r>
        <w:rPr>
          <w:rFonts w:hint="eastAsia"/>
          <w:b w:val="0"/>
          <w:color w:val="auto"/>
          <w:kern w:val="0"/>
          <w:highlight w:val="none"/>
        </w:rPr>
        <w:t>《危险废物贮存污染控制标准》（GB18597-2023）</w:t>
      </w:r>
      <w:r>
        <w:rPr>
          <w:rFonts w:hint="eastAsia"/>
          <w:b w:val="0"/>
          <w:color w:val="auto"/>
          <w:kern w:val="0"/>
          <w:highlight w:val="none"/>
          <w:lang w:val="en-US" w:eastAsia="zh-CN"/>
        </w:rPr>
        <w:t>规定的防渗要求</w:t>
      </w:r>
      <w:r>
        <w:rPr>
          <w:rFonts w:hint="eastAsia"/>
          <w:b w:val="0"/>
          <w:color w:val="auto"/>
          <w:kern w:val="0"/>
          <w:highlight w:val="none"/>
        </w:rPr>
        <w:t>。</w:t>
      </w:r>
    </w:p>
    <w:p w14:paraId="6FCDB270">
      <w:pPr>
        <w:rPr>
          <w:rFonts w:hint="eastAsia"/>
          <w:color w:val="auto"/>
          <w:highlight w:val="none"/>
          <w:lang w:val="en-US" w:eastAsia="zh-CN"/>
        </w:rPr>
      </w:pPr>
      <w:r>
        <w:rPr>
          <w:rFonts w:hint="eastAsia"/>
          <w:color w:val="auto"/>
          <w:highlight w:val="none"/>
          <w:lang w:val="en-US" w:eastAsia="zh-CN"/>
        </w:rPr>
        <w:t>本项目新增职工生活污水依托盟东水泥厂已建的20m</w:t>
      </w:r>
      <w:r>
        <w:rPr>
          <w:rFonts w:hint="eastAsia"/>
          <w:color w:val="auto"/>
          <w:highlight w:val="none"/>
          <w:vertAlign w:val="superscript"/>
          <w:lang w:val="en-US" w:eastAsia="zh-CN"/>
        </w:rPr>
        <w:t>3</w:t>
      </w:r>
      <w:r>
        <w:rPr>
          <w:rFonts w:hint="eastAsia"/>
          <w:color w:val="auto"/>
          <w:highlight w:val="none"/>
          <w:lang w:val="en-US" w:eastAsia="zh-CN"/>
        </w:rPr>
        <w:t>防渗化粪池收集处理后，</w:t>
      </w:r>
      <w:r>
        <w:rPr>
          <w:rFonts w:hint="eastAsia"/>
          <w:b w:val="0"/>
          <w:color w:val="auto"/>
          <w:kern w:val="0"/>
          <w:highlight w:val="none"/>
          <w:lang w:val="en-US" w:eastAsia="zh-CN"/>
        </w:rPr>
        <w:t>定期清运至诺尔镇污水处理厂处理</w:t>
      </w:r>
      <w:r>
        <w:rPr>
          <w:rFonts w:hint="eastAsia"/>
          <w:color w:val="auto"/>
          <w:highlight w:val="none"/>
          <w:lang w:val="en-US" w:eastAsia="zh-CN"/>
        </w:rPr>
        <w:t>。</w:t>
      </w:r>
    </w:p>
    <w:p w14:paraId="301D5C60">
      <w:pPr>
        <w:rPr>
          <w:rFonts w:hint="eastAsia"/>
          <w:color w:val="auto"/>
          <w:highlight w:val="none"/>
          <w:lang w:val="en-US" w:eastAsia="zh-CN"/>
        </w:rPr>
      </w:pPr>
      <w:r>
        <w:rPr>
          <w:rFonts w:hint="eastAsia"/>
          <w:color w:val="auto"/>
          <w:highlight w:val="none"/>
          <w:lang w:val="en-US" w:eastAsia="zh-CN"/>
        </w:rPr>
        <w:t>综上所述，本项目正常工况下，不会对地下水环境产生不利影响。</w:t>
      </w:r>
    </w:p>
    <w:p w14:paraId="15E531FD">
      <w:pPr>
        <w:rPr>
          <w:rFonts w:hint="eastAsia"/>
          <w:b/>
          <w:bCs/>
          <w:color w:val="auto"/>
          <w:highlight w:val="none"/>
          <w:lang w:val="en-US" w:eastAsia="zh-CN"/>
        </w:rPr>
      </w:pPr>
      <w:r>
        <w:rPr>
          <w:rFonts w:hint="eastAsia"/>
          <w:b/>
          <w:bCs/>
          <w:color w:val="auto"/>
          <w:highlight w:val="none"/>
          <w:lang w:val="en-US" w:eastAsia="zh-CN"/>
        </w:rPr>
        <w:t>（2）非正常工况：</w:t>
      </w:r>
    </w:p>
    <w:p w14:paraId="32E01D4B">
      <w:pPr>
        <w:rPr>
          <w:rFonts w:hint="eastAsia"/>
          <w:color w:val="auto"/>
          <w:highlight w:val="none"/>
          <w:lang w:val="en-US" w:eastAsia="zh-CN"/>
        </w:rPr>
      </w:pPr>
      <w:r>
        <w:rPr>
          <w:rFonts w:hint="eastAsia"/>
          <w:color w:val="auto"/>
          <w:highlight w:val="none"/>
          <w:lang w:val="en-US" w:eastAsia="zh-CN"/>
        </w:rPr>
        <w:t xml:space="preserve">1）情景预设 </w:t>
      </w:r>
    </w:p>
    <w:p w14:paraId="124466D9">
      <w:pPr>
        <w:rPr>
          <w:rFonts w:hint="eastAsia"/>
          <w:color w:val="auto"/>
          <w:highlight w:val="none"/>
          <w:lang w:val="en-US" w:eastAsia="zh-CN"/>
        </w:rPr>
      </w:pPr>
      <w:r>
        <w:rPr>
          <w:rFonts w:hint="eastAsia"/>
          <w:color w:val="auto"/>
          <w:highlight w:val="none"/>
          <w:lang w:val="en-US" w:eastAsia="zh-CN"/>
        </w:rPr>
        <w:t>本次评价非正常工况下，假定污水倒排沟发生泄漏，污水下渗对地下水造成污染，模型可概化为一维稳定流动一维水动力弥散问题的瞬时注入示踪剂—平面瞬时点源的预测模型。</w:t>
      </w:r>
    </w:p>
    <w:p w14:paraId="1ACFFB6B">
      <w:pPr>
        <w:rPr>
          <w:rFonts w:hint="eastAsia"/>
          <w:color w:val="auto"/>
          <w:highlight w:val="none"/>
          <w:lang w:val="en-US" w:eastAsia="zh-CN"/>
        </w:rPr>
      </w:pPr>
      <w:r>
        <w:rPr>
          <w:rFonts w:hint="eastAsia"/>
          <w:color w:val="auto"/>
          <w:highlight w:val="none"/>
          <w:lang w:val="en-US" w:eastAsia="zh-CN"/>
        </w:rPr>
        <w:t>假定排水管道出现裂口，裂口面积为0.002m</w:t>
      </w:r>
      <w:r>
        <w:rPr>
          <w:rFonts w:hint="eastAsia"/>
          <w:color w:val="auto"/>
          <w:highlight w:val="none"/>
          <w:vertAlign w:val="superscript"/>
          <w:lang w:val="en-US" w:eastAsia="zh-CN"/>
        </w:rPr>
        <w:t>2</w:t>
      </w:r>
      <w:r>
        <w:rPr>
          <w:rFonts w:hint="eastAsia"/>
          <w:color w:val="auto"/>
          <w:highlight w:val="none"/>
          <w:lang w:val="en-US" w:eastAsia="zh-CN"/>
        </w:rPr>
        <w:t>，流量10L/S，泄漏三十分钟后被发现并处理，污水泄漏量18m</w:t>
      </w:r>
      <w:r>
        <w:rPr>
          <w:rFonts w:hint="eastAsia"/>
          <w:color w:val="auto"/>
          <w:highlight w:val="none"/>
          <w:vertAlign w:val="superscript"/>
          <w:lang w:val="en-US" w:eastAsia="zh-CN"/>
        </w:rPr>
        <w:t>3</w:t>
      </w:r>
      <w:r>
        <w:rPr>
          <w:rFonts w:hint="eastAsia"/>
          <w:color w:val="auto"/>
          <w:highlight w:val="none"/>
          <w:lang w:val="en-US" w:eastAsia="zh-CN"/>
        </w:rPr>
        <w:t>。该项目评价预测因子选择COD和氟化物。污水中COD浓度以400mg/L计，则COD约为0.005t；氟化物浓度以20mg/L计，则氟化物约为0.00025t。</w:t>
      </w:r>
    </w:p>
    <w:p w14:paraId="2720669F">
      <w:pPr>
        <w:rPr>
          <w:rFonts w:hint="eastAsia"/>
          <w:color w:val="auto"/>
          <w:highlight w:val="none"/>
          <w:lang w:val="en-US" w:eastAsia="zh-CN"/>
        </w:rPr>
      </w:pPr>
      <w:r>
        <w:rPr>
          <w:rFonts w:hint="eastAsia"/>
          <w:color w:val="auto"/>
          <w:highlight w:val="none"/>
          <w:lang w:val="en-US" w:eastAsia="zh-CN"/>
        </w:rPr>
        <w:t>2）预测模型及参数选取</w:t>
      </w:r>
    </w:p>
    <w:p w14:paraId="1005125D">
      <w:pPr>
        <w:rPr>
          <w:rFonts w:hint="eastAsia"/>
          <w:color w:val="auto"/>
          <w:highlight w:val="none"/>
          <w:lang w:val="en-US" w:eastAsia="zh-CN"/>
        </w:rPr>
      </w:pPr>
      <w:r>
        <w:rPr>
          <w:rFonts w:hint="eastAsia"/>
          <w:color w:val="auto"/>
          <w:highlight w:val="none"/>
          <w:lang w:val="en-US" w:eastAsia="zh-CN"/>
        </w:rPr>
        <w:t>根据《环境影响评价技术导则地下水环境》（HJ610-2016）要求，地下水环境影响评价三级评价预测方法可以选用解析法。根据该项目地下水的污染特性选用“一维无限长多孔介质柱体，示踪剂瞬时注入预测模型”，公式如下：</w:t>
      </w:r>
    </w:p>
    <w:p w14:paraId="7F11A2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highlight w:val="none"/>
        </w:rPr>
      </w:pPr>
      <w:r>
        <w:rPr>
          <w:color w:val="auto"/>
          <w:highlight w:val="none"/>
        </w:rPr>
        <w:drawing>
          <wp:inline distT="0" distB="0" distL="114300" distR="114300">
            <wp:extent cx="2971800" cy="685800"/>
            <wp:effectExtent l="0" t="0" r="0" b="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86"/>
                    <a:stretch>
                      <a:fillRect/>
                    </a:stretch>
                  </pic:blipFill>
                  <pic:spPr>
                    <a:xfrm>
                      <a:off x="0" y="0"/>
                      <a:ext cx="2971800" cy="685800"/>
                    </a:xfrm>
                    <a:prstGeom prst="rect">
                      <a:avLst/>
                    </a:prstGeom>
                    <a:noFill/>
                    <a:ln>
                      <a:noFill/>
                    </a:ln>
                  </pic:spPr>
                </pic:pic>
              </a:graphicData>
            </a:graphic>
          </wp:inline>
        </w:drawing>
      </w:r>
    </w:p>
    <w:p w14:paraId="145E8E85">
      <w:pPr>
        <w:rPr>
          <w:rFonts w:hint="eastAsia"/>
          <w:color w:val="auto"/>
          <w:highlight w:val="none"/>
          <w:lang w:val="en-US" w:eastAsia="zh-CN"/>
        </w:rPr>
      </w:pPr>
      <w:r>
        <w:rPr>
          <w:rFonts w:hint="eastAsia"/>
          <w:color w:val="auto"/>
          <w:highlight w:val="none"/>
          <w:lang w:val="en-US" w:eastAsia="zh-CN"/>
        </w:rPr>
        <w:t>式中：x—距注入点的距离，m；t—时间，d；</w:t>
      </w:r>
    </w:p>
    <w:p w14:paraId="151FE717">
      <w:pPr>
        <w:rPr>
          <w:rFonts w:hint="eastAsia"/>
          <w:color w:val="auto"/>
          <w:highlight w:val="none"/>
          <w:lang w:val="en-US" w:eastAsia="zh-CN"/>
        </w:rPr>
      </w:pPr>
      <w:r>
        <w:rPr>
          <w:rFonts w:hint="eastAsia"/>
          <w:color w:val="auto"/>
          <w:highlight w:val="none"/>
          <w:lang w:val="en-US" w:eastAsia="zh-CN"/>
        </w:rPr>
        <w:t>C(x,t)—t时刻点x处的示踪剂浓度，g/L；</w:t>
      </w:r>
    </w:p>
    <w:p w14:paraId="73F7C20C">
      <w:pPr>
        <w:rPr>
          <w:rFonts w:hint="eastAsia"/>
          <w:color w:val="auto"/>
          <w:highlight w:val="none"/>
          <w:lang w:val="en-US" w:eastAsia="zh-CN"/>
        </w:rPr>
      </w:pPr>
      <w:r>
        <w:rPr>
          <w:rFonts w:hint="eastAsia"/>
          <w:color w:val="auto"/>
          <w:highlight w:val="none"/>
          <w:lang w:val="en-US" w:eastAsia="zh-CN"/>
        </w:rPr>
        <w:t>C</w:t>
      </w:r>
      <w:r>
        <w:rPr>
          <w:rFonts w:hint="eastAsia"/>
          <w:color w:val="auto"/>
          <w:highlight w:val="none"/>
          <w:vertAlign w:val="subscript"/>
          <w:lang w:val="en-US" w:eastAsia="zh-CN"/>
        </w:rPr>
        <w:t>0</w:t>
      </w:r>
      <w:r>
        <w:rPr>
          <w:rFonts w:hint="eastAsia"/>
          <w:color w:val="auto"/>
          <w:highlight w:val="none"/>
          <w:lang w:val="en-US" w:eastAsia="zh-CN"/>
        </w:rPr>
        <w:t>—注入示踪剂浓度，g/L；</w:t>
      </w:r>
    </w:p>
    <w:p w14:paraId="31BE53F2">
      <w:pPr>
        <w:rPr>
          <w:rFonts w:hint="eastAsia"/>
          <w:color w:val="auto"/>
          <w:highlight w:val="none"/>
          <w:lang w:val="en-US" w:eastAsia="zh-CN"/>
        </w:rPr>
      </w:pPr>
      <w:r>
        <w:rPr>
          <w:rFonts w:hint="eastAsia"/>
          <w:color w:val="auto"/>
          <w:highlight w:val="none"/>
          <w:lang w:val="en-US" w:eastAsia="zh-CN"/>
        </w:rPr>
        <w:t>u—水流速度，m/d；</w:t>
      </w:r>
    </w:p>
    <w:p w14:paraId="0B1D883B">
      <w:pPr>
        <w:rPr>
          <w:rFonts w:hint="eastAsia"/>
          <w:color w:val="auto"/>
          <w:highlight w:val="none"/>
          <w:lang w:val="en-US" w:eastAsia="zh-CN"/>
        </w:rPr>
      </w:pPr>
      <w:r>
        <w:rPr>
          <w:rFonts w:hint="eastAsia"/>
          <w:color w:val="auto"/>
          <w:highlight w:val="none"/>
          <w:lang w:val="en-US" w:eastAsia="zh-CN"/>
        </w:rPr>
        <w:t>DL—纵向弥散系数，m</w:t>
      </w:r>
      <w:r>
        <w:rPr>
          <w:rFonts w:hint="eastAsia"/>
          <w:color w:val="auto"/>
          <w:highlight w:val="none"/>
          <w:vertAlign w:val="superscript"/>
          <w:lang w:val="en-US" w:eastAsia="zh-CN"/>
        </w:rPr>
        <w:t>2</w:t>
      </w:r>
      <w:r>
        <w:rPr>
          <w:rFonts w:hint="eastAsia"/>
          <w:color w:val="auto"/>
          <w:highlight w:val="none"/>
          <w:lang w:val="en-US" w:eastAsia="zh-CN"/>
        </w:rPr>
        <w:t>/d；</w:t>
      </w:r>
    </w:p>
    <w:p w14:paraId="2F225894">
      <w:pPr>
        <w:rPr>
          <w:rFonts w:hint="eastAsia"/>
          <w:color w:val="auto"/>
          <w:highlight w:val="none"/>
          <w:lang w:val="en-US" w:eastAsia="zh-CN"/>
        </w:rPr>
      </w:pPr>
      <w:r>
        <w:rPr>
          <w:rFonts w:hint="eastAsia"/>
          <w:color w:val="auto"/>
          <w:highlight w:val="none"/>
          <w:lang w:val="en-US" w:eastAsia="zh-CN"/>
        </w:rPr>
        <w:t>erfc（ ）—余差数函数；</w:t>
      </w:r>
    </w:p>
    <w:p w14:paraId="6F427A9E">
      <w:pPr>
        <w:rPr>
          <w:rFonts w:hint="eastAsia"/>
          <w:color w:val="auto"/>
          <w:highlight w:val="none"/>
          <w:lang w:val="en-US" w:eastAsia="zh-CN"/>
        </w:rPr>
      </w:pPr>
      <w:r>
        <w:rPr>
          <w:rFonts w:hint="eastAsia"/>
          <w:color w:val="auto"/>
          <w:highlight w:val="none"/>
          <w:lang w:val="en-US" w:eastAsia="zh-CN"/>
        </w:rPr>
        <w:t>该项目所在地潜水含水层主要为粉土及粉质粘土，渗透系数参照《环境影响评价技术导则—地下水环境》（HJ610-2016）附录表B.1中的粉土质砂，取值为0.5m/d。水力坡度取0.2%。有效孔隙度取值0.2；纵向弥散系数取0.05m</w:t>
      </w:r>
      <w:r>
        <w:rPr>
          <w:rFonts w:hint="eastAsia"/>
          <w:color w:val="auto"/>
          <w:highlight w:val="none"/>
          <w:vertAlign w:val="superscript"/>
          <w:lang w:val="en-US" w:eastAsia="zh-CN"/>
        </w:rPr>
        <w:t>2</w:t>
      </w:r>
      <w:r>
        <w:rPr>
          <w:rFonts w:hint="eastAsia"/>
          <w:color w:val="auto"/>
          <w:highlight w:val="none"/>
          <w:lang w:val="en-US" w:eastAsia="zh-CN"/>
        </w:rPr>
        <w:t>/d。地下水流速0.005m/d。</w:t>
      </w:r>
    </w:p>
    <w:p w14:paraId="0BE20496">
      <w:pPr>
        <w:rPr>
          <w:rFonts w:hint="eastAsia"/>
          <w:color w:val="auto"/>
          <w:highlight w:val="none"/>
          <w:lang w:val="en-US" w:eastAsia="zh-CN"/>
        </w:rPr>
      </w:pPr>
      <w:r>
        <w:rPr>
          <w:rFonts w:hint="eastAsia"/>
          <w:color w:val="auto"/>
          <w:highlight w:val="none"/>
          <w:lang w:val="en-US" w:eastAsia="zh-CN"/>
        </w:rPr>
        <w:t>3）非正常工况下预测结果</w:t>
      </w:r>
    </w:p>
    <w:p w14:paraId="120E4967">
      <w:pPr>
        <w:rPr>
          <w:rFonts w:hint="eastAsia"/>
          <w:color w:val="auto"/>
          <w:highlight w:val="none"/>
          <w:lang w:val="en-US" w:eastAsia="zh-CN"/>
        </w:rPr>
      </w:pPr>
      <w:r>
        <w:rPr>
          <w:rFonts w:hint="eastAsia"/>
          <w:color w:val="auto"/>
          <w:highlight w:val="none"/>
          <w:lang w:val="en-US" w:eastAsia="zh-CN"/>
        </w:rPr>
        <w:t>非正常工况排水管线发生泄漏，泄漏三十分钟后被发现并处理，地下水污染模拟100天、300天、500天、1000天、3000天，污染运移预测结果如下，预测耗氧量运移预测结果见表5.3-1和图5.3-4，预测氟化物浓度—距离变化见表5.3-2和图5.3-5。</w:t>
      </w:r>
    </w:p>
    <w:p w14:paraId="0E2C0D2E">
      <w:pPr>
        <w:pStyle w:val="199"/>
        <w:spacing w:before="12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cs="Times New Roman"/>
          <w:color w:val="auto"/>
          <w:sz w:val="24"/>
          <w:highlight w:val="none"/>
          <w:lang w:val="en-US" w:eastAsia="zh-CN"/>
        </w:rPr>
        <w:t>5.3-1</w:t>
      </w:r>
      <w:r>
        <w:rPr>
          <w:rFonts w:hint="eastAsia" w:ascii="Times New Roman" w:hAnsi="Times New Roman" w:cs="Times New Roman"/>
          <w:color w:val="auto"/>
          <w:sz w:val="24"/>
          <w:highlight w:val="none"/>
        </w:rPr>
        <w:t xml:space="preserve">    排水管线泄漏后地下水中耗氧量（COD）迁移扩散预测结果</w:t>
      </w:r>
    </w:p>
    <w:tbl>
      <w:tblPr>
        <w:tblStyle w:val="297"/>
        <w:tblW w:w="5000" w:type="pct"/>
        <w:tblInd w:w="45" w:type="dxa"/>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1527"/>
        <w:gridCol w:w="1439"/>
        <w:gridCol w:w="1889"/>
        <w:gridCol w:w="1201"/>
        <w:gridCol w:w="2251"/>
      </w:tblGrid>
      <w:tr w14:paraId="669F6D59">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restart"/>
            <w:tcBorders>
              <w:tl2br w:val="nil"/>
              <w:tr2bl w:val="nil"/>
            </w:tcBorders>
            <w:noWrap w:val="0"/>
            <w:vAlign w:val="center"/>
          </w:tcPr>
          <w:p w14:paraId="3967ABB2">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6"/>
                <w:position w:val="1"/>
                <w:highlight w:val="none"/>
              </w:rPr>
              <w:t>运移时间（</w:t>
            </w:r>
            <w:r>
              <w:rPr>
                <w:rFonts w:ascii="Times New Roman" w:hAnsi="Times New Roman" w:eastAsia="Times New Roman" w:cs="Times New Roman"/>
                <w:color w:val="auto"/>
                <w:spacing w:val="6"/>
                <w:position w:val="1"/>
                <w:highlight w:val="none"/>
              </w:rPr>
              <w:t>d</w:t>
            </w:r>
            <w:r>
              <w:rPr>
                <w:color w:val="auto"/>
                <w:spacing w:val="6"/>
                <w:position w:val="1"/>
                <w:highlight w:val="none"/>
              </w:rPr>
              <w:t>）</w:t>
            </w:r>
          </w:p>
        </w:tc>
        <w:tc>
          <w:tcPr>
            <w:tcW w:w="0" w:type="auto"/>
            <w:gridSpan w:val="4"/>
            <w:tcBorders>
              <w:tl2br w:val="nil"/>
              <w:tr2bl w:val="nil"/>
            </w:tcBorders>
            <w:noWrap w:val="0"/>
            <w:vAlign w:val="center"/>
          </w:tcPr>
          <w:p w14:paraId="46979A98">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10"/>
                <w:highlight w:val="none"/>
              </w:rPr>
              <w:t>耗氧量（</w:t>
            </w:r>
            <w:r>
              <w:rPr>
                <w:rFonts w:ascii="Times New Roman" w:hAnsi="Times New Roman" w:eastAsia="Times New Roman" w:cs="Times New Roman"/>
                <w:color w:val="auto"/>
                <w:highlight w:val="none"/>
              </w:rPr>
              <w:t>COD</w:t>
            </w:r>
            <w:r>
              <w:rPr>
                <w:color w:val="auto"/>
                <w:spacing w:val="10"/>
                <w:highlight w:val="none"/>
              </w:rPr>
              <w:t>）</w:t>
            </w:r>
          </w:p>
        </w:tc>
      </w:tr>
      <w:tr w14:paraId="2C0FEF4F">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5326CB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highlight w:val="none"/>
              </w:rPr>
            </w:pPr>
          </w:p>
        </w:tc>
        <w:tc>
          <w:tcPr>
            <w:tcW w:w="0" w:type="auto"/>
            <w:tcBorders>
              <w:tl2br w:val="nil"/>
              <w:tr2bl w:val="nil"/>
            </w:tcBorders>
            <w:noWrap w:val="0"/>
            <w:vAlign w:val="center"/>
          </w:tcPr>
          <w:p w14:paraId="696BED4C">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8"/>
                <w:highlight w:val="none"/>
              </w:rPr>
            </w:pPr>
            <w:r>
              <w:rPr>
                <w:color w:val="auto"/>
                <w:spacing w:val="8"/>
                <w:highlight w:val="none"/>
              </w:rPr>
              <w:t>影响范围直径</w:t>
            </w:r>
          </w:p>
          <w:p w14:paraId="4B19B90C">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1"/>
                <w:highlight w:val="none"/>
              </w:rPr>
              <w:t>（</w:t>
            </w:r>
            <w:r>
              <w:rPr>
                <w:rFonts w:ascii="Times New Roman" w:hAnsi="Times New Roman" w:eastAsia="Times New Roman" w:cs="Times New Roman"/>
                <w:color w:val="auto"/>
                <w:spacing w:val="-1"/>
                <w:highlight w:val="none"/>
              </w:rPr>
              <w:t>m</w:t>
            </w:r>
            <w:r>
              <w:rPr>
                <w:color w:val="auto"/>
                <w:spacing w:val="-1"/>
                <w:highlight w:val="none"/>
              </w:rPr>
              <w:t>）</w:t>
            </w:r>
          </w:p>
        </w:tc>
        <w:tc>
          <w:tcPr>
            <w:tcW w:w="0" w:type="auto"/>
            <w:tcBorders>
              <w:tl2br w:val="nil"/>
              <w:tr2bl w:val="nil"/>
            </w:tcBorders>
            <w:noWrap w:val="0"/>
            <w:vAlign w:val="center"/>
          </w:tcPr>
          <w:p w14:paraId="285AF5A2">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5"/>
                <w:highlight w:val="none"/>
              </w:rPr>
            </w:pPr>
            <w:r>
              <w:rPr>
                <w:color w:val="auto"/>
                <w:spacing w:val="7"/>
                <w:highlight w:val="none"/>
              </w:rPr>
              <w:t>预测超标最远</w:t>
            </w:r>
            <w:r>
              <w:rPr>
                <w:color w:val="auto"/>
                <w:spacing w:val="5"/>
                <w:highlight w:val="none"/>
              </w:rPr>
              <w:t>距离</w:t>
            </w:r>
          </w:p>
          <w:p w14:paraId="3DE5144F">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m</w:t>
            </w:r>
            <w:r>
              <w:rPr>
                <w:color w:val="auto"/>
                <w:spacing w:val="5"/>
                <w:highlight w:val="none"/>
              </w:rPr>
              <w:t>）</w:t>
            </w:r>
          </w:p>
        </w:tc>
        <w:tc>
          <w:tcPr>
            <w:tcW w:w="0" w:type="auto"/>
            <w:tcBorders>
              <w:tl2br w:val="nil"/>
              <w:tr2bl w:val="nil"/>
            </w:tcBorders>
            <w:noWrap w:val="0"/>
            <w:vAlign w:val="center"/>
          </w:tcPr>
          <w:p w14:paraId="4BE8FC1A">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8"/>
                <w:highlight w:val="none"/>
              </w:rPr>
              <w:t>影响区面积</w:t>
            </w:r>
          </w:p>
          <w:p w14:paraId="4CED309C">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1"/>
                <w:highlight w:val="none"/>
              </w:rPr>
              <w:t>（</w:t>
            </w:r>
            <w:r>
              <w:rPr>
                <w:rFonts w:ascii="Times New Roman" w:hAnsi="Times New Roman" w:eastAsia="Times New Roman" w:cs="Times New Roman"/>
                <w:color w:val="auto"/>
                <w:spacing w:val="1"/>
                <w:highlight w:val="none"/>
              </w:rPr>
              <w:t>m</w:t>
            </w:r>
            <w:r>
              <w:rPr>
                <w:rFonts w:ascii="Times New Roman" w:hAnsi="Times New Roman" w:eastAsia="Times New Roman" w:cs="Times New Roman"/>
                <w:color w:val="auto"/>
                <w:spacing w:val="1"/>
                <w:position w:val="6"/>
                <w:sz w:val="13"/>
                <w:szCs w:val="13"/>
                <w:highlight w:val="none"/>
              </w:rPr>
              <w:t>2</w:t>
            </w:r>
            <w:r>
              <w:rPr>
                <w:color w:val="auto"/>
                <w:spacing w:val="1"/>
                <w:highlight w:val="none"/>
              </w:rPr>
              <w:t>）</w:t>
            </w:r>
          </w:p>
        </w:tc>
        <w:tc>
          <w:tcPr>
            <w:tcW w:w="0" w:type="auto"/>
            <w:tcBorders>
              <w:tl2br w:val="nil"/>
              <w:tr2bl w:val="nil"/>
            </w:tcBorders>
            <w:noWrap w:val="0"/>
            <w:vAlign w:val="center"/>
          </w:tcPr>
          <w:p w14:paraId="779C21E8">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3"/>
                <w:highlight w:val="none"/>
              </w:rPr>
              <w:t>向下游迁移</w:t>
            </w:r>
            <w:r>
              <w:rPr>
                <w:color w:val="auto"/>
                <w:spacing w:val="5"/>
                <w:highlight w:val="none"/>
              </w:rPr>
              <w:t>距离（</w:t>
            </w:r>
            <w:r>
              <w:rPr>
                <w:rFonts w:ascii="Times New Roman" w:hAnsi="Times New Roman" w:eastAsia="Times New Roman" w:cs="Times New Roman"/>
                <w:color w:val="auto"/>
                <w:spacing w:val="5"/>
                <w:highlight w:val="none"/>
              </w:rPr>
              <w:t>m</w:t>
            </w:r>
            <w:r>
              <w:rPr>
                <w:color w:val="auto"/>
                <w:spacing w:val="5"/>
                <w:highlight w:val="none"/>
              </w:rPr>
              <w:t>）</w:t>
            </w:r>
          </w:p>
        </w:tc>
      </w:tr>
      <w:tr w14:paraId="5A466AE4">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79DAC9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100</w:t>
            </w:r>
          </w:p>
        </w:tc>
        <w:tc>
          <w:tcPr>
            <w:tcW w:w="0" w:type="auto"/>
            <w:tcBorders>
              <w:tl2br w:val="nil"/>
              <w:tr2bl w:val="nil"/>
            </w:tcBorders>
            <w:noWrap w:val="0"/>
            <w:vAlign w:val="center"/>
          </w:tcPr>
          <w:p w14:paraId="1C5B65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88</w:t>
            </w:r>
          </w:p>
        </w:tc>
        <w:tc>
          <w:tcPr>
            <w:tcW w:w="0" w:type="auto"/>
            <w:tcBorders>
              <w:tl2br w:val="nil"/>
              <w:tr2bl w:val="nil"/>
            </w:tcBorders>
            <w:noWrap w:val="0"/>
            <w:vAlign w:val="center"/>
          </w:tcPr>
          <w:p w14:paraId="48349B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1714D2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2486.9</w:t>
            </w:r>
          </w:p>
        </w:tc>
        <w:tc>
          <w:tcPr>
            <w:tcW w:w="0" w:type="auto"/>
            <w:tcBorders>
              <w:tl2br w:val="nil"/>
              <w:tr2bl w:val="nil"/>
            </w:tcBorders>
            <w:noWrap w:val="0"/>
            <w:vAlign w:val="center"/>
          </w:tcPr>
          <w:p w14:paraId="2CA773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68</w:t>
            </w:r>
          </w:p>
        </w:tc>
      </w:tr>
      <w:tr w14:paraId="68F4C7E5">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6026AE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300</w:t>
            </w:r>
          </w:p>
        </w:tc>
        <w:tc>
          <w:tcPr>
            <w:tcW w:w="0" w:type="auto"/>
            <w:tcBorders>
              <w:tl2br w:val="nil"/>
              <w:tr2bl w:val="nil"/>
            </w:tcBorders>
            <w:noWrap w:val="0"/>
            <w:vAlign w:val="center"/>
          </w:tcPr>
          <w:p w14:paraId="230F22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92</w:t>
            </w:r>
          </w:p>
        </w:tc>
        <w:tc>
          <w:tcPr>
            <w:tcW w:w="0" w:type="auto"/>
            <w:tcBorders>
              <w:tl2br w:val="nil"/>
              <w:tr2bl w:val="nil"/>
            </w:tcBorders>
            <w:noWrap w:val="0"/>
            <w:vAlign w:val="center"/>
          </w:tcPr>
          <w:p w14:paraId="41A7A1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5B587C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2827.4</w:t>
            </w:r>
          </w:p>
        </w:tc>
        <w:tc>
          <w:tcPr>
            <w:tcW w:w="0" w:type="auto"/>
            <w:tcBorders>
              <w:tl2br w:val="nil"/>
              <w:tr2bl w:val="nil"/>
            </w:tcBorders>
            <w:noWrap w:val="0"/>
            <w:vAlign w:val="center"/>
          </w:tcPr>
          <w:p w14:paraId="77B2DA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106</w:t>
            </w:r>
          </w:p>
        </w:tc>
      </w:tr>
      <w:tr w14:paraId="25FA7D91">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5BC917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500</w:t>
            </w:r>
          </w:p>
        </w:tc>
        <w:tc>
          <w:tcPr>
            <w:tcW w:w="0" w:type="auto"/>
            <w:tcBorders>
              <w:tl2br w:val="nil"/>
              <w:tr2bl w:val="nil"/>
            </w:tcBorders>
            <w:noWrap w:val="0"/>
            <w:vAlign w:val="center"/>
          </w:tcPr>
          <w:p w14:paraId="77BE48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49A37E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49C1B9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529638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r>
      <w:tr w14:paraId="0962BC29">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0CEC9E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1000</w:t>
            </w:r>
          </w:p>
        </w:tc>
        <w:tc>
          <w:tcPr>
            <w:tcW w:w="0" w:type="auto"/>
            <w:tcBorders>
              <w:tl2br w:val="nil"/>
              <w:tr2bl w:val="nil"/>
            </w:tcBorders>
            <w:noWrap w:val="0"/>
            <w:vAlign w:val="center"/>
          </w:tcPr>
          <w:p w14:paraId="11DA1F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2D1E56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66D06F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69CFA0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r>
      <w:tr w14:paraId="74C76998">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6939A7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3000</w:t>
            </w:r>
          </w:p>
        </w:tc>
        <w:tc>
          <w:tcPr>
            <w:tcW w:w="0" w:type="auto"/>
            <w:tcBorders>
              <w:tl2br w:val="nil"/>
              <w:tr2bl w:val="nil"/>
            </w:tcBorders>
            <w:noWrap w:val="0"/>
            <w:vAlign w:val="center"/>
          </w:tcPr>
          <w:p w14:paraId="38E41F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1E3643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3568AC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057809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r>
    </w:tbl>
    <w:p w14:paraId="210A01D4">
      <w:pPr>
        <w:pStyle w:val="2"/>
        <w:spacing w:before="36" w:line="220" w:lineRule="auto"/>
        <w:ind w:left="501"/>
        <w:rPr>
          <w:color w:val="auto"/>
          <w:spacing w:val="-1"/>
          <w:highlight w:val="none"/>
        </w:rPr>
      </w:pPr>
      <w:r>
        <w:rPr>
          <w:color w:val="auto"/>
          <w:spacing w:val="-1"/>
          <w:highlight w:val="none"/>
        </w:rPr>
        <w:t>注：影响最远距离为污染物达到检出限值的距离。</w:t>
      </w:r>
    </w:p>
    <w:p w14:paraId="5BE55262">
      <w:pPr>
        <w:pStyle w:val="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highlight w:val="none"/>
        </w:rPr>
      </w:pPr>
    </w:p>
    <w:p w14:paraId="05912741">
      <w:pPr>
        <w:pStyle w:val="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highlight w:val="none"/>
        </w:rPr>
      </w:pPr>
    </w:p>
    <w:p w14:paraId="7935686E">
      <w:pPr>
        <w:pStyle w:val="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highlight w:val="none"/>
        </w:rPr>
      </w:pPr>
    </w:p>
    <w:p w14:paraId="5FC07D00">
      <w:pPr>
        <w:pStyle w:val="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highlight w:val="none"/>
        </w:rPr>
      </w:pPr>
    </w:p>
    <w:p w14:paraId="6693FB1E">
      <w:pPr>
        <w:pStyle w:val="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highlight w:val="none"/>
        </w:rPr>
      </w:pPr>
    </w:p>
    <w:p w14:paraId="0ADBA4DB">
      <w:pPr>
        <w:pStyle w:val="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highlight w:val="none"/>
        </w:rPr>
      </w:pPr>
    </w:p>
    <w:p w14:paraId="32190273">
      <w:pPr>
        <w:pStyle w:val="2"/>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highlight w:val="none"/>
        </w:rPr>
      </w:pPr>
      <w:r>
        <w:rPr>
          <w:color w:val="auto"/>
          <w:highlight w:val="none"/>
        </w:rPr>
        <w:drawing>
          <wp:inline distT="0" distB="0" distL="114300" distR="114300">
            <wp:extent cx="3619500" cy="5257800"/>
            <wp:effectExtent l="0" t="0" r="0" b="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87"/>
                    <a:stretch>
                      <a:fillRect/>
                    </a:stretch>
                  </pic:blipFill>
                  <pic:spPr>
                    <a:xfrm>
                      <a:off x="0" y="0"/>
                      <a:ext cx="3619500" cy="5257800"/>
                    </a:xfrm>
                    <a:prstGeom prst="rect">
                      <a:avLst/>
                    </a:prstGeom>
                    <a:noFill/>
                    <a:ln>
                      <a:noFill/>
                    </a:ln>
                  </pic:spPr>
                </pic:pic>
              </a:graphicData>
            </a:graphic>
          </wp:inline>
        </w:drawing>
      </w:r>
    </w:p>
    <w:p w14:paraId="1B620D82">
      <w:pPr>
        <w:pStyle w:val="2"/>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color w:val="auto"/>
          <w:highlight w:val="none"/>
        </w:rPr>
      </w:pPr>
      <w:r>
        <w:rPr>
          <w:color w:val="auto"/>
          <w:highlight w:val="none"/>
        </w:rPr>
        <w:drawing>
          <wp:inline distT="0" distB="0" distL="114300" distR="114300">
            <wp:extent cx="3942080" cy="2477135"/>
            <wp:effectExtent l="0" t="0" r="1270" b="18415"/>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pic:cNvPicPr>
                  </pic:nvPicPr>
                  <pic:blipFill>
                    <a:blip r:embed="rId88"/>
                    <a:stretch>
                      <a:fillRect/>
                    </a:stretch>
                  </pic:blipFill>
                  <pic:spPr>
                    <a:xfrm>
                      <a:off x="0" y="0"/>
                      <a:ext cx="3942080" cy="2477135"/>
                    </a:xfrm>
                    <a:prstGeom prst="rect">
                      <a:avLst/>
                    </a:prstGeom>
                    <a:noFill/>
                    <a:ln>
                      <a:noFill/>
                    </a:ln>
                  </pic:spPr>
                </pic:pic>
              </a:graphicData>
            </a:graphic>
          </wp:inline>
        </w:drawing>
      </w:r>
    </w:p>
    <w:p w14:paraId="5ED69704">
      <w:pPr>
        <w:ind w:left="480" w:firstLine="0" w:firstLineChars="0"/>
        <w:jc w:val="center"/>
        <w:rPr>
          <w:rFonts w:hint="eastAsia"/>
          <w:b/>
          <w:bCs/>
          <w:color w:val="auto"/>
          <w:highlight w:val="none"/>
        </w:rPr>
      </w:pPr>
      <w:r>
        <w:rPr>
          <w:rFonts w:hint="eastAsia"/>
          <w:b/>
          <w:bCs/>
          <w:color w:val="auto"/>
          <w:highlight w:val="none"/>
        </w:rPr>
        <w:t>图</w:t>
      </w:r>
      <w:r>
        <w:rPr>
          <w:rFonts w:hint="eastAsia"/>
          <w:b/>
          <w:bCs/>
          <w:color w:val="auto"/>
          <w:highlight w:val="none"/>
          <w:lang w:val="en-US" w:eastAsia="zh-CN"/>
        </w:rPr>
        <w:t>5.3</w:t>
      </w:r>
      <w:r>
        <w:rPr>
          <w:rFonts w:hint="eastAsia"/>
          <w:b/>
          <w:bCs/>
          <w:color w:val="auto"/>
          <w:highlight w:val="none"/>
        </w:rPr>
        <w:t>-4    事故工况地下水中耗氧量（COD）浓度—距离变化曲线</w:t>
      </w:r>
    </w:p>
    <w:p w14:paraId="073D7BD2">
      <w:pPr>
        <w:pStyle w:val="199"/>
        <w:spacing w:before="120"/>
        <w:rPr>
          <w:rFonts w:hint="eastAsia" w:ascii="Times New Roman" w:hAnsi="Times New Roman" w:cs="Times New Roman"/>
          <w:color w:val="auto"/>
          <w:sz w:val="24"/>
          <w:highlight w:val="none"/>
        </w:rPr>
      </w:pPr>
    </w:p>
    <w:p w14:paraId="50B117C3">
      <w:pPr>
        <w:pStyle w:val="199"/>
        <w:spacing w:before="120"/>
        <w:rPr>
          <w:rFonts w:hint="eastAsia" w:ascii="Times New Roman" w:hAnsi="Times New Roman" w:cs="Times New Roman"/>
          <w:color w:val="auto"/>
          <w:sz w:val="24"/>
          <w:highlight w:val="none"/>
        </w:rPr>
      </w:pPr>
    </w:p>
    <w:p w14:paraId="629C54EC">
      <w:pPr>
        <w:pStyle w:val="199"/>
        <w:spacing w:before="12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表</w:t>
      </w:r>
      <w:r>
        <w:rPr>
          <w:rFonts w:hint="eastAsia" w:cs="Times New Roman"/>
          <w:color w:val="auto"/>
          <w:sz w:val="24"/>
          <w:highlight w:val="none"/>
          <w:lang w:val="en-US" w:eastAsia="zh-CN"/>
        </w:rPr>
        <w:t xml:space="preserve">5.3-2 </w:t>
      </w:r>
      <w:r>
        <w:rPr>
          <w:rFonts w:hint="eastAsia" w:ascii="Times New Roman" w:hAnsi="Times New Roman" w:cs="Times New Roman"/>
          <w:color w:val="auto"/>
          <w:sz w:val="24"/>
          <w:highlight w:val="none"/>
        </w:rPr>
        <w:t xml:space="preserve">  排水管线泄漏后地下水中氟化物迁移扩散预测结果</w:t>
      </w:r>
    </w:p>
    <w:tbl>
      <w:tblPr>
        <w:tblStyle w:val="297"/>
        <w:tblW w:w="5003" w:type="pct"/>
        <w:tblInd w:w="45" w:type="dxa"/>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1658"/>
        <w:gridCol w:w="1561"/>
        <w:gridCol w:w="2047"/>
        <w:gridCol w:w="1300"/>
        <w:gridCol w:w="1746"/>
      </w:tblGrid>
      <w:tr w14:paraId="3AA5213D">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restart"/>
            <w:tcBorders>
              <w:tl2br w:val="nil"/>
              <w:tr2bl w:val="nil"/>
            </w:tcBorders>
            <w:noWrap w:val="0"/>
            <w:vAlign w:val="center"/>
          </w:tcPr>
          <w:p w14:paraId="33227DFD">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6"/>
                <w:position w:val="1"/>
                <w:highlight w:val="none"/>
              </w:rPr>
              <w:t>运移时间（</w:t>
            </w:r>
            <w:r>
              <w:rPr>
                <w:rFonts w:ascii="Times New Roman" w:hAnsi="Times New Roman" w:eastAsia="Times New Roman" w:cs="Times New Roman"/>
                <w:color w:val="auto"/>
                <w:spacing w:val="6"/>
                <w:position w:val="1"/>
                <w:highlight w:val="none"/>
              </w:rPr>
              <w:t>d</w:t>
            </w:r>
            <w:r>
              <w:rPr>
                <w:color w:val="auto"/>
                <w:spacing w:val="6"/>
                <w:position w:val="1"/>
                <w:highlight w:val="none"/>
              </w:rPr>
              <w:t>）</w:t>
            </w:r>
          </w:p>
        </w:tc>
        <w:tc>
          <w:tcPr>
            <w:tcW w:w="0" w:type="auto"/>
            <w:gridSpan w:val="4"/>
            <w:tcBorders>
              <w:tl2br w:val="nil"/>
              <w:tr2bl w:val="nil"/>
            </w:tcBorders>
            <w:noWrap w:val="0"/>
            <w:vAlign w:val="center"/>
          </w:tcPr>
          <w:p w14:paraId="76A21D22">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6"/>
                <w:highlight w:val="none"/>
              </w:rPr>
              <w:t>氟化物</w:t>
            </w:r>
          </w:p>
        </w:tc>
      </w:tr>
      <w:tr w14:paraId="2D20670F">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1A7AFB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highlight w:val="none"/>
              </w:rPr>
            </w:pPr>
          </w:p>
        </w:tc>
        <w:tc>
          <w:tcPr>
            <w:tcW w:w="0" w:type="auto"/>
            <w:tcBorders>
              <w:tl2br w:val="nil"/>
              <w:tr2bl w:val="nil"/>
            </w:tcBorders>
            <w:noWrap w:val="0"/>
            <w:vAlign w:val="center"/>
          </w:tcPr>
          <w:p w14:paraId="15670654">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8"/>
                <w:highlight w:val="none"/>
              </w:rPr>
              <w:t>影响范围直径</w:t>
            </w:r>
          </w:p>
          <w:p w14:paraId="5213D029">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1"/>
                <w:highlight w:val="none"/>
              </w:rPr>
              <w:t>（</w:t>
            </w:r>
            <w:r>
              <w:rPr>
                <w:rFonts w:ascii="Times New Roman" w:hAnsi="Times New Roman" w:eastAsia="Times New Roman" w:cs="Times New Roman"/>
                <w:color w:val="auto"/>
                <w:spacing w:val="-1"/>
                <w:highlight w:val="none"/>
              </w:rPr>
              <w:t>m</w:t>
            </w:r>
            <w:r>
              <w:rPr>
                <w:color w:val="auto"/>
                <w:spacing w:val="-1"/>
                <w:highlight w:val="none"/>
              </w:rPr>
              <w:t>）</w:t>
            </w:r>
          </w:p>
        </w:tc>
        <w:tc>
          <w:tcPr>
            <w:tcW w:w="1232" w:type="pct"/>
            <w:tcBorders>
              <w:tl2br w:val="nil"/>
              <w:tr2bl w:val="nil"/>
            </w:tcBorders>
            <w:noWrap w:val="0"/>
            <w:vAlign w:val="center"/>
          </w:tcPr>
          <w:p w14:paraId="33953A49">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5"/>
                <w:highlight w:val="none"/>
              </w:rPr>
            </w:pPr>
            <w:r>
              <w:rPr>
                <w:color w:val="auto"/>
                <w:spacing w:val="7"/>
                <w:highlight w:val="none"/>
              </w:rPr>
              <w:t>预测超标最远</w:t>
            </w:r>
            <w:r>
              <w:rPr>
                <w:color w:val="auto"/>
                <w:spacing w:val="5"/>
                <w:highlight w:val="none"/>
              </w:rPr>
              <w:t>距离</w:t>
            </w:r>
          </w:p>
          <w:p w14:paraId="5A5FE685">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m</w:t>
            </w:r>
            <w:r>
              <w:rPr>
                <w:color w:val="auto"/>
                <w:spacing w:val="5"/>
                <w:highlight w:val="none"/>
              </w:rPr>
              <w:t>）</w:t>
            </w:r>
          </w:p>
        </w:tc>
        <w:tc>
          <w:tcPr>
            <w:tcW w:w="782" w:type="pct"/>
            <w:tcBorders>
              <w:tl2br w:val="nil"/>
              <w:tr2bl w:val="nil"/>
            </w:tcBorders>
            <w:noWrap w:val="0"/>
            <w:vAlign w:val="center"/>
          </w:tcPr>
          <w:p w14:paraId="447B544F">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8"/>
                <w:highlight w:val="none"/>
              </w:rPr>
            </w:pPr>
            <w:r>
              <w:rPr>
                <w:color w:val="auto"/>
                <w:spacing w:val="8"/>
                <w:highlight w:val="none"/>
              </w:rPr>
              <w:t>影响区面积</w:t>
            </w:r>
          </w:p>
          <w:p w14:paraId="27CBEBCC">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1"/>
                <w:highlight w:val="none"/>
              </w:rPr>
              <w:t>（</w:t>
            </w:r>
            <w:r>
              <w:rPr>
                <w:rFonts w:ascii="Times New Roman" w:hAnsi="Times New Roman" w:eastAsia="Times New Roman" w:cs="Times New Roman"/>
                <w:color w:val="auto"/>
                <w:spacing w:val="1"/>
                <w:highlight w:val="none"/>
              </w:rPr>
              <w:t>m</w:t>
            </w:r>
            <w:r>
              <w:rPr>
                <w:rFonts w:ascii="Times New Roman" w:hAnsi="Times New Roman" w:eastAsia="Times New Roman" w:cs="Times New Roman"/>
                <w:color w:val="auto"/>
                <w:spacing w:val="1"/>
                <w:position w:val="6"/>
                <w:sz w:val="13"/>
                <w:szCs w:val="13"/>
                <w:highlight w:val="none"/>
              </w:rPr>
              <w:t>2</w:t>
            </w:r>
            <w:r>
              <w:rPr>
                <w:color w:val="auto"/>
                <w:spacing w:val="1"/>
                <w:highlight w:val="none"/>
              </w:rPr>
              <w:t>）</w:t>
            </w:r>
          </w:p>
        </w:tc>
        <w:tc>
          <w:tcPr>
            <w:tcW w:w="0" w:type="auto"/>
            <w:tcBorders>
              <w:tl2br w:val="nil"/>
              <w:tr2bl w:val="nil"/>
            </w:tcBorders>
            <w:noWrap w:val="0"/>
            <w:vAlign w:val="center"/>
          </w:tcPr>
          <w:p w14:paraId="72E52A5B">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5"/>
                <w:highlight w:val="none"/>
              </w:rPr>
            </w:pPr>
            <w:r>
              <w:rPr>
                <w:color w:val="auto"/>
                <w:spacing w:val="3"/>
                <w:highlight w:val="none"/>
              </w:rPr>
              <w:t>向下游迁移</w:t>
            </w:r>
            <w:r>
              <w:rPr>
                <w:color w:val="auto"/>
                <w:spacing w:val="5"/>
                <w:highlight w:val="none"/>
              </w:rPr>
              <w:t>距离</w:t>
            </w:r>
          </w:p>
          <w:p w14:paraId="3C89B666">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m</w:t>
            </w:r>
            <w:r>
              <w:rPr>
                <w:color w:val="auto"/>
                <w:spacing w:val="5"/>
                <w:highlight w:val="none"/>
              </w:rPr>
              <w:t>）</w:t>
            </w:r>
          </w:p>
        </w:tc>
      </w:tr>
      <w:tr w14:paraId="7675C564">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2A29FC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100</w:t>
            </w:r>
          </w:p>
        </w:tc>
        <w:tc>
          <w:tcPr>
            <w:tcW w:w="0" w:type="auto"/>
            <w:tcBorders>
              <w:tl2br w:val="nil"/>
              <w:tr2bl w:val="nil"/>
            </w:tcBorders>
            <w:noWrap w:val="0"/>
            <w:vAlign w:val="center"/>
          </w:tcPr>
          <w:p w14:paraId="1E89DF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63</w:t>
            </w:r>
          </w:p>
        </w:tc>
        <w:tc>
          <w:tcPr>
            <w:tcW w:w="1232" w:type="pct"/>
            <w:tcBorders>
              <w:tl2br w:val="nil"/>
              <w:tr2bl w:val="nil"/>
            </w:tcBorders>
            <w:noWrap w:val="0"/>
            <w:vAlign w:val="center"/>
          </w:tcPr>
          <w:p w14:paraId="4F330D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782" w:type="pct"/>
            <w:tcBorders>
              <w:tl2br w:val="nil"/>
              <w:tr2bl w:val="nil"/>
            </w:tcBorders>
            <w:noWrap w:val="0"/>
            <w:vAlign w:val="center"/>
          </w:tcPr>
          <w:p w14:paraId="5920FF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1186.9</w:t>
            </w:r>
          </w:p>
        </w:tc>
        <w:tc>
          <w:tcPr>
            <w:tcW w:w="0" w:type="auto"/>
            <w:tcBorders>
              <w:tl2br w:val="nil"/>
              <w:tr2bl w:val="nil"/>
            </w:tcBorders>
            <w:noWrap w:val="0"/>
            <w:vAlign w:val="center"/>
          </w:tcPr>
          <w:p w14:paraId="7556EF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53</w:t>
            </w:r>
          </w:p>
        </w:tc>
      </w:tr>
      <w:tr w14:paraId="24D20F4A">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747235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300</w:t>
            </w:r>
          </w:p>
        </w:tc>
        <w:tc>
          <w:tcPr>
            <w:tcW w:w="0" w:type="auto"/>
            <w:tcBorders>
              <w:tl2br w:val="nil"/>
              <w:tr2bl w:val="nil"/>
            </w:tcBorders>
            <w:noWrap w:val="0"/>
            <w:vAlign w:val="center"/>
          </w:tcPr>
          <w:p w14:paraId="1500EC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1232" w:type="pct"/>
            <w:tcBorders>
              <w:tl2br w:val="nil"/>
              <w:tr2bl w:val="nil"/>
            </w:tcBorders>
            <w:noWrap w:val="0"/>
            <w:vAlign w:val="center"/>
          </w:tcPr>
          <w:p w14:paraId="3DC6226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782" w:type="pct"/>
            <w:tcBorders>
              <w:tl2br w:val="nil"/>
              <w:tr2bl w:val="nil"/>
            </w:tcBorders>
            <w:noWrap w:val="0"/>
            <w:vAlign w:val="center"/>
          </w:tcPr>
          <w:p w14:paraId="49B5E8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highlight w:val="none"/>
              </w:rPr>
            </w:pPr>
          </w:p>
        </w:tc>
        <w:tc>
          <w:tcPr>
            <w:tcW w:w="0" w:type="auto"/>
            <w:tcBorders>
              <w:tl2br w:val="nil"/>
              <w:tr2bl w:val="nil"/>
            </w:tcBorders>
            <w:noWrap w:val="0"/>
            <w:vAlign w:val="center"/>
          </w:tcPr>
          <w:p w14:paraId="350E73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color w:val="auto"/>
                <w:sz w:val="21"/>
                <w:highlight w:val="none"/>
              </w:rPr>
            </w:pPr>
          </w:p>
        </w:tc>
      </w:tr>
      <w:tr w14:paraId="1E358A8B">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62AE57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500</w:t>
            </w:r>
          </w:p>
        </w:tc>
        <w:tc>
          <w:tcPr>
            <w:tcW w:w="0" w:type="auto"/>
            <w:tcBorders>
              <w:tl2br w:val="nil"/>
              <w:tr2bl w:val="nil"/>
            </w:tcBorders>
            <w:noWrap w:val="0"/>
            <w:vAlign w:val="center"/>
          </w:tcPr>
          <w:p w14:paraId="705025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1232" w:type="pct"/>
            <w:tcBorders>
              <w:tl2br w:val="nil"/>
              <w:tr2bl w:val="nil"/>
            </w:tcBorders>
            <w:noWrap w:val="0"/>
            <w:vAlign w:val="center"/>
          </w:tcPr>
          <w:p w14:paraId="01B91A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782" w:type="pct"/>
            <w:tcBorders>
              <w:tl2br w:val="nil"/>
              <w:tr2bl w:val="nil"/>
            </w:tcBorders>
            <w:noWrap w:val="0"/>
            <w:vAlign w:val="center"/>
          </w:tcPr>
          <w:p w14:paraId="34FB3A7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42361B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r>
      <w:tr w14:paraId="2DB1503A">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11299F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1000</w:t>
            </w:r>
          </w:p>
        </w:tc>
        <w:tc>
          <w:tcPr>
            <w:tcW w:w="0" w:type="auto"/>
            <w:tcBorders>
              <w:tl2br w:val="nil"/>
              <w:tr2bl w:val="nil"/>
            </w:tcBorders>
            <w:noWrap w:val="0"/>
            <w:vAlign w:val="center"/>
          </w:tcPr>
          <w:p w14:paraId="6FC2C9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1232" w:type="pct"/>
            <w:tcBorders>
              <w:tl2br w:val="nil"/>
              <w:tr2bl w:val="nil"/>
            </w:tcBorders>
            <w:noWrap w:val="0"/>
            <w:vAlign w:val="center"/>
          </w:tcPr>
          <w:p w14:paraId="5FFCE1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782" w:type="pct"/>
            <w:tcBorders>
              <w:tl2br w:val="nil"/>
              <w:tr2bl w:val="nil"/>
            </w:tcBorders>
            <w:noWrap w:val="0"/>
            <w:vAlign w:val="center"/>
          </w:tcPr>
          <w:p w14:paraId="5A639E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6ED91A0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r>
      <w:tr w14:paraId="1BDEC90D">
        <w:tblPrEx>
          <w:tblBorders>
            <w:top w:val="single" w:color="000000" w:sz="12" w:space="0"/>
            <w:left w:val="dotted" w:color="000000" w:sz="2" w:space="0"/>
            <w:bottom w:val="single" w:color="000000" w:sz="12" w:space="0"/>
            <w:right w:val="dotted"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5BDB38D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3000</w:t>
            </w:r>
          </w:p>
        </w:tc>
        <w:tc>
          <w:tcPr>
            <w:tcW w:w="0" w:type="auto"/>
            <w:tcBorders>
              <w:tl2br w:val="nil"/>
              <w:tr2bl w:val="nil"/>
            </w:tcBorders>
            <w:noWrap w:val="0"/>
            <w:vAlign w:val="center"/>
          </w:tcPr>
          <w:p w14:paraId="31879A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1232" w:type="pct"/>
            <w:tcBorders>
              <w:tl2br w:val="nil"/>
              <w:tr2bl w:val="nil"/>
            </w:tcBorders>
            <w:noWrap w:val="0"/>
            <w:vAlign w:val="center"/>
          </w:tcPr>
          <w:p w14:paraId="1A7FD6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782" w:type="pct"/>
            <w:tcBorders>
              <w:tl2br w:val="nil"/>
              <w:tr2bl w:val="nil"/>
            </w:tcBorders>
            <w:noWrap w:val="0"/>
            <w:vAlign w:val="center"/>
          </w:tcPr>
          <w:p w14:paraId="4C3FDE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c>
          <w:tcPr>
            <w:tcW w:w="0" w:type="auto"/>
            <w:tcBorders>
              <w:tl2br w:val="nil"/>
              <w:tr2bl w:val="nil"/>
            </w:tcBorders>
            <w:noWrap w:val="0"/>
            <w:vAlign w:val="center"/>
          </w:tcPr>
          <w:p w14:paraId="5068D9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position w:val="1"/>
                <w:sz w:val="20"/>
                <w:szCs w:val="20"/>
                <w:highlight w:val="none"/>
              </w:rPr>
              <w:t>/</w:t>
            </w:r>
          </w:p>
        </w:tc>
      </w:tr>
    </w:tbl>
    <w:p w14:paraId="0EE292BE">
      <w:pPr>
        <w:pStyle w:val="2"/>
        <w:spacing w:before="36" w:line="220" w:lineRule="auto"/>
        <w:ind w:left="501"/>
        <w:rPr>
          <w:color w:val="auto"/>
          <w:spacing w:val="-1"/>
          <w:highlight w:val="none"/>
        </w:rPr>
      </w:pPr>
      <w:r>
        <w:rPr>
          <w:color w:val="auto"/>
          <w:spacing w:val="-1"/>
          <w:highlight w:val="none"/>
        </w:rPr>
        <w:t>注：影响最远距离为污染物达到检出限值的距离。</w:t>
      </w:r>
    </w:p>
    <w:p w14:paraId="61ECB33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b/>
          <w:bCs/>
          <w:color w:val="auto"/>
          <w:highlight w:val="none"/>
        </w:rPr>
      </w:pPr>
      <w:r>
        <w:rPr>
          <w:color w:val="auto"/>
          <w:highlight w:val="none"/>
        </w:rPr>
        <w:drawing>
          <wp:inline distT="0" distB="0" distL="114300" distR="114300">
            <wp:extent cx="4558665" cy="6174740"/>
            <wp:effectExtent l="0" t="0" r="13335" b="16510"/>
            <wp:docPr id="4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5"/>
                    <pic:cNvPicPr>
                      <a:picLocks noChangeAspect="1"/>
                    </pic:cNvPicPr>
                  </pic:nvPicPr>
                  <pic:blipFill>
                    <a:blip r:embed="rId89"/>
                    <a:stretch>
                      <a:fillRect/>
                    </a:stretch>
                  </pic:blipFill>
                  <pic:spPr>
                    <a:xfrm>
                      <a:off x="0" y="0"/>
                      <a:ext cx="4558665" cy="6174740"/>
                    </a:xfrm>
                    <a:prstGeom prst="rect">
                      <a:avLst/>
                    </a:prstGeom>
                    <a:noFill/>
                    <a:ln>
                      <a:noFill/>
                    </a:ln>
                  </pic:spPr>
                </pic:pic>
              </a:graphicData>
            </a:graphic>
          </wp:inline>
        </w:drawing>
      </w:r>
    </w:p>
    <w:p w14:paraId="344F253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b/>
          <w:bCs/>
          <w:color w:val="auto"/>
          <w:highlight w:val="none"/>
        </w:rPr>
      </w:pPr>
      <w:r>
        <w:rPr>
          <w:rFonts w:hint="eastAsia"/>
          <w:b/>
          <w:bCs/>
          <w:color w:val="auto"/>
          <w:highlight w:val="none"/>
        </w:rPr>
        <w:t>图</w:t>
      </w:r>
      <w:r>
        <w:rPr>
          <w:rFonts w:hint="eastAsia"/>
          <w:b/>
          <w:bCs/>
          <w:color w:val="auto"/>
          <w:highlight w:val="none"/>
          <w:lang w:val="en-US" w:eastAsia="zh-CN"/>
        </w:rPr>
        <w:t>5.3-5</w:t>
      </w:r>
      <w:r>
        <w:rPr>
          <w:rFonts w:hint="eastAsia"/>
          <w:b/>
          <w:bCs/>
          <w:color w:val="auto"/>
          <w:highlight w:val="none"/>
        </w:rPr>
        <w:t xml:space="preserve"> 事故工况地下水中氟化物浓度—距离变化曲线（X为地下水径流方向）</w:t>
      </w:r>
    </w:p>
    <w:p w14:paraId="7CB9FBA5">
      <w:pPr>
        <w:rPr>
          <w:rFonts w:hint="eastAsia"/>
          <w:color w:val="auto"/>
          <w:highlight w:val="none"/>
          <w:lang w:val="en-US" w:eastAsia="zh-CN"/>
        </w:rPr>
      </w:pPr>
      <w:r>
        <w:rPr>
          <w:rFonts w:hint="eastAsia"/>
          <w:color w:val="auto"/>
          <w:highlight w:val="none"/>
          <w:lang w:val="en-US" w:eastAsia="zh-CN"/>
        </w:rPr>
        <w:t>根据上述预测可知，废水入渗至地下水中COD污染因子100天和300天预测均未出现超标现象，影响最远距离为106m，影响范围面积为2827.4m</w:t>
      </w:r>
      <w:r>
        <w:rPr>
          <w:rFonts w:hint="eastAsia"/>
          <w:color w:val="auto"/>
          <w:highlight w:val="none"/>
          <w:vertAlign w:val="superscript"/>
          <w:lang w:val="en-US" w:eastAsia="zh-CN"/>
        </w:rPr>
        <w:t>2</w:t>
      </w:r>
      <w:r>
        <w:rPr>
          <w:rFonts w:hint="eastAsia"/>
          <w:color w:val="auto"/>
          <w:highlight w:val="none"/>
          <w:lang w:val="en-US" w:eastAsia="zh-CN"/>
        </w:rPr>
        <w:t>；氟化物污染因子100天预测未出现超标范围，影响最远距离为53m，影响范围面积为1186.9m</w:t>
      </w:r>
      <w:r>
        <w:rPr>
          <w:rFonts w:hint="eastAsia"/>
          <w:color w:val="auto"/>
          <w:highlight w:val="none"/>
          <w:vertAlign w:val="superscript"/>
          <w:lang w:val="en-US" w:eastAsia="zh-CN"/>
        </w:rPr>
        <w:t>2</w:t>
      </w:r>
      <w:r>
        <w:rPr>
          <w:rFonts w:hint="eastAsia"/>
          <w:color w:val="auto"/>
          <w:highlight w:val="none"/>
          <w:lang w:val="en-US" w:eastAsia="zh-CN"/>
        </w:rPr>
        <w:t>；300天后氟化物低于检测限，影响范围消失。各污染因子500天、1000天后不会对评价区内地下水保护目标产生影响。计算周期内污染影响范围随着时间扩大，污染物的浓度逐渐降低，均未出现污染超标范围，且本项目周边没有水井等除含水层之外的其它地下水环境保护目标，非正常工况下COD和氟化物对地下水影响范围有限。</w:t>
      </w:r>
    </w:p>
    <w:p w14:paraId="7A24F565">
      <w:pPr>
        <w:rPr>
          <w:rFonts w:hint="eastAsia"/>
          <w:color w:val="auto"/>
          <w:highlight w:val="none"/>
          <w:lang w:val="en-US" w:eastAsia="zh-CN"/>
        </w:rPr>
      </w:pPr>
      <w:r>
        <w:rPr>
          <w:rFonts w:hint="eastAsia"/>
          <w:color w:val="auto"/>
          <w:highlight w:val="none"/>
          <w:lang w:val="en-US" w:eastAsia="zh-CN"/>
        </w:rPr>
        <w:t>（4）预测结论</w:t>
      </w:r>
    </w:p>
    <w:p w14:paraId="4423B608">
      <w:pPr>
        <w:rPr>
          <w:rFonts w:hint="eastAsia"/>
          <w:color w:val="auto"/>
          <w:highlight w:val="none"/>
          <w:lang w:val="en-US" w:eastAsia="zh-CN"/>
        </w:rPr>
      </w:pPr>
      <w:r>
        <w:rPr>
          <w:rFonts w:hint="eastAsia"/>
          <w:color w:val="auto"/>
          <w:highlight w:val="none"/>
          <w:lang w:val="en-US" w:eastAsia="zh-CN"/>
        </w:rPr>
        <w:t>根据预测评价结果：在非正常工况下，企业需完善污水排放管线管道、水池等设施的监测和防渗，并按照规定的监测频率及时对地下水进行监测，发现泄漏了第一时间切断泄漏点，地下水中耗氧量（COD）、氟化物污染影响范围可控制在渗漏点附近的较小的区域内，在评价期内，正常及事故工况下均未出现超标范围，影响范围未超出厂区范围。项目区包气带防污性能中等，评价期 内不会导致地下水污染物超标，不会对地下水水质产生明显影响。根据预测结果，污染物泄漏后如果采取处理措施及时治理，泄漏废水对潜水含水层产生的影响十分有限。</w:t>
      </w:r>
    </w:p>
    <w:p w14:paraId="3339E572">
      <w:pPr>
        <w:rPr>
          <w:rFonts w:hint="eastAsia"/>
          <w:color w:val="auto"/>
          <w:highlight w:val="none"/>
          <w:lang w:val="en-US" w:eastAsia="zh-CN"/>
        </w:rPr>
      </w:pPr>
      <w:r>
        <w:rPr>
          <w:rFonts w:hint="eastAsia"/>
          <w:color w:val="auto"/>
          <w:highlight w:val="none"/>
          <w:lang w:val="en-US" w:eastAsia="zh-CN"/>
        </w:rPr>
        <w:t>根据《环境影响评价技术导则-地下水环境》（HJ610-2016），本项目在建设项目各个不同阶段，除场界污染泄漏点小范围以外地区，均能满足地下水质量标准中相关要求，从地下水环境保护角度分析，本建设项目可行。</w:t>
      </w:r>
    </w:p>
    <w:p w14:paraId="033AE305">
      <w:pPr>
        <w:pStyle w:val="4"/>
        <w:pageBreakBefore/>
        <w:spacing w:before="120" w:after="120"/>
        <w:rPr>
          <w:color w:val="auto"/>
          <w:highlight w:val="none"/>
        </w:rPr>
      </w:pPr>
      <w:bookmarkStart w:id="152" w:name="_Toc24447141"/>
      <w:bookmarkStart w:id="153" w:name="_Toc361"/>
      <w:bookmarkStart w:id="154" w:name="_Toc24340228"/>
      <w:bookmarkStart w:id="155" w:name="_Toc24447623"/>
      <w:bookmarkStart w:id="156" w:name="_Toc58916163"/>
      <w:r>
        <w:rPr>
          <w:rFonts w:hint="eastAsia"/>
          <w:color w:val="auto"/>
          <w:highlight w:val="none"/>
        </w:rPr>
        <w:t>地表水环境影响分析</w:t>
      </w:r>
      <w:bookmarkEnd w:id="152"/>
      <w:bookmarkEnd w:id="153"/>
      <w:bookmarkEnd w:id="154"/>
      <w:bookmarkEnd w:id="155"/>
      <w:bookmarkEnd w:id="156"/>
    </w:p>
    <w:p w14:paraId="6CEBE7A7">
      <w:pPr>
        <w:ind w:firstLine="480"/>
        <w:rPr>
          <w:rFonts w:hint="eastAsia"/>
          <w:color w:val="auto"/>
          <w:highlight w:val="none"/>
          <w:lang w:val="en-US" w:eastAsia="zh-CN"/>
        </w:rPr>
      </w:pPr>
      <w:r>
        <w:rPr>
          <w:rFonts w:hint="eastAsia"/>
          <w:color w:val="auto"/>
          <w:highlight w:val="none"/>
          <w:lang w:val="en-US" w:eastAsia="zh-CN"/>
        </w:rPr>
        <w:t>根据前述“2.4.3 地表水环境影响评价”章节的分析，判定本项目地表水环境影响评价等级为三级B评价。根据《环境影响评价技术导则 地表水环境》（HJ2.3-2018）的地表水环境影响预测与评价的总体要求，水污染型三级B评价可不进行水环境影响预测，仅对水污染控制和水环境影响减缓措施有效性进行评价。</w:t>
      </w:r>
    </w:p>
    <w:p w14:paraId="291348CC">
      <w:pPr>
        <w:pStyle w:val="6"/>
        <w:rPr>
          <w:rFonts w:hint="eastAsia"/>
          <w:color w:val="auto"/>
          <w:highlight w:val="none"/>
          <w:lang w:val="en-US" w:eastAsia="zh-CN"/>
        </w:rPr>
      </w:pPr>
      <w:r>
        <w:rPr>
          <w:rFonts w:hint="eastAsia"/>
          <w:color w:val="auto"/>
          <w:highlight w:val="none"/>
          <w:lang w:val="en-US" w:eastAsia="zh-CN"/>
        </w:rPr>
        <w:t xml:space="preserve"> 废水处置措施可行性分析</w:t>
      </w:r>
    </w:p>
    <w:p w14:paraId="28058372">
      <w:pPr>
        <w:ind w:firstLine="480"/>
        <w:rPr>
          <w:rFonts w:hint="eastAsia"/>
          <w:color w:val="auto"/>
          <w:highlight w:val="none"/>
          <w:lang w:val="en-US" w:eastAsia="zh-CN"/>
        </w:rPr>
      </w:pPr>
      <w:r>
        <w:rPr>
          <w:rFonts w:hint="eastAsia"/>
          <w:color w:val="auto"/>
          <w:highlight w:val="none"/>
          <w:lang w:val="en-US" w:eastAsia="zh-CN"/>
        </w:rPr>
        <w:t>（1）选矿废水（W1、W2、W3、W4）</w:t>
      </w:r>
    </w:p>
    <w:p w14:paraId="0A586963">
      <w:pPr>
        <w:ind w:firstLine="480"/>
        <w:rPr>
          <w:rFonts w:hint="eastAsia"/>
          <w:color w:val="auto"/>
          <w:highlight w:val="none"/>
          <w:lang w:val="en-US" w:eastAsia="zh-CN"/>
        </w:rPr>
      </w:pPr>
      <w:r>
        <w:rPr>
          <w:rFonts w:hint="eastAsia"/>
          <w:color w:val="auto"/>
          <w:highlight w:val="none"/>
          <w:lang w:val="en-US" w:eastAsia="zh-CN"/>
        </w:rPr>
        <w:t>萤石精粉和尾矿浆分别进入各自浓密罐，经浓密罐沉淀的上清液以及压滤机压滤沉淀后收集于循环水池，后回用于生产，形成闭路循环，不外排。本次评价要求对浮选车间地面做好防渗防漏工作，同时四周设置集水沟，车间流出的少量渗滤液经收集，同尾砂压滤水一并沉淀处理后返回循环水池，回用于生产工序，避免随意排放。</w:t>
      </w:r>
    </w:p>
    <w:p w14:paraId="4BDA8A79">
      <w:pPr>
        <w:ind w:firstLine="480"/>
        <w:rPr>
          <w:rFonts w:hint="eastAsia"/>
          <w:color w:val="auto"/>
          <w:highlight w:val="none"/>
          <w:lang w:val="en-US" w:eastAsia="zh-CN"/>
        </w:rPr>
      </w:pPr>
      <w:r>
        <w:rPr>
          <w:rFonts w:hint="eastAsia"/>
          <w:color w:val="auto"/>
          <w:highlight w:val="none"/>
          <w:lang w:val="en-US" w:eastAsia="zh-CN"/>
        </w:rPr>
        <w:t>（2）生活污水（W5）</w:t>
      </w:r>
    </w:p>
    <w:p w14:paraId="2314C69E">
      <w:pPr>
        <w:ind w:firstLine="480"/>
        <w:rPr>
          <w:rFonts w:hint="eastAsia"/>
          <w:color w:val="auto"/>
          <w:highlight w:val="none"/>
          <w:lang w:val="en-US" w:eastAsia="zh-CN"/>
        </w:rPr>
      </w:pPr>
      <w:r>
        <w:rPr>
          <w:rFonts w:hint="eastAsia"/>
          <w:color w:val="auto"/>
          <w:highlight w:val="none"/>
          <w:lang w:val="en-US" w:eastAsia="zh-CN"/>
        </w:rPr>
        <w:t>本项目生活生活污水产生量为量1.44m</w:t>
      </w:r>
      <w:r>
        <w:rPr>
          <w:rFonts w:hint="eastAsia"/>
          <w:color w:val="auto"/>
          <w:highlight w:val="none"/>
          <w:vertAlign w:val="superscript"/>
          <w:lang w:val="en-US" w:eastAsia="zh-CN"/>
        </w:rPr>
        <w:t>3</w:t>
      </w:r>
      <w:r>
        <w:rPr>
          <w:rFonts w:hint="eastAsia"/>
          <w:color w:val="auto"/>
          <w:highlight w:val="none"/>
          <w:lang w:val="en-US" w:eastAsia="zh-CN"/>
        </w:rPr>
        <w:t>/d（432m</w:t>
      </w:r>
      <w:r>
        <w:rPr>
          <w:rFonts w:hint="eastAsia"/>
          <w:color w:val="auto"/>
          <w:highlight w:val="none"/>
          <w:vertAlign w:val="superscript"/>
          <w:lang w:val="en-US" w:eastAsia="zh-CN"/>
        </w:rPr>
        <w:t>3</w:t>
      </w:r>
      <w:r>
        <w:rPr>
          <w:rFonts w:hint="eastAsia"/>
          <w:color w:val="auto"/>
          <w:highlight w:val="none"/>
          <w:lang w:val="en-US" w:eastAsia="zh-CN"/>
        </w:rPr>
        <w:t>/a）。生活污水中主要污染物包括pH、COD、BOD</w:t>
      </w:r>
      <w:r>
        <w:rPr>
          <w:rFonts w:hint="eastAsia"/>
          <w:color w:val="auto"/>
          <w:highlight w:val="none"/>
          <w:vertAlign w:val="superscript"/>
          <w:lang w:val="en-US" w:eastAsia="zh-CN"/>
        </w:rPr>
        <w:t>5</w:t>
      </w:r>
      <w:r>
        <w:rPr>
          <w:rFonts w:hint="eastAsia"/>
          <w:color w:val="auto"/>
          <w:highlight w:val="none"/>
          <w:lang w:val="en-US" w:eastAsia="zh-CN"/>
        </w:rPr>
        <w:t>、SS、NH</w:t>
      </w:r>
      <w:r>
        <w:rPr>
          <w:rFonts w:hint="eastAsia"/>
          <w:color w:val="auto"/>
          <w:highlight w:val="none"/>
          <w:vertAlign w:val="superscript"/>
          <w:lang w:val="en-US" w:eastAsia="zh-CN"/>
        </w:rPr>
        <w:t>3</w:t>
      </w:r>
      <w:r>
        <w:rPr>
          <w:rFonts w:hint="eastAsia"/>
          <w:color w:val="auto"/>
          <w:highlight w:val="none"/>
          <w:lang w:val="en-US" w:eastAsia="zh-CN"/>
        </w:rPr>
        <w:t>-N等，均为二类污染物种类，水质浓度较低，满足《污水综合排放标准》（GB8978-1996）三级标准要求。本项目生活污水依托盟东水泥厂办公区现有容积为20m</w:t>
      </w:r>
      <w:r>
        <w:rPr>
          <w:rFonts w:hint="eastAsia"/>
          <w:color w:val="auto"/>
          <w:highlight w:val="none"/>
          <w:vertAlign w:val="superscript"/>
          <w:lang w:val="en-US" w:eastAsia="zh-CN"/>
        </w:rPr>
        <w:t>3</w:t>
      </w:r>
      <w:r>
        <w:rPr>
          <w:rFonts w:hint="eastAsia"/>
          <w:color w:val="auto"/>
          <w:highlight w:val="none"/>
          <w:lang w:val="en-US" w:eastAsia="zh-CN"/>
        </w:rPr>
        <w:t>化粪池收集处理，现有化粪池满足收集容纳本项目新增污水量。化粪池收集的生活污水定期拉运至诺尔镇污水处理厂集中处理，不外排。</w:t>
      </w:r>
    </w:p>
    <w:p w14:paraId="5CD8AB89">
      <w:pPr>
        <w:ind w:firstLine="480"/>
        <w:rPr>
          <w:rFonts w:hint="eastAsia"/>
          <w:color w:val="auto"/>
          <w:highlight w:val="none"/>
        </w:rPr>
      </w:pPr>
      <w:r>
        <w:rPr>
          <w:rFonts w:hint="eastAsia"/>
          <w:color w:val="auto"/>
          <w:highlight w:val="none"/>
        </w:rPr>
        <w:t>综上所述，本项目产生的废水都可以得到妥善处理，废水均不会直接排入水体环境中，不会造成环境污染。</w:t>
      </w:r>
    </w:p>
    <w:p w14:paraId="3EA64B67">
      <w:pPr>
        <w:pStyle w:val="6"/>
        <w:rPr>
          <w:rFonts w:hint="eastAsia"/>
          <w:color w:val="auto"/>
          <w:highlight w:val="none"/>
          <w:lang w:val="en-US" w:eastAsia="zh-CN"/>
        </w:rPr>
      </w:pPr>
      <w:r>
        <w:rPr>
          <w:rFonts w:hint="eastAsia"/>
          <w:color w:val="auto"/>
          <w:highlight w:val="none"/>
          <w:lang w:val="en-US" w:eastAsia="zh-CN"/>
        </w:rPr>
        <w:t xml:space="preserve"> 非正常工况下地表水环境影响分析</w:t>
      </w:r>
    </w:p>
    <w:p w14:paraId="2E7536A8">
      <w:pPr>
        <w:ind w:firstLine="480"/>
        <w:rPr>
          <w:rFonts w:hint="eastAsia"/>
          <w:color w:val="auto"/>
          <w:highlight w:val="none"/>
          <w:lang w:val="en-US" w:eastAsia="zh-CN"/>
        </w:rPr>
      </w:pPr>
      <w:r>
        <w:rPr>
          <w:rFonts w:hint="eastAsia"/>
          <w:color w:val="auto"/>
          <w:highlight w:val="none"/>
          <w:lang w:val="en-US" w:eastAsia="zh-CN"/>
        </w:rPr>
        <w:t>本项目运营期所有原辅料、产品和固体废物均贮存于全封闭的贮存库金和生产车间内，生产设施均不设在生产车间内，故项目不涉及露天堆放的有毒有害易燃易爆危险物质和露天生产装置区，因此本项目不涉及初期雨水。</w:t>
      </w:r>
    </w:p>
    <w:p w14:paraId="21D2A61A">
      <w:pPr>
        <w:ind w:firstLine="480"/>
        <w:rPr>
          <w:rFonts w:hint="eastAsia"/>
          <w:color w:val="auto"/>
          <w:highlight w:val="none"/>
          <w:lang w:val="en-US" w:eastAsia="zh-CN"/>
        </w:rPr>
      </w:pPr>
      <w:r>
        <w:rPr>
          <w:rFonts w:hint="eastAsia"/>
          <w:color w:val="auto"/>
          <w:highlight w:val="none"/>
          <w:lang w:val="en-US" w:eastAsia="zh-CN"/>
        </w:rPr>
        <w:t>根据对同类选厂运行情况的调查，当浮选机和渣浆泵等设备发生故障或停电时可能造成系统内矿浆外溢，导致事故排污。为避免上述非正常排放的发生，本项目需加强日常对生产设备球磨机、浮选机等设备的维护，避免非正常事故的发生，同时本项目在生产车间设计倒排沟，将事故排放矿浆水收集到循环水池，经沉淀澄清处理后回用，不外排。</w:t>
      </w:r>
    </w:p>
    <w:p w14:paraId="2050C5CA">
      <w:pPr>
        <w:ind w:firstLine="480"/>
        <w:rPr>
          <w:rFonts w:hint="eastAsia"/>
          <w:color w:val="auto"/>
          <w:highlight w:val="none"/>
          <w:lang w:val="en-US" w:eastAsia="zh-CN"/>
        </w:rPr>
      </w:pPr>
      <w:r>
        <w:rPr>
          <w:rFonts w:hint="eastAsia"/>
          <w:color w:val="auto"/>
          <w:highlight w:val="none"/>
          <w:lang w:val="en-US" w:eastAsia="zh-CN"/>
        </w:rPr>
        <w:t>故本项目非正常工况下，不会对地表水环境造成影响。</w:t>
      </w:r>
    </w:p>
    <w:p w14:paraId="4E8BA00F">
      <w:pPr>
        <w:pStyle w:val="6"/>
        <w:rPr>
          <w:rFonts w:hint="eastAsia"/>
          <w:color w:val="auto"/>
          <w:highlight w:val="none"/>
          <w:lang w:val="en-US" w:eastAsia="zh-CN"/>
        </w:rPr>
      </w:pPr>
      <w:r>
        <w:rPr>
          <w:rFonts w:hint="eastAsia"/>
          <w:color w:val="auto"/>
          <w:highlight w:val="none"/>
          <w:lang w:val="en-US" w:eastAsia="zh-CN"/>
        </w:rPr>
        <w:t xml:space="preserve"> 地表水环境影响评价结论</w:t>
      </w:r>
    </w:p>
    <w:p w14:paraId="384E9174">
      <w:pPr>
        <w:ind w:firstLine="480"/>
        <w:rPr>
          <w:rFonts w:hint="eastAsia"/>
          <w:color w:val="auto"/>
          <w:highlight w:val="none"/>
          <w:lang w:val="en-US" w:eastAsia="zh-CN"/>
        </w:rPr>
      </w:pPr>
      <w:r>
        <w:rPr>
          <w:rFonts w:hint="eastAsia"/>
          <w:color w:val="auto"/>
          <w:highlight w:val="none"/>
          <w:lang w:val="en-US" w:eastAsia="zh-CN"/>
        </w:rPr>
        <w:t>综上所述，本项目产生的生产废水全部循环利用，不外排；生活污水定期拉运至诺尔镇污水处理厂集中处理，不外排。项目拟采取的水污染控制措施合理、有效，本项目的生产运行不会对对地表水环境造成影响。</w:t>
      </w:r>
    </w:p>
    <w:p w14:paraId="5B8D99BF">
      <w:pPr>
        <w:pStyle w:val="4"/>
        <w:spacing w:before="120" w:after="120"/>
        <w:rPr>
          <w:color w:val="auto"/>
          <w:highlight w:val="none"/>
        </w:rPr>
      </w:pPr>
      <w:bookmarkStart w:id="157" w:name="_Toc19847"/>
      <w:bookmarkStart w:id="158" w:name="_Toc24447146"/>
      <w:bookmarkStart w:id="159" w:name="_Toc24447625"/>
      <w:bookmarkStart w:id="160" w:name="_Toc24340230"/>
      <w:bookmarkStart w:id="161" w:name="_Toc58916165"/>
      <w:r>
        <w:rPr>
          <w:rFonts w:hint="eastAsia"/>
          <w:color w:val="auto"/>
          <w:highlight w:val="none"/>
        </w:rPr>
        <w:t>声环境影响预测分析</w:t>
      </w:r>
      <w:bookmarkEnd w:id="157"/>
      <w:bookmarkEnd w:id="158"/>
      <w:bookmarkEnd w:id="159"/>
      <w:bookmarkEnd w:id="160"/>
      <w:bookmarkEnd w:id="161"/>
    </w:p>
    <w:p w14:paraId="48DF5E87">
      <w:pPr>
        <w:pStyle w:val="5"/>
        <w:rPr>
          <w:color w:val="auto"/>
          <w:highlight w:val="none"/>
        </w:rPr>
      </w:pPr>
      <w:bookmarkStart w:id="162" w:name="_Toc24447147"/>
      <w:r>
        <w:rPr>
          <w:rFonts w:hint="eastAsia"/>
          <w:color w:val="auto"/>
          <w:highlight w:val="none"/>
        </w:rPr>
        <w:t>预测内容</w:t>
      </w:r>
      <w:bookmarkEnd w:id="162"/>
    </w:p>
    <w:p w14:paraId="0A67F7AA">
      <w:pPr>
        <w:ind w:firstLine="480"/>
        <w:rPr>
          <w:color w:val="auto"/>
          <w:highlight w:val="none"/>
        </w:rPr>
      </w:pPr>
      <w:r>
        <w:rPr>
          <w:rFonts w:hint="eastAsia"/>
          <w:color w:val="auto"/>
          <w:highlight w:val="none"/>
        </w:rPr>
        <w:t>本项目声环境影响评价工作等级为三级，且项目周边无</w:t>
      </w:r>
      <w:r>
        <w:rPr>
          <w:rFonts w:hint="eastAsia"/>
          <w:color w:val="auto"/>
          <w:highlight w:val="none"/>
          <w:lang w:val="en-US" w:eastAsia="zh-CN"/>
        </w:rPr>
        <w:t>声环境</w:t>
      </w:r>
      <w:r>
        <w:rPr>
          <w:rFonts w:hint="eastAsia"/>
          <w:color w:val="auto"/>
          <w:highlight w:val="none"/>
        </w:rPr>
        <w:t>敏感目标，故</w:t>
      </w:r>
      <w:r>
        <w:rPr>
          <w:rFonts w:hint="eastAsia"/>
          <w:color w:val="auto"/>
          <w:highlight w:val="none"/>
          <w:lang w:val="en-US" w:eastAsia="zh-CN"/>
        </w:rPr>
        <w:t>本次评价</w:t>
      </w:r>
      <w:r>
        <w:rPr>
          <w:rFonts w:hint="eastAsia"/>
          <w:color w:val="auto"/>
          <w:highlight w:val="none"/>
        </w:rPr>
        <w:t>仅预测项目建成后厂界</w:t>
      </w:r>
      <w:r>
        <w:rPr>
          <w:rFonts w:hint="eastAsia"/>
          <w:color w:val="auto"/>
          <w:highlight w:val="none"/>
          <w:lang w:val="en-US" w:eastAsia="zh-CN"/>
        </w:rPr>
        <w:t>外贡献值</w:t>
      </w:r>
      <w:r>
        <w:rPr>
          <w:rFonts w:hint="eastAsia"/>
          <w:color w:val="auto"/>
          <w:highlight w:val="none"/>
        </w:rPr>
        <w:t>。</w:t>
      </w:r>
    </w:p>
    <w:p w14:paraId="23AC0773">
      <w:pPr>
        <w:pStyle w:val="5"/>
        <w:rPr>
          <w:color w:val="auto"/>
          <w:highlight w:val="none"/>
        </w:rPr>
      </w:pPr>
      <w:bookmarkStart w:id="163" w:name="_Toc24447148"/>
      <w:r>
        <w:rPr>
          <w:rFonts w:hint="eastAsia"/>
          <w:color w:val="auto"/>
          <w:highlight w:val="none"/>
        </w:rPr>
        <w:t>噪声源强</w:t>
      </w:r>
      <w:bookmarkEnd w:id="163"/>
    </w:p>
    <w:p w14:paraId="354006C5">
      <w:pPr>
        <w:ind w:firstLine="480"/>
        <w:rPr>
          <w:color w:val="auto"/>
          <w:highlight w:val="none"/>
        </w:rPr>
      </w:pPr>
      <w:r>
        <w:rPr>
          <w:rFonts w:hint="eastAsia"/>
          <w:color w:val="auto"/>
          <w:highlight w:val="none"/>
        </w:rPr>
        <w:t>本项目运行后噪声源及源强见表</w:t>
      </w:r>
      <w:r>
        <w:rPr>
          <w:rFonts w:hint="eastAsia" w:ascii="Times New Roman" w:hAnsi="Times New Roman" w:cs="Times New Roman"/>
          <w:color w:val="auto"/>
          <w:highlight w:val="none"/>
          <w:lang w:val="en-US" w:eastAsia="zh-CN"/>
        </w:rPr>
        <w:t>3.10-</w:t>
      </w:r>
      <w:r>
        <w:rPr>
          <w:rFonts w:hint="eastAsia" w:cs="Times New Roman"/>
          <w:color w:val="auto"/>
          <w:highlight w:val="none"/>
          <w:lang w:val="en-US" w:eastAsia="zh-CN"/>
        </w:rPr>
        <w:t>9和表3.10-10</w:t>
      </w:r>
      <w:r>
        <w:rPr>
          <w:rFonts w:hint="eastAsia"/>
          <w:color w:val="auto"/>
          <w:highlight w:val="none"/>
        </w:rPr>
        <w:t>。</w:t>
      </w:r>
    </w:p>
    <w:p w14:paraId="2EAB7055">
      <w:pPr>
        <w:pStyle w:val="199"/>
        <w:spacing w:before="120"/>
        <w:rPr>
          <w:rFonts w:hint="eastAsia"/>
          <w:color w:val="auto"/>
          <w:sz w:val="24"/>
          <w:highlight w:val="none"/>
        </w:rPr>
      </w:pPr>
    </w:p>
    <w:p w14:paraId="2C8FFB81">
      <w:pPr>
        <w:pStyle w:val="199"/>
        <w:spacing w:before="120"/>
        <w:rPr>
          <w:rFonts w:hint="eastAsia"/>
          <w:color w:val="auto"/>
          <w:sz w:val="24"/>
          <w:highlight w:val="none"/>
        </w:rPr>
      </w:pPr>
    </w:p>
    <w:p w14:paraId="4E4FCD1B">
      <w:pPr>
        <w:pStyle w:val="199"/>
        <w:spacing w:before="120"/>
        <w:rPr>
          <w:rFonts w:hint="eastAsia"/>
          <w:color w:val="auto"/>
          <w:sz w:val="24"/>
          <w:highlight w:val="none"/>
        </w:rPr>
      </w:pPr>
    </w:p>
    <w:p w14:paraId="15480733">
      <w:pPr>
        <w:pStyle w:val="199"/>
        <w:spacing w:before="120"/>
        <w:rPr>
          <w:rFonts w:hint="eastAsia"/>
          <w:color w:val="auto"/>
          <w:sz w:val="24"/>
          <w:highlight w:val="none"/>
        </w:rPr>
      </w:pPr>
    </w:p>
    <w:p w14:paraId="2398EF73">
      <w:pPr>
        <w:pStyle w:val="199"/>
        <w:spacing w:before="120"/>
        <w:rPr>
          <w:rFonts w:hint="eastAsia"/>
          <w:color w:val="auto"/>
          <w:sz w:val="24"/>
          <w:highlight w:val="none"/>
        </w:rPr>
      </w:pPr>
    </w:p>
    <w:p w14:paraId="35C58CA3">
      <w:pPr>
        <w:pStyle w:val="199"/>
        <w:spacing w:before="120"/>
        <w:rPr>
          <w:rFonts w:hint="eastAsia"/>
          <w:color w:val="auto"/>
          <w:sz w:val="24"/>
          <w:highlight w:val="none"/>
        </w:rPr>
      </w:pPr>
    </w:p>
    <w:p w14:paraId="1C714C5F">
      <w:pPr>
        <w:pStyle w:val="199"/>
        <w:spacing w:before="120"/>
        <w:rPr>
          <w:rFonts w:hint="eastAsia"/>
          <w:color w:val="auto"/>
          <w:sz w:val="24"/>
          <w:highlight w:val="none"/>
        </w:rPr>
      </w:pPr>
    </w:p>
    <w:p w14:paraId="3D981E58">
      <w:pPr>
        <w:pStyle w:val="199"/>
        <w:spacing w:before="120"/>
        <w:rPr>
          <w:rFonts w:hint="eastAsia"/>
          <w:color w:val="auto"/>
          <w:sz w:val="24"/>
          <w:highlight w:val="none"/>
        </w:rPr>
      </w:pPr>
    </w:p>
    <w:p w14:paraId="7755BD00">
      <w:pPr>
        <w:pStyle w:val="199"/>
        <w:spacing w:before="120"/>
        <w:rPr>
          <w:rFonts w:hint="eastAsia"/>
          <w:color w:val="auto"/>
          <w:sz w:val="24"/>
          <w:highlight w:val="none"/>
        </w:rPr>
      </w:pPr>
    </w:p>
    <w:p w14:paraId="0FB2F4FD">
      <w:pPr>
        <w:pStyle w:val="199"/>
        <w:spacing w:before="120"/>
        <w:rPr>
          <w:rFonts w:hint="eastAsia"/>
          <w:color w:val="auto"/>
          <w:sz w:val="24"/>
          <w:highlight w:val="none"/>
        </w:rPr>
      </w:pPr>
    </w:p>
    <w:p w14:paraId="71F70077">
      <w:pPr>
        <w:pStyle w:val="199"/>
        <w:spacing w:before="120"/>
        <w:rPr>
          <w:rFonts w:hint="eastAsia"/>
          <w:color w:val="auto"/>
          <w:sz w:val="24"/>
          <w:highlight w:val="none"/>
        </w:rPr>
      </w:pPr>
    </w:p>
    <w:p w14:paraId="3138A66F">
      <w:pPr>
        <w:pStyle w:val="199"/>
        <w:spacing w:before="120"/>
        <w:rPr>
          <w:rFonts w:hint="eastAsia"/>
          <w:color w:val="auto"/>
          <w:sz w:val="24"/>
          <w:highlight w:val="none"/>
        </w:rPr>
      </w:pPr>
    </w:p>
    <w:p w14:paraId="7A4AA47A">
      <w:pPr>
        <w:pStyle w:val="199"/>
        <w:spacing w:before="120"/>
        <w:rPr>
          <w:rFonts w:hint="eastAsia"/>
          <w:color w:val="auto"/>
          <w:sz w:val="24"/>
          <w:highlight w:val="none"/>
        </w:rPr>
      </w:pPr>
    </w:p>
    <w:p w14:paraId="4032E4A8">
      <w:pPr>
        <w:pStyle w:val="199"/>
        <w:spacing w:before="120"/>
        <w:rPr>
          <w:rFonts w:hint="eastAsia"/>
          <w:color w:val="auto"/>
          <w:sz w:val="24"/>
          <w:highlight w:val="none"/>
        </w:rPr>
      </w:pPr>
    </w:p>
    <w:p w14:paraId="33E69E9A">
      <w:pPr>
        <w:pStyle w:val="5"/>
        <w:rPr>
          <w:color w:val="auto"/>
          <w:highlight w:val="none"/>
        </w:rPr>
      </w:pPr>
      <w:bookmarkStart w:id="164" w:name="_Toc24447149"/>
      <w:r>
        <w:rPr>
          <w:rFonts w:hint="eastAsia"/>
          <w:color w:val="auto"/>
          <w:highlight w:val="none"/>
        </w:rPr>
        <w:t>预测模式</w:t>
      </w:r>
      <w:bookmarkEnd w:id="164"/>
      <w:r>
        <w:rPr>
          <w:rFonts w:hint="eastAsia"/>
          <w:color w:val="auto"/>
          <w:highlight w:val="none"/>
          <w:lang w:val="en-US" w:eastAsia="zh-CN"/>
        </w:rPr>
        <w:t>及方法</w:t>
      </w:r>
    </w:p>
    <w:p w14:paraId="28677D6D">
      <w:pPr>
        <w:ind w:firstLine="480"/>
        <w:rPr>
          <w:rFonts w:hint="eastAsia"/>
          <w:b/>
          <w:bCs/>
          <w:color w:val="auto"/>
          <w:highlight w:val="none"/>
          <w:lang w:val="en-US" w:eastAsia="zh-CN"/>
        </w:rPr>
      </w:pPr>
      <w:r>
        <w:rPr>
          <w:rFonts w:hint="eastAsia"/>
          <w:b/>
          <w:bCs/>
          <w:color w:val="auto"/>
          <w:highlight w:val="none"/>
          <w:lang w:val="en-US" w:eastAsia="zh-CN"/>
        </w:rPr>
        <w:t>1、预测模式</w:t>
      </w:r>
    </w:p>
    <w:p w14:paraId="149A60CB">
      <w:pPr>
        <w:ind w:firstLine="480"/>
        <w:rPr>
          <w:rFonts w:hint="eastAsia"/>
          <w:color w:val="auto"/>
          <w:highlight w:val="none"/>
          <w:lang w:val="en-US" w:eastAsia="zh-CN"/>
        </w:rPr>
      </w:pPr>
      <w:r>
        <w:rPr>
          <w:rFonts w:hint="eastAsia"/>
          <w:color w:val="auto"/>
          <w:highlight w:val="none"/>
          <w:lang w:val="en-US" w:eastAsia="zh-CN"/>
        </w:rPr>
        <w:t>评价采用《环境影响评价技术导则 声环境》（HJ2.4-2021）中工业噪声预测模式。</w:t>
      </w:r>
    </w:p>
    <w:p w14:paraId="4D2C4CAC">
      <w:pPr>
        <w:ind w:firstLine="480"/>
        <w:rPr>
          <w:rFonts w:hint="eastAsia"/>
          <w:color w:val="auto"/>
          <w:highlight w:val="none"/>
          <w:lang w:val="en-US" w:eastAsia="zh-CN"/>
        </w:rPr>
      </w:pPr>
      <w:r>
        <w:rPr>
          <w:rFonts w:hint="eastAsia"/>
          <w:color w:val="auto"/>
          <w:highlight w:val="none"/>
          <w:lang w:val="en-US" w:eastAsia="zh-CN"/>
        </w:rPr>
        <w:t>（1）单个室外点声源在预测点产生的声级计算基本公式</w:t>
      </w:r>
    </w:p>
    <w:p w14:paraId="00C81735">
      <w:pPr>
        <w:ind w:firstLine="480"/>
        <w:rPr>
          <w:rFonts w:hint="eastAsia"/>
          <w:color w:val="auto"/>
          <w:highlight w:val="none"/>
          <w:lang w:val="en-US" w:eastAsia="zh-CN"/>
        </w:rPr>
      </w:pPr>
      <w:r>
        <w:rPr>
          <w:rFonts w:hint="eastAsia"/>
          <w:color w:val="auto"/>
          <w:highlight w:val="none"/>
          <w:lang w:val="en-US" w:eastAsia="zh-CN"/>
        </w:rPr>
        <w:t>如已知声源的倍频带声功率级，预测点位置的倍频带声压级Lp（r）可按下面公式计算：</w:t>
      </w:r>
    </w:p>
    <w:p w14:paraId="385FBB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2548890" cy="615950"/>
            <wp:effectExtent l="0" t="0" r="3810" b="12700"/>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90"/>
                    <a:stretch>
                      <a:fillRect/>
                    </a:stretch>
                  </pic:blipFill>
                  <pic:spPr>
                    <a:xfrm>
                      <a:off x="0" y="0"/>
                      <a:ext cx="2548890" cy="615950"/>
                    </a:xfrm>
                    <a:prstGeom prst="rect">
                      <a:avLst/>
                    </a:prstGeom>
                    <a:noFill/>
                    <a:ln>
                      <a:noFill/>
                    </a:ln>
                  </pic:spPr>
                </pic:pic>
              </a:graphicData>
            </a:graphic>
          </wp:inline>
        </w:drawing>
      </w:r>
    </w:p>
    <w:p w14:paraId="119778F1">
      <w:pPr>
        <w:ind w:firstLine="480"/>
        <w:rPr>
          <w:rFonts w:hint="eastAsia"/>
          <w:color w:val="auto"/>
          <w:highlight w:val="none"/>
          <w:lang w:val="en-US" w:eastAsia="zh-CN"/>
        </w:rPr>
      </w:pPr>
      <w:r>
        <w:rPr>
          <w:rFonts w:hint="eastAsia"/>
          <w:color w:val="auto"/>
          <w:highlight w:val="none"/>
          <w:lang w:val="en-US" w:eastAsia="zh-CN"/>
        </w:rPr>
        <w:t>式中：Lw—倍频带声功率级，dB；</w:t>
      </w:r>
    </w:p>
    <w:p w14:paraId="51E955F8">
      <w:pPr>
        <w:ind w:firstLine="1200" w:firstLineChars="500"/>
        <w:rPr>
          <w:rFonts w:hint="eastAsia"/>
          <w:color w:val="auto"/>
          <w:highlight w:val="none"/>
          <w:lang w:val="en-US" w:eastAsia="zh-CN"/>
        </w:rPr>
      </w:pPr>
      <w:r>
        <w:rPr>
          <w:rFonts w:hint="eastAsia"/>
          <w:color w:val="auto"/>
          <w:highlight w:val="none"/>
          <w:lang w:val="en-US" w:eastAsia="zh-CN"/>
        </w:rPr>
        <w:t>Dc—指向性校正，dB，对辐射到自由空间的全向点声源，为0；</w:t>
      </w:r>
    </w:p>
    <w:p w14:paraId="4748FF73">
      <w:pPr>
        <w:ind w:firstLine="1200" w:firstLineChars="500"/>
        <w:rPr>
          <w:rFonts w:hint="eastAsia"/>
          <w:color w:val="auto"/>
          <w:highlight w:val="none"/>
          <w:lang w:val="en-US" w:eastAsia="zh-CN"/>
        </w:rPr>
      </w:pPr>
      <w:r>
        <w:rPr>
          <w:rFonts w:hint="eastAsia"/>
          <w:color w:val="auto"/>
          <w:highlight w:val="none"/>
          <w:lang w:val="en-US" w:eastAsia="zh-CN"/>
        </w:rPr>
        <w:t>A—倍频带衰减，dB；</w:t>
      </w:r>
    </w:p>
    <w:p w14:paraId="518FA3F8">
      <w:pPr>
        <w:ind w:firstLine="1200" w:firstLineChars="500"/>
        <w:rPr>
          <w:rFonts w:hint="eastAsia"/>
          <w:color w:val="auto"/>
          <w:highlight w:val="none"/>
          <w:lang w:val="en-US" w:eastAsia="zh-CN"/>
        </w:rPr>
      </w:pPr>
      <w:r>
        <w:rPr>
          <w:rFonts w:hint="eastAsia"/>
          <w:color w:val="auto"/>
          <w:highlight w:val="none"/>
          <w:lang w:val="en-US" w:eastAsia="zh-CN"/>
        </w:rPr>
        <w:t>Adiv—几何发散引起的倍频带衰减，dB；</w:t>
      </w:r>
    </w:p>
    <w:p w14:paraId="59033839">
      <w:pPr>
        <w:ind w:firstLine="1200" w:firstLineChars="500"/>
        <w:rPr>
          <w:rFonts w:hint="eastAsia"/>
          <w:color w:val="auto"/>
          <w:highlight w:val="none"/>
          <w:lang w:val="en-US" w:eastAsia="zh-CN"/>
        </w:rPr>
      </w:pPr>
      <w:r>
        <w:rPr>
          <w:rFonts w:hint="eastAsia"/>
          <w:color w:val="auto"/>
          <w:highlight w:val="none"/>
          <w:lang w:val="en-US" w:eastAsia="zh-CN"/>
        </w:rPr>
        <w:t>Aatm—大气吸收引起的倍频带衰减，dB；</w:t>
      </w:r>
    </w:p>
    <w:p w14:paraId="3C9F38B4">
      <w:pPr>
        <w:ind w:firstLine="1200" w:firstLineChars="500"/>
        <w:rPr>
          <w:rFonts w:hint="eastAsia"/>
          <w:color w:val="auto"/>
          <w:highlight w:val="none"/>
          <w:lang w:val="en-US" w:eastAsia="zh-CN"/>
        </w:rPr>
      </w:pPr>
      <w:r>
        <w:rPr>
          <w:rFonts w:hint="eastAsia"/>
          <w:color w:val="auto"/>
          <w:highlight w:val="none"/>
          <w:lang w:val="en-US" w:eastAsia="zh-CN"/>
        </w:rPr>
        <w:t>Agr—地面效应吸收引起的倍频带衰减，dB；</w:t>
      </w:r>
    </w:p>
    <w:p w14:paraId="01536A75">
      <w:pPr>
        <w:ind w:firstLine="1200" w:firstLineChars="500"/>
        <w:rPr>
          <w:rFonts w:hint="eastAsia"/>
          <w:color w:val="auto"/>
          <w:highlight w:val="none"/>
          <w:lang w:val="en-US" w:eastAsia="zh-CN"/>
        </w:rPr>
      </w:pPr>
      <w:r>
        <w:rPr>
          <w:rFonts w:hint="eastAsia"/>
          <w:color w:val="auto"/>
          <w:highlight w:val="none"/>
          <w:lang w:val="en-US" w:eastAsia="zh-CN"/>
        </w:rPr>
        <w:t>Abar—声屏障引起的倍频带衰减，dB；</w:t>
      </w:r>
    </w:p>
    <w:p w14:paraId="505D253A">
      <w:pPr>
        <w:ind w:firstLine="1200" w:firstLineChars="500"/>
        <w:rPr>
          <w:rFonts w:hint="eastAsia"/>
          <w:color w:val="auto"/>
          <w:highlight w:val="none"/>
          <w:lang w:val="en-US" w:eastAsia="zh-CN"/>
        </w:rPr>
      </w:pPr>
      <w:r>
        <w:rPr>
          <w:rFonts w:hint="eastAsia"/>
          <w:color w:val="auto"/>
          <w:highlight w:val="none"/>
          <w:lang w:val="en-US" w:eastAsia="zh-CN"/>
        </w:rPr>
        <w:t>Amisc—其他多方面效应引起的倍频带衰减，dB。</w:t>
      </w:r>
    </w:p>
    <w:p w14:paraId="40199E2F">
      <w:pPr>
        <w:ind w:firstLine="480"/>
        <w:rPr>
          <w:rFonts w:hint="eastAsia"/>
          <w:color w:val="auto"/>
          <w:highlight w:val="none"/>
          <w:lang w:val="en-US" w:eastAsia="zh-CN"/>
        </w:rPr>
      </w:pPr>
      <w:r>
        <w:rPr>
          <w:rFonts w:hint="eastAsia"/>
          <w:color w:val="auto"/>
          <w:highlight w:val="none"/>
          <w:lang w:val="en-US" w:eastAsia="zh-CN"/>
        </w:rPr>
        <w:t>如已知靠近声源处某点的倍频带声压级Lp(r</w:t>
      </w:r>
      <w:r>
        <w:rPr>
          <w:rFonts w:hint="eastAsia"/>
          <w:color w:val="auto"/>
          <w:highlight w:val="none"/>
          <w:vertAlign w:val="subscript"/>
          <w:lang w:val="en-US" w:eastAsia="zh-CN"/>
        </w:rPr>
        <w:t>0</w:t>
      </w:r>
      <w:r>
        <w:rPr>
          <w:rFonts w:hint="eastAsia"/>
          <w:color w:val="auto"/>
          <w:highlight w:val="none"/>
          <w:lang w:val="en-US" w:eastAsia="zh-CN"/>
        </w:rPr>
        <w:t>)时，相同方向预测点位置的倍频带声压级Lp(r)可按公式计算：</w:t>
      </w:r>
    </w:p>
    <w:p w14:paraId="02882A4F">
      <w:pPr>
        <w:ind w:firstLine="3120" w:firstLineChars="1300"/>
        <w:rPr>
          <w:rFonts w:hint="eastAsia"/>
          <w:color w:val="auto"/>
          <w:highlight w:val="none"/>
          <w:lang w:val="en-US" w:eastAsia="zh-CN"/>
        </w:rPr>
      </w:pPr>
      <w:r>
        <w:rPr>
          <w:rFonts w:hint="eastAsia"/>
          <w:color w:val="auto"/>
          <w:highlight w:val="none"/>
          <w:lang w:val="en-US" w:eastAsia="zh-CN"/>
        </w:rPr>
        <w:t>L,(r)=L,(r)-A</w:t>
      </w:r>
    </w:p>
    <w:p w14:paraId="32FB967D">
      <w:pPr>
        <w:ind w:firstLine="480"/>
        <w:rPr>
          <w:rFonts w:hint="eastAsia"/>
          <w:color w:val="auto"/>
          <w:highlight w:val="none"/>
          <w:lang w:val="en-US" w:eastAsia="zh-CN"/>
        </w:rPr>
      </w:pPr>
      <w:r>
        <w:rPr>
          <w:rFonts w:hint="eastAsia"/>
          <w:color w:val="auto"/>
          <w:highlight w:val="none"/>
          <w:lang w:val="en-US" w:eastAsia="zh-CN"/>
        </w:rPr>
        <w:t>预测点的A声级LA(r)，可利用8个倍频带的声压级公式计算：</w:t>
      </w:r>
    </w:p>
    <w:p w14:paraId="16CC1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2055495" cy="544195"/>
            <wp:effectExtent l="0" t="0" r="1905" b="8255"/>
            <wp:docPr id="44" name="IM 370"/>
            <wp:cNvGraphicFramePr/>
            <a:graphic xmlns:a="http://schemas.openxmlformats.org/drawingml/2006/main">
              <a:graphicData uri="http://schemas.openxmlformats.org/drawingml/2006/picture">
                <pic:pic xmlns:pic="http://schemas.openxmlformats.org/drawingml/2006/picture">
                  <pic:nvPicPr>
                    <pic:cNvPr id="44" name="IM 370"/>
                    <pic:cNvPicPr/>
                  </pic:nvPicPr>
                  <pic:blipFill>
                    <a:blip r:embed="rId91"/>
                    <a:stretch>
                      <a:fillRect/>
                    </a:stretch>
                  </pic:blipFill>
                  <pic:spPr>
                    <a:xfrm>
                      <a:off x="0" y="0"/>
                      <a:ext cx="2055495" cy="544195"/>
                    </a:xfrm>
                    <a:prstGeom prst="rect">
                      <a:avLst/>
                    </a:prstGeom>
                    <a:noFill/>
                    <a:ln>
                      <a:noFill/>
                    </a:ln>
                  </pic:spPr>
                </pic:pic>
              </a:graphicData>
            </a:graphic>
          </wp:inline>
        </w:drawing>
      </w:r>
    </w:p>
    <w:p w14:paraId="53F808C5">
      <w:pPr>
        <w:ind w:firstLine="480"/>
        <w:rPr>
          <w:rFonts w:hint="eastAsia"/>
          <w:color w:val="auto"/>
          <w:highlight w:val="none"/>
          <w:lang w:val="en-US" w:eastAsia="zh-CN"/>
        </w:rPr>
      </w:pPr>
      <w:r>
        <w:rPr>
          <w:rFonts w:hint="eastAsia"/>
          <w:color w:val="auto"/>
          <w:highlight w:val="none"/>
          <w:lang w:val="en-US" w:eastAsia="zh-CN"/>
        </w:rPr>
        <w:t>式中：LPi(r)—预测点（r）处，第i倍频带声压级，dB；</w:t>
      </w:r>
    </w:p>
    <w:p w14:paraId="09E96E11">
      <w:pPr>
        <w:ind w:firstLine="1200" w:firstLineChars="500"/>
        <w:rPr>
          <w:rFonts w:hint="eastAsia"/>
          <w:color w:val="auto"/>
          <w:highlight w:val="none"/>
          <w:lang w:val="en-US" w:eastAsia="zh-CN"/>
        </w:rPr>
      </w:pPr>
      <w:r>
        <w:rPr>
          <w:rFonts w:hint="eastAsia"/>
          <w:color w:val="auto"/>
          <w:highlight w:val="none"/>
          <w:lang w:val="en-US" w:eastAsia="zh-CN"/>
        </w:rPr>
        <w:t>ΔLi—第i倍频带的A计权网络修正值，dB。</w:t>
      </w:r>
    </w:p>
    <w:p w14:paraId="49887152">
      <w:pPr>
        <w:ind w:firstLine="480"/>
        <w:rPr>
          <w:rFonts w:hint="eastAsia"/>
          <w:color w:val="auto"/>
          <w:highlight w:val="none"/>
          <w:lang w:val="en-US" w:eastAsia="zh-CN"/>
        </w:rPr>
      </w:pPr>
      <w:r>
        <w:rPr>
          <w:rFonts w:hint="eastAsia"/>
          <w:color w:val="auto"/>
          <w:highlight w:val="none"/>
          <w:lang w:val="en-US" w:eastAsia="zh-CN"/>
        </w:rPr>
        <w:t>在不能取得声源倍频带声功率级或倍频带声压级，只能获得A声功率级或某点的A声级时，可按公式做近似计算：</w:t>
      </w:r>
    </w:p>
    <w:p w14:paraId="3DB7A6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8"/>
          <w:szCs w:val="28"/>
          <w:highlight w:val="none"/>
          <w:lang w:val="en-US" w:eastAsia="zh-CN"/>
        </w:rPr>
      </w:pPr>
      <w:r>
        <w:rPr>
          <w:rFonts w:hint="eastAsia"/>
          <w:color w:val="auto"/>
          <w:highlight w:val="none"/>
          <w:lang w:val="en-US" w:eastAsia="zh-CN"/>
        </w:rPr>
        <w:drawing>
          <wp:inline distT="0" distB="0" distL="114300" distR="114300">
            <wp:extent cx="1522730" cy="273050"/>
            <wp:effectExtent l="0" t="0" r="1270" b="12700"/>
            <wp:docPr id="45" name="IM 372"/>
            <wp:cNvGraphicFramePr/>
            <a:graphic xmlns:a="http://schemas.openxmlformats.org/drawingml/2006/main">
              <a:graphicData uri="http://schemas.openxmlformats.org/drawingml/2006/picture">
                <pic:pic xmlns:pic="http://schemas.openxmlformats.org/drawingml/2006/picture">
                  <pic:nvPicPr>
                    <pic:cNvPr id="45" name="IM 372"/>
                    <pic:cNvPicPr/>
                  </pic:nvPicPr>
                  <pic:blipFill>
                    <a:blip r:embed="rId92"/>
                    <a:stretch>
                      <a:fillRect/>
                    </a:stretch>
                  </pic:blipFill>
                  <pic:spPr>
                    <a:xfrm>
                      <a:off x="0" y="0"/>
                      <a:ext cx="1522730" cy="273050"/>
                    </a:xfrm>
                    <a:prstGeom prst="rect">
                      <a:avLst/>
                    </a:prstGeom>
                    <a:noFill/>
                    <a:ln>
                      <a:noFill/>
                    </a:ln>
                  </pic:spPr>
                </pic:pic>
              </a:graphicData>
            </a:graphic>
          </wp:inline>
        </w:drawing>
      </w:r>
      <w:r>
        <w:rPr>
          <w:rFonts w:hint="eastAsia"/>
          <w:color w:val="auto"/>
          <w:sz w:val="24"/>
          <w:szCs w:val="24"/>
          <w:highlight w:val="none"/>
          <w:lang w:val="en-US" w:eastAsia="zh-CN"/>
        </w:rPr>
        <w:t>或</w:t>
      </w:r>
      <w:r>
        <w:rPr>
          <w:rFonts w:hint="eastAsia"/>
          <w:color w:val="auto"/>
          <w:sz w:val="28"/>
          <w:szCs w:val="28"/>
          <w:highlight w:val="none"/>
          <w:lang w:val="en-US" w:eastAsia="zh-CN"/>
        </w:rPr>
        <w:t xml:space="preserve"> LZ(r)=L(r,)-A</w:t>
      </w:r>
    </w:p>
    <w:p w14:paraId="63F5AE10">
      <w:pPr>
        <w:ind w:firstLine="480"/>
        <w:rPr>
          <w:rFonts w:hint="eastAsia"/>
          <w:color w:val="auto"/>
          <w:highlight w:val="none"/>
          <w:lang w:val="en-US" w:eastAsia="zh-CN"/>
        </w:rPr>
      </w:pPr>
      <w:r>
        <w:rPr>
          <w:rFonts w:hint="eastAsia"/>
          <w:color w:val="auto"/>
          <w:highlight w:val="none"/>
          <w:lang w:val="en-US" w:eastAsia="zh-CN"/>
        </w:rPr>
        <w:t>A可选择对A声级影响最大的倍频带计算，一般可选中心频率为500Hz的倍频带估算。</w:t>
      </w:r>
    </w:p>
    <w:p w14:paraId="1E5866EF">
      <w:pPr>
        <w:ind w:firstLine="480"/>
        <w:rPr>
          <w:rFonts w:hint="eastAsia"/>
          <w:color w:val="auto"/>
          <w:highlight w:val="none"/>
          <w:lang w:val="en-US" w:eastAsia="zh-CN"/>
        </w:rPr>
      </w:pPr>
      <w:r>
        <w:rPr>
          <w:rFonts w:hint="eastAsia"/>
          <w:color w:val="auto"/>
          <w:highlight w:val="none"/>
          <w:lang w:val="en-US" w:eastAsia="zh-CN"/>
        </w:rPr>
        <w:t>（2）室内声源等效室外声源声功率级计算方法</w:t>
      </w:r>
    </w:p>
    <w:p w14:paraId="2D7316AA">
      <w:pPr>
        <w:ind w:firstLine="480"/>
        <w:rPr>
          <w:rFonts w:hint="eastAsia"/>
          <w:color w:val="auto"/>
          <w:highlight w:val="none"/>
          <w:lang w:val="en-US" w:eastAsia="zh-CN"/>
        </w:rPr>
      </w:pPr>
      <w:r>
        <w:rPr>
          <w:rFonts w:hint="eastAsia"/>
          <w:color w:val="auto"/>
          <w:highlight w:val="none"/>
          <w:lang w:val="en-US" w:eastAsia="zh-CN"/>
        </w:rPr>
        <w:t>设靠近开口处（或窗户）室内，室外某倍频带的声压级分别为L</w:t>
      </w:r>
      <w:r>
        <w:rPr>
          <w:rFonts w:hint="eastAsia"/>
          <w:color w:val="auto"/>
          <w:highlight w:val="none"/>
          <w:vertAlign w:val="subscript"/>
          <w:lang w:val="en-US" w:eastAsia="zh-CN"/>
        </w:rPr>
        <w:t>P1</w:t>
      </w:r>
      <w:r>
        <w:rPr>
          <w:rFonts w:hint="eastAsia"/>
          <w:color w:val="auto"/>
          <w:highlight w:val="none"/>
          <w:lang w:val="en-US" w:eastAsia="zh-CN"/>
        </w:rPr>
        <w:t>和L</w:t>
      </w:r>
      <w:r>
        <w:rPr>
          <w:rFonts w:hint="eastAsia"/>
          <w:color w:val="auto"/>
          <w:highlight w:val="none"/>
          <w:vertAlign w:val="subscript"/>
          <w:lang w:val="en-US" w:eastAsia="zh-CN"/>
        </w:rPr>
        <w:t>P2</w:t>
      </w:r>
      <w:r>
        <w:rPr>
          <w:rFonts w:hint="eastAsia"/>
          <w:color w:val="auto"/>
          <w:highlight w:val="none"/>
          <w:lang w:val="en-US" w:eastAsia="zh-CN"/>
        </w:rPr>
        <w:t>。若声源所在室内声场为近似扩散声场，则室外倍频声压级可按下公式近似求出：</w:t>
      </w:r>
    </w:p>
    <w:p w14:paraId="5B712DA4">
      <w:pPr>
        <w:ind w:firstLine="1440" w:firstLineChars="600"/>
        <w:rPr>
          <w:rFonts w:hint="eastAsia"/>
          <w:color w:val="auto"/>
          <w:highlight w:val="none"/>
          <w:lang w:val="en-US" w:eastAsia="zh-CN"/>
        </w:rPr>
      </w:pPr>
      <w:r>
        <w:rPr>
          <w:rFonts w:hint="eastAsia"/>
          <w:color w:val="auto"/>
          <w:highlight w:val="none"/>
          <w:lang w:val="en-US" w:eastAsia="zh-CN"/>
        </w:rPr>
        <w:t>Ln=Ln-(IL+6)</w:t>
      </w:r>
    </w:p>
    <w:p w14:paraId="494ABB08">
      <w:pPr>
        <w:ind w:firstLine="480"/>
        <w:rPr>
          <w:rFonts w:hint="eastAsia"/>
          <w:color w:val="auto"/>
          <w:highlight w:val="none"/>
          <w:lang w:val="en-US" w:eastAsia="zh-CN"/>
        </w:rPr>
      </w:pPr>
      <w:r>
        <w:rPr>
          <w:rFonts w:hint="eastAsia"/>
          <w:color w:val="auto"/>
          <w:highlight w:val="none"/>
          <w:lang w:val="en-US" w:eastAsia="zh-CN"/>
        </w:rPr>
        <w:t>式中：TL—隔墙或窗户倍频带的隔声量，dB。</w:t>
      </w:r>
    </w:p>
    <w:p w14:paraId="64EC117F">
      <w:pPr>
        <w:ind w:firstLine="480"/>
        <w:rPr>
          <w:rFonts w:hint="eastAsia"/>
          <w:color w:val="auto"/>
          <w:highlight w:val="none"/>
          <w:lang w:val="en-US" w:eastAsia="zh-CN"/>
        </w:rPr>
      </w:pPr>
      <w:r>
        <w:rPr>
          <w:rFonts w:hint="eastAsia"/>
          <w:color w:val="auto"/>
          <w:highlight w:val="none"/>
          <w:lang w:val="en-US" w:eastAsia="zh-CN"/>
        </w:rPr>
        <w:t>（3）噪声贡献值计算</w:t>
      </w:r>
    </w:p>
    <w:p w14:paraId="7D23FF04">
      <w:pPr>
        <w:ind w:firstLine="480"/>
        <w:rPr>
          <w:rFonts w:hint="eastAsia"/>
          <w:color w:val="auto"/>
          <w:highlight w:val="none"/>
          <w:lang w:val="en-US" w:eastAsia="zh-CN"/>
        </w:rPr>
      </w:pPr>
      <w:r>
        <w:rPr>
          <w:rFonts w:hint="eastAsia"/>
          <w:color w:val="auto"/>
          <w:highlight w:val="none"/>
          <w:lang w:val="en-US" w:eastAsia="zh-CN"/>
        </w:rPr>
        <w:t>设第i个室外声源在预测点产生的A声级为LAi，在T时间内该声源工作时间为ti；第 j个等效室外声源在预测点产生的A声级为LAj，在T时间内该声源工作时间为tj；则拟建 工程声源对预测点产生的贡献值为（Leqg）：</w:t>
      </w:r>
    </w:p>
    <w:p w14:paraId="77CB6A2F">
      <w:pPr>
        <w:ind w:firstLine="480"/>
        <w:rPr>
          <w:rFonts w:hint="eastAsia"/>
          <w:color w:val="auto"/>
          <w:highlight w:val="none"/>
          <w:lang w:val="en-US" w:eastAsia="zh-CN"/>
        </w:rPr>
      </w:pPr>
      <w:r>
        <w:rPr>
          <w:rFonts w:hint="eastAsia"/>
          <w:color w:val="auto"/>
          <w:highlight w:val="none"/>
          <w:lang w:val="en-US" w:eastAsia="zh-CN"/>
        </w:rPr>
        <w:drawing>
          <wp:inline distT="0" distB="0" distL="114300" distR="114300">
            <wp:extent cx="2679065" cy="511810"/>
            <wp:effectExtent l="0" t="0" r="6985" b="2540"/>
            <wp:docPr id="46" name="IM 378"/>
            <wp:cNvGraphicFramePr/>
            <a:graphic xmlns:a="http://schemas.openxmlformats.org/drawingml/2006/main">
              <a:graphicData uri="http://schemas.openxmlformats.org/drawingml/2006/picture">
                <pic:pic xmlns:pic="http://schemas.openxmlformats.org/drawingml/2006/picture">
                  <pic:nvPicPr>
                    <pic:cNvPr id="46" name="IM 378"/>
                    <pic:cNvPicPr/>
                  </pic:nvPicPr>
                  <pic:blipFill>
                    <a:blip r:embed="rId93"/>
                    <a:stretch>
                      <a:fillRect/>
                    </a:stretch>
                  </pic:blipFill>
                  <pic:spPr>
                    <a:xfrm>
                      <a:off x="0" y="0"/>
                      <a:ext cx="2679065" cy="511810"/>
                    </a:xfrm>
                    <a:prstGeom prst="rect">
                      <a:avLst/>
                    </a:prstGeom>
                    <a:noFill/>
                    <a:ln>
                      <a:noFill/>
                    </a:ln>
                  </pic:spPr>
                </pic:pic>
              </a:graphicData>
            </a:graphic>
          </wp:inline>
        </w:drawing>
      </w:r>
    </w:p>
    <w:p w14:paraId="43738785">
      <w:pPr>
        <w:ind w:firstLine="480"/>
        <w:rPr>
          <w:rFonts w:hint="eastAsia"/>
          <w:color w:val="auto"/>
          <w:highlight w:val="none"/>
          <w:lang w:val="en-US" w:eastAsia="zh-CN"/>
        </w:rPr>
      </w:pPr>
      <w:r>
        <w:rPr>
          <w:rFonts w:hint="eastAsia"/>
          <w:color w:val="auto"/>
          <w:highlight w:val="none"/>
          <w:lang w:val="en-US" w:eastAsia="zh-CN"/>
        </w:rPr>
        <w:t>式中：</w:t>
      </w:r>
    </w:p>
    <w:p w14:paraId="6B07EFEE">
      <w:pPr>
        <w:ind w:firstLine="960" w:firstLineChars="400"/>
        <w:rPr>
          <w:rFonts w:hint="eastAsia"/>
          <w:color w:val="auto"/>
          <w:highlight w:val="none"/>
          <w:lang w:val="en-US" w:eastAsia="zh-CN"/>
        </w:rPr>
      </w:pPr>
      <w:r>
        <w:rPr>
          <w:rFonts w:hint="eastAsia"/>
          <w:color w:val="auto"/>
          <w:highlight w:val="none"/>
          <w:lang w:val="en-US" w:eastAsia="zh-CN"/>
        </w:rPr>
        <w:t>tj—在T时间内j声源工作时间，s；</w:t>
      </w:r>
    </w:p>
    <w:p w14:paraId="71E61241">
      <w:pPr>
        <w:ind w:firstLine="960" w:firstLineChars="400"/>
        <w:rPr>
          <w:rFonts w:hint="eastAsia"/>
          <w:color w:val="auto"/>
          <w:highlight w:val="none"/>
          <w:lang w:val="en-US" w:eastAsia="zh-CN"/>
        </w:rPr>
      </w:pPr>
      <w:r>
        <w:rPr>
          <w:rFonts w:hint="eastAsia"/>
          <w:color w:val="auto"/>
          <w:highlight w:val="none"/>
          <w:lang w:val="en-US" w:eastAsia="zh-CN"/>
        </w:rPr>
        <w:t>ti—在T时间内i声源工作时间，s；</w:t>
      </w:r>
    </w:p>
    <w:p w14:paraId="33E9A27C">
      <w:pPr>
        <w:ind w:firstLine="960" w:firstLineChars="400"/>
        <w:rPr>
          <w:rFonts w:hint="eastAsia"/>
          <w:color w:val="auto"/>
          <w:highlight w:val="none"/>
          <w:lang w:val="en-US" w:eastAsia="zh-CN"/>
        </w:rPr>
      </w:pPr>
      <w:r>
        <w:rPr>
          <w:rFonts w:hint="eastAsia"/>
          <w:color w:val="auto"/>
          <w:highlight w:val="none"/>
          <w:lang w:val="en-US" w:eastAsia="zh-CN"/>
        </w:rPr>
        <w:t>T—用于计算等效声级的时间，s；</w:t>
      </w:r>
    </w:p>
    <w:p w14:paraId="1C9E9195">
      <w:pPr>
        <w:ind w:firstLine="960" w:firstLineChars="400"/>
        <w:rPr>
          <w:rFonts w:hint="eastAsia"/>
          <w:color w:val="auto"/>
          <w:highlight w:val="none"/>
          <w:lang w:val="en-US" w:eastAsia="zh-CN"/>
        </w:rPr>
      </w:pPr>
      <w:r>
        <w:rPr>
          <w:rFonts w:hint="eastAsia"/>
          <w:color w:val="auto"/>
          <w:highlight w:val="none"/>
          <w:lang w:val="en-US" w:eastAsia="zh-CN"/>
        </w:rPr>
        <w:t>N—室外声源个数；</w:t>
      </w:r>
    </w:p>
    <w:p w14:paraId="2F40500D">
      <w:pPr>
        <w:ind w:firstLine="960" w:firstLineChars="400"/>
        <w:rPr>
          <w:rFonts w:hint="eastAsia"/>
          <w:color w:val="auto"/>
          <w:highlight w:val="none"/>
          <w:lang w:val="en-US" w:eastAsia="zh-CN"/>
        </w:rPr>
      </w:pPr>
      <w:r>
        <w:rPr>
          <w:rFonts w:hint="eastAsia"/>
          <w:color w:val="auto"/>
          <w:highlight w:val="none"/>
          <w:lang w:val="en-US" w:eastAsia="zh-CN"/>
        </w:rPr>
        <w:t>M—等效室外声源个数。</w:t>
      </w:r>
    </w:p>
    <w:p w14:paraId="5B327048">
      <w:pPr>
        <w:numPr>
          <w:ilvl w:val="0"/>
          <w:numId w:val="5"/>
        </w:numPr>
        <w:ind w:firstLine="480"/>
        <w:rPr>
          <w:rFonts w:hint="eastAsia"/>
          <w:b/>
          <w:bCs/>
          <w:color w:val="auto"/>
          <w:highlight w:val="none"/>
          <w:lang w:val="en-US" w:eastAsia="zh-CN"/>
        </w:rPr>
      </w:pPr>
      <w:r>
        <w:rPr>
          <w:rFonts w:hint="eastAsia"/>
          <w:b/>
          <w:bCs/>
          <w:color w:val="auto"/>
          <w:highlight w:val="none"/>
          <w:lang w:val="en-US" w:eastAsia="zh-CN"/>
        </w:rPr>
        <w:t>影响声波传播的各类参量</w:t>
      </w:r>
    </w:p>
    <w:p w14:paraId="59FCC8CF">
      <w:pPr>
        <w:pStyle w:val="199"/>
        <w:spacing w:before="120"/>
        <w:rPr>
          <w:rFonts w:hint="eastAsia"/>
          <w:color w:val="auto"/>
          <w:sz w:val="24"/>
          <w:highlight w:val="none"/>
          <w:lang w:val="en-US" w:eastAsia="zh-CN"/>
        </w:rPr>
      </w:pPr>
      <w:r>
        <w:rPr>
          <w:rFonts w:hint="eastAsia"/>
          <w:color w:val="auto"/>
          <w:sz w:val="24"/>
          <w:highlight w:val="none"/>
          <w:lang w:val="en-US" w:eastAsia="zh-CN"/>
        </w:rPr>
        <w:t>表5.5-1 影响声波传播的各类参量表</w:t>
      </w:r>
    </w:p>
    <w:tbl>
      <w:tblPr>
        <w:tblStyle w:val="29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811"/>
        <w:gridCol w:w="2807"/>
        <w:gridCol w:w="2683"/>
      </w:tblGrid>
      <w:tr w14:paraId="4EE6BE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79" w:type="dxa"/>
            <w:tcBorders>
              <w:tl2br w:val="nil"/>
              <w:tr2bl w:val="nil"/>
            </w:tcBorders>
            <w:noWrap w:val="0"/>
            <w:vAlign w:val="center"/>
          </w:tcPr>
          <w:p w14:paraId="0B033EA9">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项目所在区域</w:t>
            </w:r>
          </w:p>
        </w:tc>
        <w:tc>
          <w:tcPr>
            <w:tcW w:w="3275" w:type="dxa"/>
            <w:tcBorders>
              <w:tl2br w:val="nil"/>
              <w:tr2bl w:val="nil"/>
            </w:tcBorders>
            <w:noWrap w:val="0"/>
            <w:vAlign w:val="center"/>
          </w:tcPr>
          <w:p w14:paraId="085ABD27">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参量</w:t>
            </w:r>
          </w:p>
        </w:tc>
        <w:tc>
          <w:tcPr>
            <w:tcW w:w="3130" w:type="dxa"/>
            <w:tcBorders>
              <w:tl2br w:val="nil"/>
              <w:tr2bl w:val="nil"/>
            </w:tcBorders>
            <w:noWrap w:val="0"/>
            <w:vAlign w:val="center"/>
          </w:tcPr>
          <w:p w14:paraId="212CDB1E">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取值</w:t>
            </w:r>
          </w:p>
        </w:tc>
      </w:tr>
      <w:tr w14:paraId="40D0C1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79" w:type="dxa"/>
            <w:vMerge w:val="restart"/>
            <w:tcBorders>
              <w:tl2br w:val="nil"/>
              <w:tr2bl w:val="nil"/>
            </w:tcBorders>
            <w:noWrap w:val="0"/>
            <w:vAlign w:val="center"/>
          </w:tcPr>
          <w:p w14:paraId="2D817F88">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多伦县</w:t>
            </w:r>
          </w:p>
        </w:tc>
        <w:tc>
          <w:tcPr>
            <w:tcW w:w="3275" w:type="dxa"/>
            <w:tcBorders>
              <w:tl2br w:val="nil"/>
              <w:tr2bl w:val="nil"/>
            </w:tcBorders>
            <w:noWrap w:val="0"/>
            <w:vAlign w:val="center"/>
          </w:tcPr>
          <w:p w14:paraId="0133C200">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年平均气温(℃)</w:t>
            </w:r>
          </w:p>
        </w:tc>
        <w:tc>
          <w:tcPr>
            <w:tcW w:w="3130" w:type="dxa"/>
            <w:tcBorders>
              <w:tl2br w:val="nil"/>
              <w:tr2bl w:val="nil"/>
            </w:tcBorders>
            <w:noWrap w:val="0"/>
            <w:vAlign w:val="center"/>
          </w:tcPr>
          <w:p w14:paraId="1E8DAF53">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3.4</w:t>
            </w:r>
          </w:p>
        </w:tc>
      </w:tr>
      <w:tr w14:paraId="221C27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79" w:type="dxa"/>
            <w:vMerge w:val="continue"/>
            <w:tcBorders>
              <w:tl2br w:val="nil"/>
              <w:tr2bl w:val="nil"/>
            </w:tcBorders>
            <w:noWrap w:val="0"/>
            <w:vAlign w:val="center"/>
          </w:tcPr>
          <w:p w14:paraId="1589A0D7">
            <w:pPr>
              <w:pStyle w:val="245"/>
              <w:autoSpaceDN w:val="0"/>
              <w:spacing w:line="240" w:lineRule="auto"/>
              <w:jc w:val="center"/>
              <w:rPr>
                <w:rFonts w:hint="eastAsia" w:ascii="Times New Roman" w:hAnsi="Times New Roman" w:cs="Times New Roman"/>
                <w:color w:val="auto"/>
                <w:highlight w:val="none"/>
                <w:lang w:val="en-US" w:eastAsia="zh-CN"/>
              </w:rPr>
            </w:pPr>
          </w:p>
        </w:tc>
        <w:tc>
          <w:tcPr>
            <w:tcW w:w="3275" w:type="dxa"/>
            <w:tcBorders>
              <w:tl2br w:val="nil"/>
              <w:tr2bl w:val="nil"/>
            </w:tcBorders>
            <w:noWrap w:val="0"/>
            <w:vAlign w:val="center"/>
          </w:tcPr>
          <w:p w14:paraId="09004431">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年平均相对湿度(%)</w:t>
            </w:r>
          </w:p>
        </w:tc>
        <w:tc>
          <w:tcPr>
            <w:tcW w:w="3130" w:type="dxa"/>
            <w:tcBorders>
              <w:tl2br w:val="nil"/>
              <w:tr2bl w:val="nil"/>
            </w:tcBorders>
            <w:noWrap w:val="0"/>
            <w:vAlign w:val="center"/>
          </w:tcPr>
          <w:p w14:paraId="53231768">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58.2</w:t>
            </w:r>
          </w:p>
        </w:tc>
      </w:tr>
      <w:tr w14:paraId="6D5D1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279" w:type="dxa"/>
            <w:vMerge w:val="continue"/>
            <w:tcBorders>
              <w:tl2br w:val="nil"/>
              <w:tr2bl w:val="nil"/>
            </w:tcBorders>
            <w:noWrap w:val="0"/>
            <w:vAlign w:val="center"/>
          </w:tcPr>
          <w:p w14:paraId="607956B8">
            <w:pPr>
              <w:pStyle w:val="245"/>
              <w:autoSpaceDN w:val="0"/>
              <w:spacing w:line="240" w:lineRule="auto"/>
              <w:jc w:val="center"/>
              <w:rPr>
                <w:rFonts w:hint="eastAsia" w:ascii="Times New Roman" w:hAnsi="Times New Roman" w:cs="Times New Roman"/>
                <w:color w:val="auto"/>
                <w:highlight w:val="none"/>
                <w:lang w:val="en-US" w:eastAsia="zh-CN"/>
              </w:rPr>
            </w:pPr>
          </w:p>
        </w:tc>
        <w:tc>
          <w:tcPr>
            <w:tcW w:w="3275" w:type="dxa"/>
            <w:tcBorders>
              <w:tl2br w:val="nil"/>
              <w:tr2bl w:val="nil"/>
            </w:tcBorders>
            <w:noWrap w:val="0"/>
            <w:vAlign w:val="center"/>
          </w:tcPr>
          <w:p w14:paraId="23A3D417">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空气大气压(kPa)</w:t>
            </w:r>
          </w:p>
        </w:tc>
        <w:tc>
          <w:tcPr>
            <w:tcW w:w="3130" w:type="dxa"/>
            <w:tcBorders>
              <w:tl2br w:val="nil"/>
              <w:tr2bl w:val="nil"/>
            </w:tcBorders>
            <w:noWrap w:val="0"/>
            <w:vAlign w:val="center"/>
          </w:tcPr>
          <w:p w14:paraId="2EDD6EEE">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87.473</w:t>
            </w:r>
          </w:p>
        </w:tc>
      </w:tr>
    </w:tbl>
    <w:p w14:paraId="6F68E14B">
      <w:pPr>
        <w:pStyle w:val="5"/>
        <w:rPr>
          <w:color w:val="auto"/>
          <w:highlight w:val="none"/>
        </w:rPr>
      </w:pPr>
      <w:bookmarkStart w:id="165" w:name="_Toc24447150"/>
      <w:r>
        <w:rPr>
          <w:rFonts w:hint="eastAsia"/>
          <w:color w:val="auto"/>
          <w:highlight w:val="none"/>
        </w:rPr>
        <w:t>评价标准</w:t>
      </w:r>
      <w:bookmarkEnd w:id="165"/>
    </w:p>
    <w:p w14:paraId="43ED3F90">
      <w:pPr>
        <w:ind w:firstLine="480"/>
        <w:rPr>
          <w:rFonts w:hint="eastAsia"/>
          <w:color w:val="auto"/>
          <w:highlight w:val="none"/>
          <w:lang w:val="en-US" w:eastAsia="zh-CN"/>
        </w:rPr>
      </w:pPr>
      <w:r>
        <w:rPr>
          <w:rFonts w:hint="eastAsia"/>
          <w:color w:val="auto"/>
          <w:highlight w:val="none"/>
          <w:lang w:val="en-US" w:eastAsia="zh-CN"/>
        </w:rPr>
        <w:t>厂界噪声执行《工业企业厂界环境噪声排放标准》（GB12348-2008）中3类标准。</w:t>
      </w:r>
    </w:p>
    <w:p w14:paraId="26EABE40">
      <w:pPr>
        <w:pStyle w:val="199"/>
        <w:spacing w:before="120"/>
        <w:rPr>
          <w:color w:val="auto"/>
          <w:sz w:val="24"/>
          <w:highlight w:val="none"/>
        </w:rPr>
      </w:pPr>
      <w:r>
        <w:rPr>
          <w:rFonts w:hint="eastAsia"/>
          <w:color w:val="auto"/>
          <w:sz w:val="24"/>
          <w:highlight w:val="none"/>
        </w:rPr>
        <w:t>表5.5-</w:t>
      </w:r>
      <w:r>
        <w:rPr>
          <w:rFonts w:hint="eastAsia"/>
          <w:color w:val="auto"/>
          <w:sz w:val="24"/>
          <w:highlight w:val="none"/>
          <w:lang w:val="en-US" w:eastAsia="zh-CN"/>
        </w:rPr>
        <w:t xml:space="preserve">2  </w:t>
      </w:r>
      <w:r>
        <w:rPr>
          <w:color w:val="auto"/>
          <w:sz w:val="24"/>
          <w:highlight w:val="none"/>
        </w:rPr>
        <w:t xml:space="preserve"> </w:t>
      </w:r>
      <w:r>
        <w:rPr>
          <w:rFonts w:hint="eastAsia"/>
          <w:color w:val="auto"/>
          <w:sz w:val="24"/>
          <w:highlight w:val="none"/>
        </w:rPr>
        <w:t>工业企业厂界环境噪声排放标准</w:t>
      </w:r>
      <w:r>
        <w:rPr>
          <w:color w:val="auto"/>
          <w:sz w:val="24"/>
          <w:highlight w:val="none"/>
        </w:rPr>
        <w:t xml:space="preserve"> </w:t>
      </w:r>
      <w:r>
        <w:rPr>
          <w:rFonts w:hint="eastAsia"/>
          <w:color w:val="auto"/>
          <w:sz w:val="24"/>
          <w:highlight w:val="none"/>
          <w:lang w:val="en-US" w:eastAsia="zh-CN"/>
        </w:rPr>
        <w:t xml:space="preserve">  </w:t>
      </w:r>
      <w:r>
        <w:rPr>
          <w:color w:val="auto"/>
          <w:sz w:val="24"/>
          <w:highlight w:val="none"/>
        </w:rPr>
        <w:t xml:space="preserve"> </w:t>
      </w:r>
      <w:r>
        <w:rPr>
          <w:rFonts w:hint="eastAsia"/>
          <w:color w:val="auto"/>
          <w:sz w:val="24"/>
          <w:highlight w:val="none"/>
        </w:rPr>
        <w:t>单位：</w:t>
      </w:r>
      <w:r>
        <w:rPr>
          <w:color w:val="auto"/>
          <w:sz w:val="24"/>
          <w:highlight w:val="none"/>
        </w:rPr>
        <w:t>Leq</w:t>
      </w:r>
      <w:r>
        <w:rPr>
          <w:rFonts w:hint="eastAsia"/>
          <w:color w:val="auto"/>
          <w:sz w:val="24"/>
          <w:highlight w:val="none"/>
        </w:rPr>
        <w:t>［</w:t>
      </w:r>
      <w:r>
        <w:rPr>
          <w:color w:val="auto"/>
          <w:sz w:val="24"/>
          <w:highlight w:val="none"/>
        </w:rPr>
        <w:t>dB</w:t>
      </w:r>
      <w:r>
        <w:rPr>
          <w:rFonts w:hint="eastAsia"/>
          <w:color w:val="auto"/>
          <w:sz w:val="24"/>
          <w:highlight w:val="none"/>
        </w:rPr>
        <w:t>（</w:t>
      </w:r>
      <w:r>
        <w:rPr>
          <w:color w:val="auto"/>
          <w:sz w:val="24"/>
          <w:highlight w:val="none"/>
        </w:rPr>
        <w:t>A</w:t>
      </w:r>
      <w:r>
        <w:rPr>
          <w:rFonts w:hint="eastAsia"/>
          <w:color w:val="auto"/>
          <w:sz w:val="24"/>
          <w:highlight w:val="none"/>
        </w:rPr>
        <w:t>）］</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5"/>
        <w:gridCol w:w="2896"/>
        <w:gridCol w:w="2726"/>
      </w:tblGrid>
      <w:tr w14:paraId="45E57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0" w:type="dxa"/>
            <w:noWrap w:val="0"/>
            <w:vAlign w:val="center"/>
          </w:tcPr>
          <w:p w14:paraId="71840A27">
            <w:pPr>
              <w:pStyle w:val="122"/>
              <w:rPr>
                <w:color w:val="auto"/>
                <w:szCs w:val="21"/>
                <w:highlight w:val="none"/>
              </w:rPr>
            </w:pPr>
            <w:r>
              <w:rPr>
                <w:rFonts w:hint="eastAsia"/>
                <w:color w:val="auto"/>
                <w:szCs w:val="21"/>
                <w:highlight w:val="none"/>
              </w:rPr>
              <w:t>类别</w:t>
            </w:r>
          </w:p>
        </w:tc>
        <w:tc>
          <w:tcPr>
            <w:tcW w:w="3301" w:type="dxa"/>
            <w:noWrap w:val="0"/>
            <w:vAlign w:val="center"/>
          </w:tcPr>
          <w:p w14:paraId="48F42F00">
            <w:pPr>
              <w:pStyle w:val="122"/>
              <w:rPr>
                <w:color w:val="auto"/>
                <w:szCs w:val="21"/>
                <w:highlight w:val="none"/>
              </w:rPr>
            </w:pPr>
            <w:r>
              <w:rPr>
                <w:rFonts w:hint="eastAsia"/>
                <w:color w:val="auto"/>
                <w:szCs w:val="21"/>
                <w:highlight w:val="none"/>
              </w:rPr>
              <w:t>昼间</w:t>
            </w:r>
          </w:p>
        </w:tc>
        <w:tc>
          <w:tcPr>
            <w:tcW w:w="3106" w:type="dxa"/>
            <w:noWrap w:val="0"/>
            <w:vAlign w:val="center"/>
          </w:tcPr>
          <w:p w14:paraId="58F26E14">
            <w:pPr>
              <w:pStyle w:val="122"/>
              <w:rPr>
                <w:color w:val="auto"/>
                <w:szCs w:val="21"/>
                <w:highlight w:val="none"/>
              </w:rPr>
            </w:pPr>
            <w:r>
              <w:rPr>
                <w:rFonts w:hint="eastAsia"/>
                <w:color w:val="auto"/>
                <w:szCs w:val="21"/>
                <w:highlight w:val="none"/>
              </w:rPr>
              <w:t>夜间</w:t>
            </w:r>
          </w:p>
        </w:tc>
      </w:tr>
      <w:tr w14:paraId="46813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00" w:type="dxa"/>
            <w:noWrap w:val="0"/>
            <w:vAlign w:val="center"/>
          </w:tcPr>
          <w:p w14:paraId="2AA90C59">
            <w:pPr>
              <w:pStyle w:val="122"/>
              <w:rPr>
                <w:color w:val="auto"/>
                <w:szCs w:val="21"/>
                <w:highlight w:val="none"/>
              </w:rPr>
            </w:pPr>
            <w:r>
              <w:rPr>
                <w:color w:val="auto"/>
                <w:szCs w:val="21"/>
                <w:highlight w:val="none"/>
              </w:rPr>
              <w:t>3</w:t>
            </w:r>
          </w:p>
        </w:tc>
        <w:tc>
          <w:tcPr>
            <w:tcW w:w="3301" w:type="dxa"/>
            <w:noWrap w:val="0"/>
            <w:vAlign w:val="center"/>
          </w:tcPr>
          <w:p w14:paraId="563B5D06">
            <w:pPr>
              <w:pStyle w:val="122"/>
              <w:rPr>
                <w:color w:val="auto"/>
                <w:szCs w:val="21"/>
                <w:highlight w:val="none"/>
              </w:rPr>
            </w:pPr>
            <w:r>
              <w:rPr>
                <w:color w:val="auto"/>
                <w:szCs w:val="21"/>
                <w:highlight w:val="none"/>
              </w:rPr>
              <w:t>65</w:t>
            </w:r>
          </w:p>
        </w:tc>
        <w:tc>
          <w:tcPr>
            <w:tcW w:w="3106" w:type="dxa"/>
            <w:noWrap w:val="0"/>
            <w:vAlign w:val="center"/>
          </w:tcPr>
          <w:p w14:paraId="03FDCDC6">
            <w:pPr>
              <w:pStyle w:val="122"/>
              <w:rPr>
                <w:color w:val="auto"/>
                <w:szCs w:val="21"/>
                <w:highlight w:val="none"/>
              </w:rPr>
            </w:pPr>
            <w:r>
              <w:rPr>
                <w:color w:val="auto"/>
                <w:szCs w:val="21"/>
                <w:highlight w:val="none"/>
              </w:rPr>
              <w:t>55</w:t>
            </w:r>
          </w:p>
        </w:tc>
      </w:tr>
    </w:tbl>
    <w:p w14:paraId="5F56CA89">
      <w:pPr>
        <w:pStyle w:val="5"/>
        <w:rPr>
          <w:color w:val="auto"/>
          <w:highlight w:val="none"/>
        </w:rPr>
      </w:pPr>
      <w:bookmarkStart w:id="166" w:name="_Toc24447151"/>
      <w:r>
        <w:rPr>
          <w:rFonts w:hint="eastAsia"/>
          <w:color w:val="auto"/>
          <w:highlight w:val="none"/>
        </w:rPr>
        <w:t>预测结果</w:t>
      </w:r>
      <w:r>
        <w:rPr>
          <w:rFonts w:hint="eastAsia"/>
          <w:color w:val="auto"/>
          <w:highlight w:val="none"/>
          <w:lang w:val="en-US" w:eastAsia="zh-CN"/>
        </w:rPr>
        <w:t>及评价</w:t>
      </w:r>
      <w:r>
        <w:rPr>
          <w:rFonts w:hint="eastAsia"/>
          <w:color w:val="auto"/>
          <w:highlight w:val="none"/>
        </w:rPr>
        <w:t>分析</w:t>
      </w:r>
      <w:bookmarkEnd w:id="166"/>
    </w:p>
    <w:p w14:paraId="69381000">
      <w:pPr>
        <w:ind w:firstLine="480"/>
        <w:rPr>
          <w:rFonts w:hint="eastAsia"/>
          <w:color w:val="auto"/>
          <w:highlight w:val="none"/>
          <w:lang w:val="en-US" w:eastAsia="zh-CN"/>
        </w:rPr>
      </w:pPr>
      <w:r>
        <w:rPr>
          <w:rFonts w:hint="eastAsia"/>
          <w:color w:val="auto"/>
          <w:highlight w:val="none"/>
          <w:lang w:val="en-US" w:eastAsia="zh-CN"/>
        </w:rPr>
        <w:t>通过预测，本项目厂区正常工况下厂界噪声贡献值预测结果见下表5.5-3。</w:t>
      </w:r>
    </w:p>
    <w:p w14:paraId="594704E6">
      <w:pPr>
        <w:pStyle w:val="199"/>
        <w:spacing w:before="120"/>
        <w:rPr>
          <w:rFonts w:hint="eastAsia"/>
          <w:color w:val="auto"/>
          <w:sz w:val="24"/>
          <w:highlight w:val="none"/>
        </w:rPr>
      </w:pPr>
      <w:r>
        <w:rPr>
          <w:rFonts w:hint="eastAsia"/>
          <w:color w:val="auto"/>
          <w:sz w:val="24"/>
          <w:highlight w:val="none"/>
        </w:rPr>
        <w:t>表5.</w:t>
      </w:r>
      <w:r>
        <w:rPr>
          <w:rFonts w:hint="eastAsia"/>
          <w:color w:val="auto"/>
          <w:sz w:val="24"/>
          <w:highlight w:val="none"/>
          <w:lang w:val="en-US" w:eastAsia="zh-CN"/>
        </w:rPr>
        <w:t>5-3</w:t>
      </w:r>
      <w:r>
        <w:rPr>
          <w:rFonts w:hint="eastAsia"/>
          <w:color w:val="auto"/>
          <w:sz w:val="24"/>
          <w:highlight w:val="none"/>
        </w:rPr>
        <w:t xml:space="preserve"> </w:t>
      </w:r>
      <w:r>
        <w:rPr>
          <w:rFonts w:hint="eastAsia"/>
          <w:color w:val="auto"/>
          <w:sz w:val="24"/>
          <w:highlight w:val="none"/>
          <w:lang w:val="en-US" w:eastAsia="zh-CN"/>
        </w:rPr>
        <w:t xml:space="preserve">    </w:t>
      </w:r>
      <w:r>
        <w:rPr>
          <w:rFonts w:hint="eastAsia"/>
          <w:color w:val="auto"/>
          <w:sz w:val="24"/>
          <w:highlight w:val="none"/>
        </w:rPr>
        <w:t xml:space="preserve">噪声值影响结果表   </w:t>
      </w:r>
      <w:r>
        <w:rPr>
          <w:rFonts w:hint="eastAsia"/>
          <w:color w:val="auto"/>
          <w:sz w:val="24"/>
          <w:highlight w:val="none"/>
          <w:lang w:val="en-US" w:eastAsia="zh-CN"/>
        </w:rPr>
        <w:t xml:space="preserve"> </w:t>
      </w:r>
      <w:r>
        <w:rPr>
          <w:rFonts w:hint="eastAsia"/>
          <w:color w:val="auto"/>
          <w:sz w:val="24"/>
          <w:highlight w:val="none"/>
        </w:rPr>
        <w:t>单位：（dB(A)）</w:t>
      </w:r>
    </w:p>
    <w:tbl>
      <w:tblPr>
        <w:tblStyle w:val="297"/>
        <w:tblW w:w="5000" w:type="pct"/>
        <w:tblInd w:w="23"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6"/>
        <w:gridCol w:w="1403"/>
        <w:gridCol w:w="1402"/>
        <w:gridCol w:w="1754"/>
        <w:gridCol w:w="2985"/>
      </w:tblGrid>
      <w:tr w14:paraId="03EA2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363" w:type="dxa"/>
            <w:gridSpan w:val="2"/>
            <w:tcBorders>
              <w:tl2br w:val="nil"/>
              <w:tr2bl w:val="nil"/>
            </w:tcBorders>
            <w:noWrap w:val="0"/>
            <w:vAlign w:val="center"/>
          </w:tcPr>
          <w:p w14:paraId="7578638E">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厂界名称</w:t>
            </w:r>
          </w:p>
        </w:tc>
        <w:tc>
          <w:tcPr>
            <w:tcW w:w="1535" w:type="dxa"/>
            <w:tcBorders>
              <w:tl2br w:val="nil"/>
              <w:tr2bl w:val="nil"/>
            </w:tcBorders>
            <w:noWrap w:val="0"/>
            <w:vAlign w:val="center"/>
          </w:tcPr>
          <w:p w14:paraId="5D685F6E">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贡献值</w:t>
            </w:r>
          </w:p>
        </w:tc>
        <w:tc>
          <w:tcPr>
            <w:tcW w:w="1919" w:type="dxa"/>
            <w:tcBorders>
              <w:tl2br w:val="nil"/>
              <w:tr2bl w:val="nil"/>
            </w:tcBorders>
            <w:noWrap w:val="0"/>
            <w:vAlign w:val="center"/>
          </w:tcPr>
          <w:p w14:paraId="424D0833">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标准值</w:t>
            </w:r>
          </w:p>
        </w:tc>
        <w:tc>
          <w:tcPr>
            <w:tcW w:w="3268" w:type="dxa"/>
            <w:tcBorders>
              <w:tl2br w:val="nil"/>
              <w:tr2bl w:val="nil"/>
            </w:tcBorders>
            <w:noWrap w:val="0"/>
            <w:vAlign w:val="center"/>
          </w:tcPr>
          <w:p w14:paraId="6521FC79">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达标情况</w:t>
            </w:r>
          </w:p>
        </w:tc>
      </w:tr>
      <w:tr w14:paraId="0C48BD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7" w:type="dxa"/>
            <w:vMerge w:val="restart"/>
            <w:tcBorders>
              <w:tl2br w:val="nil"/>
              <w:tr2bl w:val="nil"/>
            </w:tcBorders>
            <w:noWrap w:val="0"/>
            <w:vAlign w:val="center"/>
          </w:tcPr>
          <w:p w14:paraId="55157F77">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厂区</w:t>
            </w:r>
          </w:p>
        </w:tc>
        <w:tc>
          <w:tcPr>
            <w:tcW w:w="1536" w:type="dxa"/>
            <w:tcBorders>
              <w:tl2br w:val="nil"/>
              <w:tr2bl w:val="nil"/>
            </w:tcBorders>
            <w:noWrap w:val="0"/>
            <w:vAlign w:val="center"/>
          </w:tcPr>
          <w:p w14:paraId="18805C6D">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东厂界</w:t>
            </w:r>
          </w:p>
        </w:tc>
        <w:tc>
          <w:tcPr>
            <w:tcW w:w="1535" w:type="dxa"/>
            <w:tcBorders>
              <w:tl2br w:val="nil"/>
              <w:tr2bl w:val="nil"/>
            </w:tcBorders>
            <w:noWrap w:val="0"/>
            <w:vAlign w:val="center"/>
          </w:tcPr>
          <w:p w14:paraId="79048DBF">
            <w:pPr>
              <w:pStyle w:val="245"/>
              <w:autoSpaceDN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51.</w:t>
            </w:r>
            <w:r>
              <w:rPr>
                <w:rFonts w:hint="eastAsia" w:cs="Times New Roman"/>
                <w:color w:val="auto"/>
                <w:highlight w:val="none"/>
                <w:lang w:val="en-US" w:eastAsia="zh-CN"/>
              </w:rPr>
              <w:t>1</w:t>
            </w:r>
          </w:p>
        </w:tc>
        <w:tc>
          <w:tcPr>
            <w:tcW w:w="1919" w:type="dxa"/>
            <w:vMerge w:val="restart"/>
            <w:tcBorders>
              <w:tl2br w:val="nil"/>
              <w:tr2bl w:val="nil"/>
            </w:tcBorders>
            <w:noWrap w:val="0"/>
            <w:vAlign w:val="center"/>
          </w:tcPr>
          <w:p w14:paraId="066D1FEE">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昼间 65</w:t>
            </w:r>
          </w:p>
          <w:p w14:paraId="37E20E86">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夜间 55</w:t>
            </w:r>
          </w:p>
        </w:tc>
        <w:tc>
          <w:tcPr>
            <w:tcW w:w="3268" w:type="dxa"/>
            <w:tcBorders>
              <w:tl2br w:val="nil"/>
              <w:tr2bl w:val="nil"/>
            </w:tcBorders>
            <w:noWrap w:val="0"/>
            <w:vAlign w:val="center"/>
          </w:tcPr>
          <w:p w14:paraId="33F12447">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昼间达标；夜间达标</w:t>
            </w:r>
          </w:p>
        </w:tc>
      </w:tr>
      <w:tr w14:paraId="5C8D2B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7" w:type="dxa"/>
            <w:vMerge w:val="continue"/>
            <w:tcBorders>
              <w:tl2br w:val="nil"/>
              <w:tr2bl w:val="nil"/>
            </w:tcBorders>
            <w:noWrap w:val="0"/>
            <w:vAlign w:val="center"/>
          </w:tcPr>
          <w:p w14:paraId="7299F7DC">
            <w:pPr>
              <w:pStyle w:val="245"/>
              <w:autoSpaceDN w:val="0"/>
              <w:spacing w:line="240" w:lineRule="auto"/>
              <w:jc w:val="center"/>
              <w:rPr>
                <w:rFonts w:hint="eastAsia" w:ascii="Times New Roman" w:hAnsi="Times New Roman" w:cs="Times New Roman"/>
                <w:color w:val="auto"/>
                <w:highlight w:val="none"/>
                <w:lang w:val="en-US" w:eastAsia="zh-CN"/>
              </w:rPr>
            </w:pPr>
          </w:p>
        </w:tc>
        <w:tc>
          <w:tcPr>
            <w:tcW w:w="1536" w:type="dxa"/>
            <w:tcBorders>
              <w:tl2br w:val="nil"/>
              <w:tr2bl w:val="nil"/>
            </w:tcBorders>
            <w:noWrap w:val="0"/>
            <w:vAlign w:val="center"/>
          </w:tcPr>
          <w:p w14:paraId="1F3344DD">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南厂界</w:t>
            </w:r>
          </w:p>
        </w:tc>
        <w:tc>
          <w:tcPr>
            <w:tcW w:w="1535" w:type="dxa"/>
            <w:tcBorders>
              <w:tl2br w:val="nil"/>
              <w:tr2bl w:val="nil"/>
            </w:tcBorders>
            <w:noWrap w:val="0"/>
            <w:vAlign w:val="center"/>
          </w:tcPr>
          <w:p w14:paraId="3B772D7D">
            <w:pPr>
              <w:pStyle w:val="245"/>
              <w:autoSpaceDN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39.</w:t>
            </w:r>
            <w:r>
              <w:rPr>
                <w:rFonts w:hint="eastAsia" w:cs="Times New Roman"/>
                <w:color w:val="auto"/>
                <w:highlight w:val="none"/>
                <w:lang w:val="en-US" w:eastAsia="zh-CN"/>
              </w:rPr>
              <w:t>8</w:t>
            </w:r>
          </w:p>
        </w:tc>
        <w:tc>
          <w:tcPr>
            <w:tcW w:w="1919" w:type="dxa"/>
            <w:vMerge w:val="continue"/>
            <w:tcBorders>
              <w:tl2br w:val="nil"/>
              <w:tr2bl w:val="nil"/>
            </w:tcBorders>
            <w:noWrap w:val="0"/>
            <w:vAlign w:val="center"/>
          </w:tcPr>
          <w:p w14:paraId="7B6BF446">
            <w:pPr>
              <w:pStyle w:val="245"/>
              <w:autoSpaceDN w:val="0"/>
              <w:spacing w:line="240" w:lineRule="auto"/>
              <w:jc w:val="center"/>
              <w:rPr>
                <w:rFonts w:hint="eastAsia" w:ascii="Times New Roman" w:hAnsi="Times New Roman" w:cs="Times New Roman"/>
                <w:color w:val="auto"/>
                <w:highlight w:val="none"/>
                <w:lang w:val="en-US" w:eastAsia="zh-CN"/>
              </w:rPr>
            </w:pPr>
          </w:p>
        </w:tc>
        <w:tc>
          <w:tcPr>
            <w:tcW w:w="3268" w:type="dxa"/>
            <w:tcBorders>
              <w:tl2br w:val="nil"/>
              <w:tr2bl w:val="nil"/>
            </w:tcBorders>
            <w:noWrap w:val="0"/>
            <w:vAlign w:val="center"/>
          </w:tcPr>
          <w:p w14:paraId="139DD25C">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昼间达标；夜间达标</w:t>
            </w:r>
          </w:p>
        </w:tc>
      </w:tr>
      <w:tr w14:paraId="250F11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7" w:type="dxa"/>
            <w:vMerge w:val="continue"/>
            <w:tcBorders>
              <w:tl2br w:val="nil"/>
              <w:tr2bl w:val="nil"/>
            </w:tcBorders>
            <w:noWrap w:val="0"/>
            <w:vAlign w:val="center"/>
          </w:tcPr>
          <w:p w14:paraId="227E3C1A">
            <w:pPr>
              <w:pStyle w:val="245"/>
              <w:autoSpaceDN w:val="0"/>
              <w:spacing w:line="240" w:lineRule="auto"/>
              <w:jc w:val="center"/>
              <w:rPr>
                <w:rFonts w:hint="eastAsia" w:ascii="Times New Roman" w:hAnsi="Times New Roman" w:cs="Times New Roman"/>
                <w:color w:val="auto"/>
                <w:highlight w:val="none"/>
                <w:lang w:val="en-US" w:eastAsia="zh-CN"/>
              </w:rPr>
            </w:pPr>
          </w:p>
        </w:tc>
        <w:tc>
          <w:tcPr>
            <w:tcW w:w="1536" w:type="dxa"/>
            <w:tcBorders>
              <w:tl2br w:val="nil"/>
              <w:tr2bl w:val="nil"/>
            </w:tcBorders>
            <w:noWrap w:val="0"/>
            <w:vAlign w:val="center"/>
          </w:tcPr>
          <w:p w14:paraId="4C6FC6F6">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西厂界</w:t>
            </w:r>
          </w:p>
        </w:tc>
        <w:tc>
          <w:tcPr>
            <w:tcW w:w="1535" w:type="dxa"/>
            <w:tcBorders>
              <w:tl2br w:val="nil"/>
              <w:tr2bl w:val="nil"/>
            </w:tcBorders>
            <w:noWrap w:val="0"/>
            <w:vAlign w:val="center"/>
          </w:tcPr>
          <w:p w14:paraId="36105EF0">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6</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3</w:t>
            </w:r>
          </w:p>
        </w:tc>
        <w:tc>
          <w:tcPr>
            <w:tcW w:w="1919" w:type="dxa"/>
            <w:vMerge w:val="continue"/>
            <w:tcBorders>
              <w:tl2br w:val="nil"/>
              <w:tr2bl w:val="nil"/>
            </w:tcBorders>
            <w:noWrap w:val="0"/>
            <w:vAlign w:val="center"/>
          </w:tcPr>
          <w:p w14:paraId="5AA14B45">
            <w:pPr>
              <w:pStyle w:val="245"/>
              <w:autoSpaceDN w:val="0"/>
              <w:spacing w:line="240" w:lineRule="auto"/>
              <w:jc w:val="center"/>
              <w:rPr>
                <w:rFonts w:hint="eastAsia" w:ascii="Times New Roman" w:hAnsi="Times New Roman" w:cs="Times New Roman"/>
                <w:color w:val="auto"/>
                <w:highlight w:val="none"/>
                <w:lang w:val="en-US" w:eastAsia="zh-CN"/>
              </w:rPr>
            </w:pPr>
          </w:p>
        </w:tc>
        <w:tc>
          <w:tcPr>
            <w:tcW w:w="3268" w:type="dxa"/>
            <w:tcBorders>
              <w:tl2br w:val="nil"/>
              <w:tr2bl w:val="nil"/>
            </w:tcBorders>
            <w:noWrap w:val="0"/>
            <w:vAlign w:val="center"/>
          </w:tcPr>
          <w:p w14:paraId="397B6F5B">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昼间达标；夜间达标</w:t>
            </w:r>
          </w:p>
        </w:tc>
      </w:tr>
      <w:tr w14:paraId="2331A2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27" w:type="dxa"/>
            <w:vMerge w:val="continue"/>
            <w:tcBorders>
              <w:tl2br w:val="nil"/>
              <w:tr2bl w:val="nil"/>
            </w:tcBorders>
            <w:noWrap w:val="0"/>
            <w:vAlign w:val="center"/>
          </w:tcPr>
          <w:p w14:paraId="3D3F73E1">
            <w:pPr>
              <w:pStyle w:val="245"/>
              <w:autoSpaceDN w:val="0"/>
              <w:spacing w:line="240" w:lineRule="auto"/>
              <w:jc w:val="center"/>
              <w:rPr>
                <w:rFonts w:hint="eastAsia" w:ascii="Times New Roman" w:hAnsi="Times New Roman" w:cs="Times New Roman"/>
                <w:color w:val="auto"/>
                <w:highlight w:val="none"/>
                <w:lang w:val="en-US" w:eastAsia="zh-CN"/>
              </w:rPr>
            </w:pPr>
          </w:p>
        </w:tc>
        <w:tc>
          <w:tcPr>
            <w:tcW w:w="1536" w:type="dxa"/>
            <w:tcBorders>
              <w:tl2br w:val="nil"/>
              <w:tr2bl w:val="nil"/>
            </w:tcBorders>
            <w:noWrap w:val="0"/>
            <w:vAlign w:val="center"/>
          </w:tcPr>
          <w:p w14:paraId="3BB27D2A">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北厂界</w:t>
            </w:r>
          </w:p>
        </w:tc>
        <w:tc>
          <w:tcPr>
            <w:tcW w:w="1535" w:type="dxa"/>
            <w:tcBorders>
              <w:tl2br w:val="nil"/>
              <w:tr2bl w:val="nil"/>
            </w:tcBorders>
            <w:noWrap w:val="0"/>
            <w:vAlign w:val="center"/>
          </w:tcPr>
          <w:p w14:paraId="681BC125">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48.</w:t>
            </w:r>
            <w:r>
              <w:rPr>
                <w:rFonts w:hint="eastAsia" w:cs="Times New Roman"/>
                <w:color w:val="auto"/>
                <w:highlight w:val="none"/>
                <w:lang w:val="en-US" w:eastAsia="zh-CN"/>
              </w:rPr>
              <w:t>9</w:t>
            </w:r>
          </w:p>
        </w:tc>
        <w:tc>
          <w:tcPr>
            <w:tcW w:w="1919" w:type="dxa"/>
            <w:vMerge w:val="continue"/>
            <w:tcBorders>
              <w:tl2br w:val="nil"/>
              <w:tr2bl w:val="nil"/>
            </w:tcBorders>
            <w:noWrap w:val="0"/>
            <w:vAlign w:val="center"/>
          </w:tcPr>
          <w:p w14:paraId="4DD4B4C0">
            <w:pPr>
              <w:pStyle w:val="245"/>
              <w:autoSpaceDN w:val="0"/>
              <w:spacing w:line="240" w:lineRule="auto"/>
              <w:jc w:val="center"/>
              <w:rPr>
                <w:rFonts w:hint="eastAsia" w:ascii="Times New Roman" w:hAnsi="Times New Roman" w:cs="Times New Roman"/>
                <w:color w:val="auto"/>
                <w:highlight w:val="none"/>
                <w:lang w:val="en-US" w:eastAsia="zh-CN"/>
              </w:rPr>
            </w:pPr>
          </w:p>
        </w:tc>
        <w:tc>
          <w:tcPr>
            <w:tcW w:w="3268" w:type="dxa"/>
            <w:tcBorders>
              <w:tl2br w:val="nil"/>
              <w:tr2bl w:val="nil"/>
            </w:tcBorders>
            <w:noWrap w:val="0"/>
            <w:vAlign w:val="center"/>
          </w:tcPr>
          <w:p w14:paraId="55E5BA5D">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昼间达标；夜间达标</w:t>
            </w:r>
          </w:p>
        </w:tc>
      </w:tr>
    </w:tbl>
    <w:p w14:paraId="7B6200D8">
      <w:pPr>
        <w:ind w:firstLine="480"/>
        <w:rPr>
          <w:rFonts w:hint="eastAsia"/>
          <w:color w:val="auto"/>
          <w:highlight w:val="none"/>
          <w:lang w:val="en-US" w:eastAsia="zh-CN"/>
        </w:rPr>
      </w:pPr>
      <w:r>
        <w:rPr>
          <w:rFonts w:hint="eastAsia"/>
          <w:color w:val="auto"/>
          <w:highlight w:val="none"/>
          <w:lang w:val="en-US" w:eastAsia="zh-CN"/>
        </w:rPr>
        <w:t>由上表可见，本项目建成后厂界噪声贡献值满足《工业企业厂界环境噪声排放标准》（GB12348-2008）3类限值。</w:t>
      </w:r>
      <w:r>
        <w:rPr>
          <w:rFonts w:hint="eastAsia"/>
          <w:color w:val="auto"/>
          <w:highlight w:val="none"/>
        </w:rPr>
        <w:t>对声环境的影响是可以接受的。从声环境保护角度而言，本工程的建设是可行的。</w:t>
      </w:r>
    </w:p>
    <w:p w14:paraId="1AC6E8FC">
      <w:pPr>
        <w:pStyle w:val="5"/>
        <w:rPr>
          <w:color w:val="auto"/>
          <w:highlight w:val="none"/>
        </w:rPr>
      </w:pPr>
      <w:r>
        <w:rPr>
          <w:rFonts w:hint="eastAsia"/>
          <w:color w:val="auto"/>
          <w:highlight w:val="none"/>
          <w:lang w:val="en-US" w:eastAsia="zh-CN"/>
        </w:rPr>
        <w:t>声环境影响评价自查表</w:t>
      </w:r>
    </w:p>
    <w:p w14:paraId="001717D6">
      <w:pPr>
        <w:ind w:firstLine="480"/>
        <w:rPr>
          <w:rFonts w:hint="eastAsia"/>
          <w:color w:val="auto"/>
          <w:highlight w:val="none"/>
          <w:lang w:val="en-US" w:eastAsia="zh-CN"/>
        </w:rPr>
      </w:pPr>
      <w:r>
        <w:rPr>
          <w:rFonts w:hint="eastAsia"/>
          <w:color w:val="auto"/>
          <w:highlight w:val="none"/>
          <w:lang w:val="en-US" w:eastAsia="zh-CN"/>
        </w:rPr>
        <w:t>本项目声环境评价自查表，见下表5.5-4。</w:t>
      </w:r>
    </w:p>
    <w:p w14:paraId="1D7321EA">
      <w:pPr>
        <w:pStyle w:val="199"/>
        <w:keepNext w:val="0"/>
        <w:keepLines w:val="0"/>
        <w:pageBreakBefore/>
        <w:widowControl w:val="0"/>
        <w:kinsoku/>
        <w:wordWrap/>
        <w:overflowPunct/>
        <w:topLinePunct w:val="0"/>
        <w:autoSpaceDE/>
        <w:autoSpaceDN/>
        <w:bidi w:val="0"/>
        <w:adjustRightInd/>
        <w:snapToGrid/>
        <w:spacing w:before="120"/>
        <w:textAlignment w:val="auto"/>
        <w:rPr>
          <w:rFonts w:hint="eastAsia"/>
          <w:color w:val="auto"/>
          <w:sz w:val="24"/>
          <w:highlight w:val="none"/>
        </w:rPr>
      </w:pPr>
      <w:r>
        <w:rPr>
          <w:rFonts w:hint="eastAsia"/>
          <w:color w:val="auto"/>
          <w:sz w:val="24"/>
          <w:highlight w:val="none"/>
        </w:rPr>
        <w:t>表5.</w:t>
      </w:r>
      <w:r>
        <w:rPr>
          <w:rFonts w:hint="eastAsia"/>
          <w:color w:val="auto"/>
          <w:sz w:val="24"/>
          <w:highlight w:val="none"/>
          <w:lang w:val="en-US" w:eastAsia="zh-CN"/>
        </w:rPr>
        <w:t>5</w:t>
      </w:r>
      <w:r>
        <w:rPr>
          <w:rFonts w:hint="eastAsia"/>
          <w:color w:val="auto"/>
          <w:sz w:val="24"/>
          <w:highlight w:val="none"/>
        </w:rPr>
        <w:t>-4</w:t>
      </w:r>
      <w:r>
        <w:rPr>
          <w:rFonts w:hint="eastAsia"/>
          <w:color w:val="auto"/>
          <w:sz w:val="24"/>
          <w:highlight w:val="none"/>
          <w:lang w:val="en-US" w:eastAsia="zh-CN"/>
        </w:rPr>
        <w:t xml:space="preserve">   </w:t>
      </w:r>
      <w:r>
        <w:rPr>
          <w:rFonts w:hint="eastAsia"/>
          <w:color w:val="auto"/>
          <w:sz w:val="24"/>
          <w:highlight w:val="none"/>
        </w:rPr>
        <w:t xml:space="preserve"> 声环境评价自查表</w:t>
      </w:r>
    </w:p>
    <w:tbl>
      <w:tblPr>
        <w:tblStyle w:val="297"/>
        <w:tblW w:w="0" w:type="auto"/>
        <w:tblInd w:w="2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00"/>
        <w:gridCol w:w="1361"/>
        <w:gridCol w:w="1571"/>
        <w:gridCol w:w="203"/>
        <w:gridCol w:w="204"/>
        <w:gridCol w:w="205"/>
        <w:gridCol w:w="306"/>
        <w:gridCol w:w="371"/>
        <w:gridCol w:w="318"/>
        <w:gridCol w:w="253"/>
        <w:gridCol w:w="316"/>
        <w:gridCol w:w="316"/>
        <w:gridCol w:w="1649"/>
      </w:tblGrid>
      <w:tr w14:paraId="5111B7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0" w:type="auto"/>
            <w:gridSpan w:val="2"/>
            <w:tcBorders>
              <w:tl2br w:val="nil"/>
              <w:tr2bl w:val="nil"/>
            </w:tcBorders>
            <w:noWrap w:val="0"/>
            <w:vAlign w:val="center"/>
          </w:tcPr>
          <w:p w14:paraId="672B303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工作内容</w:t>
            </w:r>
          </w:p>
        </w:tc>
        <w:tc>
          <w:tcPr>
            <w:tcW w:w="0" w:type="auto"/>
            <w:gridSpan w:val="11"/>
            <w:tcBorders>
              <w:tl2br w:val="nil"/>
              <w:tr2bl w:val="nil"/>
            </w:tcBorders>
            <w:noWrap w:val="0"/>
            <w:vAlign w:val="center"/>
          </w:tcPr>
          <w:p w14:paraId="4730BCF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自查项目</w:t>
            </w:r>
          </w:p>
        </w:tc>
      </w:tr>
      <w:tr w14:paraId="48DE63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restart"/>
            <w:tcBorders>
              <w:tl2br w:val="nil"/>
              <w:tr2bl w:val="nil"/>
            </w:tcBorders>
            <w:noWrap w:val="0"/>
            <w:vAlign w:val="center"/>
          </w:tcPr>
          <w:p w14:paraId="10A549B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评价等级</w:t>
            </w:r>
          </w:p>
        </w:tc>
        <w:tc>
          <w:tcPr>
            <w:tcW w:w="0" w:type="auto"/>
            <w:tcBorders>
              <w:tl2br w:val="nil"/>
              <w:tr2bl w:val="nil"/>
            </w:tcBorders>
            <w:noWrap w:val="0"/>
            <w:vAlign w:val="center"/>
          </w:tcPr>
          <w:p w14:paraId="1CB1767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评价等级</w:t>
            </w:r>
          </w:p>
        </w:tc>
        <w:tc>
          <w:tcPr>
            <w:tcW w:w="0" w:type="auto"/>
            <w:gridSpan w:val="11"/>
            <w:tcBorders>
              <w:tl2br w:val="nil"/>
              <w:tr2bl w:val="nil"/>
            </w:tcBorders>
            <w:noWrap w:val="0"/>
            <w:vAlign w:val="center"/>
          </w:tcPr>
          <w:p w14:paraId="202449C3">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一级□                 二级□                  三级</w:t>
            </w:r>
            <w:r>
              <w:rPr>
                <w:rFonts w:hint="eastAsia" w:cs="Times New Roman"/>
                <w:color w:val="auto"/>
                <w:highlight w:val="none"/>
                <w:lang w:val="en-US" w:eastAsia="zh-CN"/>
              </w:rPr>
              <w:t>☑</w:t>
            </w:r>
          </w:p>
        </w:tc>
      </w:tr>
      <w:tr w14:paraId="7E65BF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5CB3A62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0B51857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评价范围</w:t>
            </w:r>
          </w:p>
        </w:tc>
        <w:tc>
          <w:tcPr>
            <w:tcW w:w="0" w:type="auto"/>
            <w:gridSpan w:val="11"/>
            <w:tcBorders>
              <w:tl2br w:val="nil"/>
              <w:tr2bl w:val="nil"/>
            </w:tcBorders>
            <w:noWrap w:val="0"/>
            <w:vAlign w:val="center"/>
          </w:tcPr>
          <w:p w14:paraId="5308C13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200m</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大于200m□           小于200m□</w:t>
            </w:r>
          </w:p>
        </w:tc>
      </w:tr>
      <w:tr w14:paraId="35F07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453622B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评价因子</w:t>
            </w:r>
          </w:p>
        </w:tc>
        <w:tc>
          <w:tcPr>
            <w:tcW w:w="0" w:type="auto"/>
            <w:tcBorders>
              <w:tl2br w:val="nil"/>
              <w:tr2bl w:val="nil"/>
            </w:tcBorders>
            <w:noWrap w:val="0"/>
            <w:vAlign w:val="center"/>
          </w:tcPr>
          <w:p w14:paraId="704EFE1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评价因子</w:t>
            </w:r>
          </w:p>
        </w:tc>
        <w:tc>
          <w:tcPr>
            <w:tcW w:w="0" w:type="auto"/>
            <w:gridSpan w:val="11"/>
            <w:tcBorders>
              <w:tl2br w:val="nil"/>
              <w:tr2bl w:val="nil"/>
            </w:tcBorders>
            <w:noWrap w:val="0"/>
            <w:vAlign w:val="center"/>
          </w:tcPr>
          <w:p w14:paraId="78A92FF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等效连续A声级</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最大A声级□           </w:t>
            </w:r>
          </w:p>
          <w:p w14:paraId="4512B69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计权等效连续感觉噪声级□</w:t>
            </w:r>
          </w:p>
        </w:tc>
      </w:tr>
      <w:tr w14:paraId="454D72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3194A25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评价标准</w:t>
            </w:r>
          </w:p>
        </w:tc>
        <w:tc>
          <w:tcPr>
            <w:tcW w:w="0" w:type="auto"/>
            <w:tcBorders>
              <w:tl2br w:val="nil"/>
              <w:tr2bl w:val="nil"/>
            </w:tcBorders>
            <w:noWrap w:val="0"/>
            <w:vAlign w:val="center"/>
          </w:tcPr>
          <w:p w14:paraId="7A5E109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评价标准</w:t>
            </w:r>
          </w:p>
        </w:tc>
        <w:tc>
          <w:tcPr>
            <w:tcW w:w="0" w:type="auto"/>
            <w:gridSpan w:val="11"/>
            <w:tcBorders>
              <w:tl2br w:val="nil"/>
              <w:tr2bl w:val="nil"/>
            </w:tcBorders>
            <w:noWrap w:val="0"/>
            <w:vAlign w:val="center"/>
          </w:tcPr>
          <w:p w14:paraId="79A405E6">
            <w:pPr>
              <w:pStyle w:val="245"/>
              <w:keepNext w:val="0"/>
              <w:keepLines w:val="0"/>
              <w:pageBreakBefore w:val="0"/>
              <w:widowControl w:val="0"/>
              <w:kinsoku/>
              <w:wordWrap/>
              <w:overflowPunct/>
              <w:topLinePunct/>
              <w:autoSpaceDE w:val="0"/>
              <w:autoSpaceDN/>
              <w:bidi w:val="0"/>
              <w:adjustRightInd/>
              <w:snapToGrid/>
              <w:spacing w:line="240" w:lineRule="auto"/>
              <w:jc w:val="both"/>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国家标准</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地方标准□            国外标准□</w:t>
            </w:r>
          </w:p>
        </w:tc>
      </w:tr>
      <w:tr w14:paraId="2B477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restart"/>
            <w:tcBorders>
              <w:tl2br w:val="nil"/>
              <w:tr2bl w:val="nil"/>
            </w:tcBorders>
            <w:noWrap w:val="0"/>
            <w:vAlign w:val="center"/>
          </w:tcPr>
          <w:p w14:paraId="3D54787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现状评价</w:t>
            </w:r>
          </w:p>
        </w:tc>
        <w:tc>
          <w:tcPr>
            <w:tcW w:w="0" w:type="auto"/>
            <w:tcBorders>
              <w:tl2br w:val="nil"/>
              <w:tr2bl w:val="nil"/>
            </w:tcBorders>
            <w:noWrap w:val="0"/>
            <w:vAlign w:val="center"/>
          </w:tcPr>
          <w:p w14:paraId="5F52DAC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环境功能区</w:t>
            </w:r>
          </w:p>
        </w:tc>
        <w:tc>
          <w:tcPr>
            <w:tcW w:w="0" w:type="auto"/>
            <w:tcBorders>
              <w:tl2br w:val="nil"/>
              <w:tr2bl w:val="nil"/>
            </w:tcBorders>
            <w:noWrap w:val="0"/>
            <w:vAlign w:val="center"/>
          </w:tcPr>
          <w:p w14:paraId="138F7157">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0类区□</w:t>
            </w:r>
          </w:p>
        </w:tc>
        <w:tc>
          <w:tcPr>
            <w:tcW w:w="0" w:type="auto"/>
            <w:gridSpan w:val="3"/>
            <w:tcBorders>
              <w:tl2br w:val="nil"/>
              <w:tr2bl w:val="nil"/>
            </w:tcBorders>
            <w:noWrap w:val="0"/>
            <w:vAlign w:val="center"/>
          </w:tcPr>
          <w:p w14:paraId="7653B09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1类区□</w:t>
            </w:r>
          </w:p>
        </w:tc>
        <w:tc>
          <w:tcPr>
            <w:tcW w:w="0" w:type="auto"/>
            <w:gridSpan w:val="2"/>
            <w:tcBorders>
              <w:tl2br w:val="nil"/>
              <w:tr2bl w:val="nil"/>
            </w:tcBorders>
            <w:noWrap w:val="0"/>
            <w:vAlign w:val="center"/>
          </w:tcPr>
          <w:p w14:paraId="4E5D9D4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2类区□</w:t>
            </w:r>
          </w:p>
        </w:tc>
        <w:tc>
          <w:tcPr>
            <w:tcW w:w="0" w:type="auto"/>
            <w:gridSpan w:val="2"/>
            <w:tcBorders>
              <w:tl2br w:val="nil"/>
              <w:tr2bl w:val="nil"/>
            </w:tcBorders>
            <w:noWrap w:val="0"/>
            <w:vAlign w:val="center"/>
          </w:tcPr>
          <w:p w14:paraId="16EA8EF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3类区</w:t>
            </w:r>
            <w:r>
              <w:rPr>
                <w:rFonts w:hint="eastAsia" w:cs="Times New Roman"/>
                <w:color w:val="auto"/>
                <w:highlight w:val="none"/>
                <w:lang w:val="en-US" w:eastAsia="zh-CN"/>
              </w:rPr>
              <w:t>☑</w:t>
            </w:r>
          </w:p>
        </w:tc>
        <w:tc>
          <w:tcPr>
            <w:tcW w:w="0" w:type="auto"/>
            <w:gridSpan w:val="2"/>
            <w:tcBorders>
              <w:tl2br w:val="nil"/>
              <w:tr2bl w:val="nil"/>
            </w:tcBorders>
            <w:noWrap w:val="0"/>
            <w:vAlign w:val="center"/>
          </w:tcPr>
          <w:p w14:paraId="207F498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4a类区□</w:t>
            </w:r>
          </w:p>
        </w:tc>
        <w:tc>
          <w:tcPr>
            <w:tcW w:w="0" w:type="auto"/>
            <w:tcBorders>
              <w:tl2br w:val="nil"/>
              <w:tr2bl w:val="nil"/>
            </w:tcBorders>
            <w:noWrap w:val="0"/>
            <w:vAlign w:val="center"/>
          </w:tcPr>
          <w:p w14:paraId="3A46F2D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4b类区□</w:t>
            </w:r>
          </w:p>
        </w:tc>
      </w:tr>
      <w:tr w14:paraId="3532A9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7769265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21AEFBF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评价年度</w:t>
            </w:r>
          </w:p>
        </w:tc>
        <w:tc>
          <w:tcPr>
            <w:tcW w:w="0" w:type="auto"/>
            <w:gridSpan w:val="2"/>
            <w:tcBorders>
              <w:tl2br w:val="nil"/>
              <w:tr2bl w:val="nil"/>
            </w:tcBorders>
            <w:noWrap w:val="0"/>
            <w:vAlign w:val="center"/>
          </w:tcPr>
          <w:p w14:paraId="604DB70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初期□</w:t>
            </w:r>
          </w:p>
        </w:tc>
        <w:tc>
          <w:tcPr>
            <w:tcW w:w="0" w:type="auto"/>
            <w:gridSpan w:val="4"/>
            <w:tcBorders>
              <w:tl2br w:val="nil"/>
              <w:tr2bl w:val="nil"/>
            </w:tcBorders>
            <w:noWrap w:val="0"/>
            <w:vAlign w:val="center"/>
          </w:tcPr>
          <w:p w14:paraId="654ADD6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近期□</w:t>
            </w:r>
          </w:p>
        </w:tc>
        <w:tc>
          <w:tcPr>
            <w:tcW w:w="0" w:type="auto"/>
            <w:gridSpan w:val="3"/>
            <w:tcBorders>
              <w:tl2br w:val="nil"/>
              <w:tr2bl w:val="nil"/>
            </w:tcBorders>
            <w:noWrap w:val="0"/>
            <w:vAlign w:val="center"/>
          </w:tcPr>
          <w:p w14:paraId="69D6C17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中期□</w:t>
            </w:r>
          </w:p>
        </w:tc>
        <w:tc>
          <w:tcPr>
            <w:tcW w:w="0" w:type="auto"/>
            <w:gridSpan w:val="2"/>
            <w:tcBorders>
              <w:tl2br w:val="nil"/>
              <w:tr2bl w:val="nil"/>
            </w:tcBorders>
            <w:noWrap w:val="0"/>
            <w:vAlign w:val="center"/>
          </w:tcPr>
          <w:p w14:paraId="5C7E8C4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远期口</w:t>
            </w:r>
          </w:p>
        </w:tc>
      </w:tr>
      <w:tr w14:paraId="1F08E5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5396A76A">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2348697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现状调查方法</w:t>
            </w:r>
          </w:p>
        </w:tc>
        <w:tc>
          <w:tcPr>
            <w:tcW w:w="0" w:type="auto"/>
            <w:gridSpan w:val="11"/>
            <w:tcBorders>
              <w:tl2br w:val="nil"/>
              <w:tr2bl w:val="nil"/>
            </w:tcBorders>
            <w:noWrap w:val="0"/>
            <w:vAlign w:val="center"/>
          </w:tcPr>
          <w:p w14:paraId="3A3A81F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现场实测法</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现场实测加模型计算法□    收集资料法□</w:t>
            </w:r>
          </w:p>
        </w:tc>
      </w:tr>
      <w:tr w14:paraId="297D9F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4975584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7785645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现状评价</w:t>
            </w:r>
          </w:p>
        </w:tc>
        <w:tc>
          <w:tcPr>
            <w:tcW w:w="0" w:type="auto"/>
            <w:gridSpan w:val="3"/>
            <w:tcBorders>
              <w:tl2br w:val="nil"/>
              <w:tr2bl w:val="nil"/>
            </w:tcBorders>
            <w:noWrap w:val="0"/>
            <w:vAlign w:val="center"/>
          </w:tcPr>
          <w:p w14:paraId="29243D7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达标百分比</w:t>
            </w:r>
          </w:p>
        </w:tc>
        <w:tc>
          <w:tcPr>
            <w:tcW w:w="0" w:type="auto"/>
            <w:gridSpan w:val="8"/>
            <w:tcBorders>
              <w:tl2br w:val="nil"/>
              <w:tr2bl w:val="nil"/>
            </w:tcBorders>
            <w:noWrap w:val="0"/>
            <w:vAlign w:val="center"/>
          </w:tcPr>
          <w:p w14:paraId="2E9778D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100%</w:t>
            </w:r>
          </w:p>
        </w:tc>
      </w:tr>
      <w:tr w14:paraId="171F3B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4A20A8B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噪声源调查</w:t>
            </w:r>
          </w:p>
        </w:tc>
        <w:tc>
          <w:tcPr>
            <w:tcW w:w="0" w:type="auto"/>
            <w:tcBorders>
              <w:tl2br w:val="nil"/>
              <w:tr2bl w:val="nil"/>
            </w:tcBorders>
            <w:noWrap w:val="0"/>
            <w:vAlign w:val="center"/>
          </w:tcPr>
          <w:p w14:paraId="39243BE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噪声源</w:t>
            </w:r>
          </w:p>
          <w:p w14:paraId="494CEC4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调查方法</w:t>
            </w:r>
          </w:p>
        </w:tc>
        <w:tc>
          <w:tcPr>
            <w:tcW w:w="0" w:type="auto"/>
            <w:gridSpan w:val="11"/>
            <w:tcBorders>
              <w:tl2br w:val="nil"/>
              <w:tr2bl w:val="nil"/>
            </w:tcBorders>
            <w:noWrap w:val="0"/>
            <w:vAlign w:val="center"/>
          </w:tcPr>
          <w:p w14:paraId="6C3C0E4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现场实测□            已有资料</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研究成果□</w:t>
            </w:r>
          </w:p>
        </w:tc>
      </w:tr>
      <w:tr w14:paraId="207CF6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restart"/>
            <w:tcBorders>
              <w:tl2br w:val="nil"/>
              <w:tr2bl w:val="nil"/>
            </w:tcBorders>
            <w:noWrap w:val="0"/>
            <w:vAlign w:val="center"/>
          </w:tcPr>
          <w:p w14:paraId="717442D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声环境影响预 测于评价</w:t>
            </w:r>
          </w:p>
        </w:tc>
        <w:tc>
          <w:tcPr>
            <w:tcW w:w="0" w:type="auto"/>
            <w:tcBorders>
              <w:tl2br w:val="nil"/>
              <w:tr2bl w:val="nil"/>
            </w:tcBorders>
            <w:noWrap w:val="0"/>
            <w:vAlign w:val="center"/>
          </w:tcPr>
          <w:p w14:paraId="3C93812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预测模型</w:t>
            </w:r>
          </w:p>
        </w:tc>
        <w:tc>
          <w:tcPr>
            <w:tcW w:w="0" w:type="auto"/>
            <w:gridSpan w:val="11"/>
            <w:tcBorders>
              <w:tl2br w:val="nil"/>
              <w:tr2bl w:val="nil"/>
            </w:tcBorders>
            <w:noWrap w:val="0"/>
            <w:vAlign w:val="center"/>
          </w:tcPr>
          <w:p w14:paraId="22E9463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导则推荐模型</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其他□</w:t>
            </w:r>
          </w:p>
        </w:tc>
      </w:tr>
      <w:tr w14:paraId="0CF59F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505F4D55">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64AE26D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预测范围</w:t>
            </w:r>
          </w:p>
        </w:tc>
        <w:tc>
          <w:tcPr>
            <w:tcW w:w="0" w:type="auto"/>
            <w:gridSpan w:val="11"/>
            <w:tcBorders>
              <w:tl2br w:val="nil"/>
              <w:tr2bl w:val="nil"/>
            </w:tcBorders>
            <w:noWrap w:val="0"/>
            <w:vAlign w:val="center"/>
          </w:tcPr>
          <w:p w14:paraId="5F7985A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200m</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大于200m□             小于200m□</w:t>
            </w:r>
          </w:p>
        </w:tc>
      </w:tr>
      <w:tr w14:paraId="7ADBBD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02E08FA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1895818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预测因子</w:t>
            </w:r>
          </w:p>
        </w:tc>
        <w:tc>
          <w:tcPr>
            <w:tcW w:w="0" w:type="auto"/>
            <w:gridSpan w:val="11"/>
            <w:tcBorders>
              <w:tl2br w:val="nil"/>
              <w:tr2bl w:val="nil"/>
            </w:tcBorders>
            <w:noWrap w:val="0"/>
            <w:vAlign w:val="center"/>
          </w:tcPr>
          <w:p w14:paraId="65E7A3CD">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等效连续A声级</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最大A声级□ 计权等效连续感觉噪声级□</w:t>
            </w:r>
          </w:p>
        </w:tc>
      </w:tr>
      <w:tr w14:paraId="1DFD4C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79B5293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21338CB8">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厂界噪声</w:t>
            </w:r>
          </w:p>
          <w:p w14:paraId="01D585A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贡献值</w:t>
            </w:r>
          </w:p>
        </w:tc>
        <w:tc>
          <w:tcPr>
            <w:tcW w:w="0" w:type="auto"/>
            <w:gridSpan w:val="11"/>
            <w:tcBorders>
              <w:tl2br w:val="nil"/>
              <w:tr2bl w:val="nil"/>
            </w:tcBorders>
            <w:noWrap w:val="0"/>
            <w:vAlign w:val="center"/>
          </w:tcPr>
          <w:p w14:paraId="1882A73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不达标□</w:t>
            </w:r>
          </w:p>
        </w:tc>
      </w:tr>
      <w:tr w14:paraId="7FCE49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0D64BEA0">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296715B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声环境保护目标处噪声值</w:t>
            </w:r>
          </w:p>
        </w:tc>
        <w:tc>
          <w:tcPr>
            <w:tcW w:w="0" w:type="auto"/>
            <w:gridSpan w:val="11"/>
            <w:tcBorders>
              <w:tl2br w:val="nil"/>
              <w:tr2bl w:val="nil"/>
            </w:tcBorders>
            <w:noWrap w:val="0"/>
            <w:vAlign w:val="center"/>
          </w:tcPr>
          <w:p w14:paraId="05FA905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达标口                                       不达标□</w:t>
            </w:r>
          </w:p>
        </w:tc>
      </w:tr>
      <w:tr w14:paraId="38B3F9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restart"/>
            <w:tcBorders>
              <w:tl2br w:val="nil"/>
              <w:tr2bl w:val="nil"/>
            </w:tcBorders>
            <w:noWrap w:val="0"/>
            <w:vAlign w:val="center"/>
          </w:tcPr>
          <w:p w14:paraId="2F7E8E4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环境监测计划</w:t>
            </w:r>
          </w:p>
        </w:tc>
        <w:tc>
          <w:tcPr>
            <w:tcW w:w="0" w:type="auto"/>
            <w:tcBorders>
              <w:tl2br w:val="nil"/>
              <w:tr2bl w:val="nil"/>
            </w:tcBorders>
            <w:noWrap w:val="0"/>
            <w:vAlign w:val="center"/>
          </w:tcPr>
          <w:p w14:paraId="508F75BB">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排放监测</w:t>
            </w:r>
          </w:p>
        </w:tc>
        <w:tc>
          <w:tcPr>
            <w:tcW w:w="0" w:type="auto"/>
            <w:gridSpan w:val="11"/>
            <w:tcBorders>
              <w:tl2br w:val="nil"/>
              <w:tr2bl w:val="nil"/>
            </w:tcBorders>
            <w:noWrap w:val="0"/>
            <w:vAlign w:val="center"/>
          </w:tcPr>
          <w:p w14:paraId="5D604234">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厂界监测</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固定位置监测□   自动监测□   手动监测口      无监测□</w:t>
            </w:r>
          </w:p>
        </w:tc>
      </w:tr>
      <w:tr w14:paraId="450DBC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vMerge w:val="continue"/>
            <w:tcBorders>
              <w:tl2br w:val="nil"/>
              <w:tr2bl w:val="nil"/>
            </w:tcBorders>
            <w:noWrap w:val="0"/>
            <w:vAlign w:val="center"/>
          </w:tcPr>
          <w:p w14:paraId="00B8BD4F">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p>
        </w:tc>
        <w:tc>
          <w:tcPr>
            <w:tcW w:w="0" w:type="auto"/>
            <w:tcBorders>
              <w:tl2br w:val="nil"/>
              <w:tr2bl w:val="nil"/>
            </w:tcBorders>
            <w:noWrap w:val="0"/>
            <w:vAlign w:val="center"/>
          </w:tcPr>
          <w:p w14:paraId="669F25D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声环境保护目标处噪声监测</w:t>
            </w:r>
          </w:p>
        </w:tc>
        <w:tc>
          <w:tcPr>
            <w:tcW w:w="0" w:type="auto"/>
            <w:gridSpan w:val="5"/>
            <w:tcBorders>
              <w:tl2br w:val="nil"/>
              <w:tr2bl w:val="nil"/>
            </w:tcBorders>
            <w:noWrap w:val="0"/>
            <w:vAlign w:val="center"/>
          </w:tcPr>
          <w:p w14:paraId="3294B482">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监测因子（等效连续A声级）</w:t>
            </w:r>
          </w:p>
        </w:tc>
        <w:tc>
          <w:tcPr>
            <w:tcW w:w="0" w:type="auto"/>
            <w:gridSpan w:val="2"/>
            <w:tcBorders>
              <w:tl2br w:val="nil"/>
              <w:tr2bl w:val="nil"/>
            </w:tcBorders>
            <w:noWrap w:val="0"/>
            <w:vAlign w:val="center"/>
          </w:tcPr>
          <w:p w14:paraId="04CCB1A1">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监测点位数</w:t>
            </w:r>
          </w:p>
        </w:tc>
        <w:tc>
          <w:tcPr>
            <w:tcW w:w="0" w:type="auto"/>
            <w:gridSpan w:val="4"/>
            <w:tcBorders>
              <w:tl2br w:val="nil"/>
              <w:tr2bl w:val="nil"/>
            </w:tcBorders>
            <w:noWrap w:val="0"/>
            <w:vAlign w:val="center"/>
          </w:tcPr>
          <w:p w14:paraId="157182C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无监测</w:t>
            </w:r>
            <w:r>
              <w:rPr>
                <w:rFonts w:hint="eastAsia" w:cs="Times New Roman"/>
                <w:color w:val="auto"/>
                <w:highlight w:val="none"/>
                <w:lang w:val="en-US" w:eastAsia="zh-CN"/>
              </w:rPr>
              <w:t>☑</w:t>
            </w:r>
          </w:p>
        </w:tc>
      </w:tr>
      <w:tr w14:paraId="10B10C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tcBorders>
              <w:tl2br w:val="nil"/>
              <w:tr2bl w:val="nil"/>
            </w:tcBorders>
            <w:noWrap w:val="0"/>
            <w:vAlign w:val="center"/>
          </w:tcPr>
          <w:p w14:paraId="00C9A4A9">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评价结论</w:t>
            </w:r>
          </w:p>
        </w:tc>
        <w:tc>
          <w:tcPr>
            <w:tcW w:w="0" w:type="auto"/>
            <w:tcBorders>
              <w:tl2br w:val="nil"/>
              <w:tr2bl w:val="nil"/>
            </w:tcBorders>
            <w:noWrap w:val="0"/>
            <w:vAlign w:val="center"/>
          </w:tcPr>
          <w:p w14:paraId="1447E99C">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环境影响</w:t>
            </w:r>
          </w:p>
        </w:tc>
        <w:tc>
          <w:tcPr>
            <w:tcW w:w="0" w:type="auto"/>
            <w:gridSpan w:val="11"/>
            <w:tcBorders>
              <w:tl2br w:val="nil"/>
              <w:tr2bl w:val="nil"/>
            </w:tcBorders>
            <w:noWrap w:val="0"/>
            <w:vAlign w:val="center"/>
          </w:tcPr>
          <w:p w14:paraId="46AFBCCE">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                                       不可行□</w:t>
            </w:r>
          </w:p>
        </w:tc>
      </w:tr>
      <w:tr w14:paraId="6BBF5A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0" w:type="auto"/>
            <w:gridSpan w:val="13"/>
            <w:tcBorders>
              <w:tl2br w:val="nil"/>
              <w:tr2bl w:val="nil"/>
            </w:tcBorders>
            <w:noWrap w:val="0"/>
            <w:vAlign w:val="center"/>
          </w:tcPr>
          <w:p w14:paraId="23289BF6">
            <w:pPr>
              <w:pStyle w:val="245"/>
              <w:keepNext w:val="0"/>
              <w:keepLines w:val="0"/>
              <w:pageBreakBefore w:val="0"/>
              <w:widowControl w:val="0"/>
              <w:kinsoku/>
              <w:wordWrap/>
              <w:overflowPunct/>
              <w:topLinePunct/>
              <w:autoSpaceDE w:val="0"/>
              <w:autoSpaceDN/>
              <w:bidi w:val="0"/>
              <w:adjustRightInd/>
              <w:snapToGrid/>
              <w:spacing w:line="240" w:lineRule="auto"/>
              <w:jc w:val="center"/>
              <w:textAlignment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注：ℼ□”为勾选项，可√ ; ℼ  () ℽ为内容填写项。√</w:t>
            </w:r>
          </w:p>
        </w:tc>
      </w:tr>
    </w:tbl>
    <w:p w14:paraId="10DE99D8">
      <w:pPr>
        <w:pStyle w:val="4"/>
        <w:keepNext/>
        <w:keepLines/>
        <w:pageBreakBefore/>
        <w:widowControl w:val="0"/>
        <w:kinsoku/>
        <w:wordWrap/>
        <w:overflowPunct/>
        <w:topLinePunct w:val="0"/>
        <w:autoSpaceDE/>
        <w:autoSpaceDN/>
        <w:bidi w:val="0"/>
        <w:adjustRightInd w:val="0"/>
        <w:snapToGrid w:val="0"/>
        <w:spacing w:before="120" w:after="120"/>
        <w:textAlignment w:val="auto"/>
        <w:rPr>
          <w:color w:val="auto"/>
          <w:highlight w:val="none"/>
        </w:rPr>
      </w:pPr>
      <w:bookmarkStart w:id="167" w:name="_Toc58916166"/>
      <w:bookmarkStart w:id="168" w:name="_Toc24447626"/>
      <w:bookmarkStart w:id="169" w:name="_Toc27339"/>
      <w:bookmarkStart w:id="170" w:name="_Toc24447152"/>
      <w:bookmarkStart w:id="171" w:name="_Toc24340231"/>
      <w:r>
        <w:rPr>
          <w:rFonts w:hint="eastAsia"/>
          <w:color w:val="auto"/>
          <w:highlight w:val="none"/>
        </w:rPr>
        <w:t>固体废物</w:t>
      </w:r>
      <w:r>
        <w:rPr>
          <w:rFonts w:hint="eastAsia"/>
          <w:color w:val="auto"/>
          <w:highlight w:val="none"/>
          <w:lang w:val="en-US" w:eastAsia="zh-CN"/>
        </w:rPr>
        <w:t>环境影响</w:t>
      </w:r>
      <w:r>
        <w:rPr>
          <w:rFonts w:hint="eastAsia"/>
          <w:color w:val="auto"/>
          <w:highlight w:val="none"/>
        </w:rPr>
        <w:t>分析</w:t>
      </w:r>
      <w:bookmarkEnd w:id="167"/>
      <w:bookmarkEnd w:id="168"/>
      <w:bookmarkEnd w:id="169"/>
      <w:bookmarkEnd w:id="170"/>
      <w:bookmarkEnd w:id="171"/>
    </w:p>
    <w:p w14:paraId="51D369CB">
      <w:pPr>
        <w:pStyle w:val="5"/>
        <w:rPr>
          <w:color w:val="auto"/>
          <w:highlight w:val="none"/>
        </w:rPr>
      </w:pPr>
      <w:bookmarkStart w:id="172" w:name="_Toc24447153"/>
      <w:r>
        <w:rPr>
          <w:rFonts w:hint="eastAsia"/>
          <w:color w:val="auto"/>
          <w:highlight w:val="none"/>
        </w:rPr>
        <w:t>固废类别</w:t>
      </w:r>
      <w:bookmarkEnd w:id="172"/>
    </w:p>
    <w:p w14:paraId="067E0364">
      <w:pPr>
        <w:ind w:firstLine="480"/>
        <w:rPr>
          <w:color w:val="auto"/>
          <w:highlight w:val="none"/>
        </w:rPr>
      </w:pPr>
      <w:r>
        <w:rPr>
          <w:color w:val="auto"/>
          <w:highlight w:val="none"/>
        </w:rPr>
        <w:t>根据《中华人民共和国固体废物污染环境防治法》、</w:t>
      </w:r>
      <w:r>
        <w:rPr>
          <w:rFonts w:hint="eastAsia"/>
          <w:color w:val="auto"/>
          <w:highlight w:val="none"/>
        </w:rPr>
        <w:t>《国家危险废物名录》（202</w:t>
      </w:r>
      <w:r>
        <w:rPr>
          <w:rFonts w:hint="eastAsia"/>
          <w:color w:val="auto"/>
          <w:highlight w:val="none"/>
          <w:lang w:val="en-US" w:eastAsia="zh-CN"/>
        </w:rPr>
        <w:t>5</w:t>
      </w:r>
      <w:r>
        <w:rPr>
          <w:rFonts w:hint="eastAsia"/>
          <w:color w:val="auto"/>
          <w:highlight w:val="none"/>
        </w:rPr>
        <w:t xml:space="preserve"> 年版）</w:t>
      </w:r>
      <w:r>
        <w:rPr>
          <w:color w:val="auto"/>
          <w:highlight w:val="none"/>
        </w:rPr>
        <w:t>及相关鉴别标准，可将固体废物分为危险废物、一般工业固废等。</w:t>
      </w:r>
    </w:p>
    <w:p w14:paraId="75C01F01">
      <w:pPr>
        <w:pStyle w:val="5"/>
        <w:rPr>
          <w:color w:val="auto"/>
          <w:highlight w:val="none"/>
        </w:rPr>
      </w:pPr>
      <w:bookmarkStart w:id="173" w:name="_Toc24447154"/>
      <w:r>
        <w:rPr>
          <w:rFonts w:hint="eastAsia"/>
          <w:color w:val="auto"/>
          <w:highlight w:val="none"/>
        </w:rPr>
        <w:t>一般固废影响分析</w:t>
      </w:r>
      <w:bookmarkEnd w:id="173"/>
    </w:p>
    <w:p w14:paraId="588AD0DC">
      <w:pPr>
        <w:pStyle w:val="169"/>
        <w:snapToGrid w:val="0"/>
        <w:spacing w:line="360" w:lineRule="auto"/>
        <w:ind w:firstLine="480" w:firstLineChars="200"/>
        <w:rPr>
          <w:rFonts w:ascii="Times New Roman" w:cs="Times New Roman"/>
          <w:color w:val="auto"/>
          <w:highlight w:val="none"/>
        </w:rPr>
      </w:pPr>
      <w:r>
        <w:rPr>
          <w:rFonts w:hint="eastAsia" w:ascii="Times New Roman" w:cs="Times New Roman"/>
          <w:color w:val="auto"/>
          <w:highlight w:val="none"/>
          <w:lang w:val="en-US" w:eastAsia="zh-CN"/>
        </w:rPr>
        <w:t>本项目破碎、筛分工序产生的粉尘废气采用袋式除尘器进行过滤净化处理，收集的除尘灰直接送入球磨、洗选工序，回收精矿粉，资源化利用，不外排；球磨机在运转一段时间后，内部钢球由于不停的碰撞，会慢慢的变小、磨损，定期对内部钢球进行清理，替换下来的废钢球由供应商更换回收，资源化利用，不外排；循环水池内混凝沉淀后产生的底泥经尾矿压滤机压滤后同尾矿砂一同综合利用；选矿过程中经压滤后尾矿砂，暂存于尾矿砂暂存库内，采用密闭车辆送至</w:t>
      </w:r>
      <w:r>
        <w:rPr>
          <w:rFonts w:hint="eastAsia" w:ascii="Times New Roman" w:cs="Times New Roman"/>
          <w:color w:val="auto"/>
          <w:highlight w:val="yellow"/>
          <w:lang w:val="en-US" w:eastAsia="zh-CN"/>
        </w:rPr>
        <w:t>河北围场满族蒙古族自治县联玉墙体材料厂和隆化县皓诚新型节能砖厂</w:t>
      </w:r>
      <w:r>
        <w:rPr>
          <w:rFonts w:hint="eastAsia" w:ascii="Times New Roman" w:cs="Times New Roman"/>
          <w:color w:val="auto"/>
          <w:highlight w:val="none"/>
          <w:lang w:val="en-US" w:eastAsia="zh-CN"/>
        </w:rPr>
        <w:t>作制砖原材料，资源化综合利用</w:t>
      </w:r>
      <w:r>
        <w:rPr>
          <w:rFonts w:hint="eastAsia" w:cs="Times New Roman"/>
          <w:color w:val="auto"/>
          <w:highlight w:val="none"/>
          <w:lang w:val="en-US" w:eastAsia="zh-CN"/>
        </w:rPr>
        <w:t>，因接纳砖厂市场原因利用不畅时，本项目产生的尾矿砂做周边矿区采空坑生态恢复填充料进行综合利用</w:t>
      </w:r>
      <w:r>
        <w:rPr>
          <w:rFonts w:hint="eastAsia" w:ascii="Times New Roman" w:cs="Times New Roman"/>
          <w:color w:val="auto"/>
          <w:highlight w:val="none"/>
          <w:lang w:val="en-US" w:eastAsia="zh-CN"/>
        </w:rPr>
        <w:t>；</w:t>
      </w:r>
      <w:r>
        <w:rPr>
          <w:rFonts w:hint="eastAsia"/>
          <w:color w:val="auto"/>
          <w:highlight w:val="none"/>
        </w:rPr>
        <w:t>生活垃圾，集中收集后交由环卫部门统一处置。</w:t>
      </w:r>
    </w:p>
    <w:p w14:paraId="75913BE5">
      <w:pPr>
        <w:pStyle w:val="169"/>
        <w:snapToGrid w:val="0"/>
        <w:spacing w:line="360" w:lineRule="auto"/>
        <w:ind w:firstLine="480" w:firstLineChars="200"/>
        <w:rPr>
          <w:color w:val="auto"/>
          <w:highlight w:val="none"/>
        </w:rPr>
      </w:pPr>
      <w:r>
        <w:rPr>
          <w:rFonts w:hint="eastAsia"/>
          <w:color w:val="auto"/>
          <w:highlight w:val="none"/>
        </w:rPr>
        <w:t>本项目产生的一般工业固体废物和生活垃圾均得到妥善处置，不会对环境影响造成不良影响。</w:t>
      </w:r>
    </w:p>
    <w:p w14:paraId="08F913EC">
      <w:pPr>
        <w:pStyle w:val="5"/>
        <w:rPr>
          <w:snapToGrid/>
          <w:color w:val="auto"/>
          <w:highlight w:val="none"/>
        </w:rPr>
      </w:pPr>
      <w:bookmarkStart w:id="174" w:name="_Toc24447155"/>
      <w:r>
        <w:rPr>
          <w:rFonts w:hint="eastAsia"/>
          <w:snapToGrid/>
          <w:color w:val="auto"/>
          <w:highlight w:val="none"/>
        </w:rPr>
        <w:t>危废影响分析</w:t>
      </w:r>
      <w:bookmarkEnd w:id="174"/>
    </w:p>
    <w:p w14:paraId="69F51782">
      <w:pPr>
        <w:pStyle w:val="169"/>
        <w:snapToGrid w:val="0"/>
        <w:spacing w:line="360" w:lineRule="auto"/>
        <w:ind w:firstLine="480" w:firstLineChars="200"/>
        <w:rPr>
          <w:color w:val="auto"/>
          <w:highlight w:val="none"/>
        </w:rPr>
      </w:pPr>
      <w:r>
        <w:rPr>
          <w:rFonts w:hint="eastAsia"/>
          <w:color w:val="auto"/>
          <w:highlight w:val="none"/>
        </w:rPr>
        <w:t>本项目产生的危险废物主要</w:t>
      </w:r>
      <w:r>
        <w:rPr>
          <w:rFonts w:hint="eastAsia" w:ascii="Times New Roman" w:cs="Times New Roman"/>
          <w:color w:val="auto"/>
          <w:highlight w:val="none"/>
        </w:rPr>
        <w:t>废</w:t>
      </w:r>
      <w:r>
        <w:rPr>
          <w:rFonts w:hint="eastAsia" w:ascii="Times New Roman" w:cs="Times New Roman"/>
          <w:color w:val="auto"/>
          <w:highlight w:val="none"/>
          <w:lang w:val="en-US" w:eastAsia="zh-CN"/>
        </w:rPr>
        <w:t>机油和废油桶</w:t>
      </w:r>
      <w:r>
        <w:rPr>
          <w:rFonts w:hint="eastAsia" w:ascii="Times New Roman" w:cs="Times New Roman"/>
          <w:color w:val="auto"/>
          <w:highlight w:val="none"/>
        </w:rPr>
        <w:t>，</w:t>
      </w:r>
      <w:r>
        <w:rPr>
          <w:rFonts w:hint="eastAsia"/>
          <w:color w:val="auto"/>
          <w:highlight w:val="none"/>
        </w:rPr>
        <w:t>临时</w:t>
      </w:r>
      <w:r>
        <w:rPr>
          <w:color w:val="auto"/>
          <w:highlight w:val="none"/>
        </w:rPr>
        <w:t>暂存于</w:t>
      </w:r>
      <w:r>
        <w:rPr>
          <w:rFonts w:hint="eastAsia"/>
          <w:color w:val="auto"/>
          <w:highlight w:val="none"/>
          <w:lang w:val="en-US" w:eastAsia="zh-CN"/>
        </w:rPr>
        <w:t>新建的20</w:t>
      </w:r>
      <w:r>
        <w:rPr>
          <w:color w:val="auto"/>
          <w:highlight w:val="none"/>
        </w:rPr>
        <w:t>m</w:t>
      </w:r>
      <w:r>
        <w:rPr>
          <w:color w:val="auto"/>
          <w:highlight w:val="none"/>
          <w:vertAlign w:val="superscript"/>
        </w:rPr>
        <w:t>2</w:t>
      </w:r>
      <w:r>
        <w:rPr>
          <w:rFonts w:hint="eastAsia"/>
          <w:color w:val="auto"/>
          <w:highlight w:val="none"/>
          <w:lang w:val="en-US" w:eastAsia="zh-CN"/>
        </w:rPr>
        <w:t>危险废物临时暂存间</w:t>
      </w:r>
      <w:r>
        <w:rPr>
          <w:color w:val="auto"/>
          <w:highlight w:val="none"/>
        </w:rPr>
        <w:t>危废暂存间内，</w:t>
      </w:r>
      <w:r>
        <w:rPr>
          <w:rFonts w:hint="eastAsia"/>
          <w:color w:val="auto"/>
          <w:highlight w:val="none"/>
        </w:rPr>
        <w:t>再</w:t>
      </w:r>
      <w:r>
        <w:rPr>
          <w:color w:val="auto"/>
          <w:highlight w:val="none"/>
        </w:rPr>
        <w:t>交</w:t>
      </w:r>
      <w:r>
        <w:rPr>
          <w:rFonts w:hint="eastAsia"/>
          <w:color w:val="auto"/>
          <w:highlight w:val="none"/>
        </w:rPr>
        <w:t>由</w:t>
      </w:r>
      <w:r>
        <w:rPr>
          <w:color w:val="auto"/>
          <w:highlight w:val="none"/>
        </w:rPr>
        <w:t>具有</w:t>
      </w:r>
      <w:r>
        <w:rPr>
          <w:rFonts w:hint="eastAsia"/>
          <w:color w:val="auto"/>
          <w:highlight w:val="none"/>
          <w:lang w:val="en-US" w:eastAsia="zh-CN"/>
        </w:rPr>
        <w:t>危险废物经营许可证</w:t>
      </w:r>
      <w:r>
        <w:rPr>
          <w:color w:val="auto"/>
          <w:highlight w:val="none"/>
        </w:rPr>
        <w:t>单位处置</w:t>
      </w:r>
      <w:r>
        <w:rPr>
          <w:rFonts w:hint="eastAsia"/>
          <w:color w:val="auto"/>
          <w:highlight w:val="none"/>
        </w:rPr>
        <w:t>。</w:t>
      </w:r>
    </w:p>
    <w:p w14:paraId="27F6F14D">
      <w:pPr>
        <w:pStyle w:val="169"/>
        <w:snapToGrid w:val="0"/>
        <w:spacing w:line="360" w:lineRule="auto"/>
        <w:ind w:firstLine="480" w:firstLineChars="200"/>
        <w:rPr>
          <w:color w:val="auto"/>
          <w:highlight w:val="none"/>
        </w:rPr>
      </w:pPr>
      <w:r>
        <w:rPr>
          <w:rFonts w:hint="eastAsia"/>
          <w:color w:val="auto"/>
          <w:highlight w:val="none"/>
        </w:rPr>
        <w:t>因此，本项目产生的危险均得到妥善处置，对环境影响很小。</w:t>
      </w:r>
    </w:p>
    <w:p w14:paraId="2A771405">
      <w:pPr>
        <w:pStyle w:val="5"/>
        <w:rPr>
          <w:color w:val="auto"/>
          <w:highlight w:val="none"/>
        </w:rPr>
      </w:pPr>
      <w:r>
        <w:rPr>
          <w:rFonts w:hint="eastAsia"/>
          <w:color w:val="auto"/>
          <w:highlight w:val="none"/>
        </w:rPr>
        <w:t>环境影响分析</w:t>
      </w:r>
    </w:p>
    <w:p w14:paraId="48F26BA2">
      <w:pPr>
        <w:ind w:firstLine="480"/>
        <w:rPr>
          <w:color w:val="auto"/>
          <w:highlight w:val="none"/>
        </w:rPr>
      </w:pPr>
      <w:r>
        <w:rPr>
          <w:rFonts w:hint="eastAsia"/>
          <w:color w:val="auto"/>
          <w:highlight w:val="none"/>
        </w:rPr>
        <w:t>固体废物中有害物质主要通过水体、土壤和大气进入环境中，对环境的影响程度取决于释放过程中污染物的转移量及其浓度，从本项目产生的固体废物的种类及其成分来看，若不妥当处理，将有可能对土壤、水体、环境空气质量造成影响。</w:t>
      </w:r>
    </w:p>
    <w:p w14:paraId="32A6FA43">
      <w:pPr>
        <w:ind w:firstLine="480"/>
        <w:rPr>
          <w:color w:val="auto"/>
          <w:highlight w:val="none"/>
        </w:rPr>
      </w:pPr>
      <w:r>
        <w:rPr>
          <w:rFonts w:hint="eastAsia"/>
          <w:color w:val="auto"/>
          <w:highlight w:val="none"/>
        </w:rPr>
        <w:t>（1）固体废物对土壤环境的影响分析</w:t>
      </w:r>
    </w:p>
    <w:p w14:paraId="76FD8B45">
      <w:pPr>
        <w:ind w:firstLine="480"/>
        <w:rPr>
          <w:color w:val="auto"/>
          <w:highlight w:val="none"/>
        </w:rPr>
      </w:pPr>
      <w:r>
        <w:rPr>
          <w:rFonts w:hint="eastAsia"/>
          <w:color w:val="auto"/>
          <w:highlight w:val="none"/>
        </w:rPr>
        <w:t>从本项目固体废物中主要有害成分来看，若固体废物不考虑设置废物堆放场，其中的有害组分很容易经过风化、雨水淋溶、地表径流的侵蚀，渗入土壤，杀死土壤中的微生物，破坏微生物与周围环境构成系统的平衡。</w:t>
      </w:r>
    </w:p>
    <w:p w14:paraId="4A0DB231">
      <w:pPr>
        <w:ind w:firstLine="480"/>
        <w:rPr>
          <w:color w:val="auto"/>
          <w:highlight w:val="none"/>
        </w:rPr>
      </w:pPr>
      <w:r>
        <w:rPr>
          <w:rFonts w:hint="eastAsia"/>
          <w:color w:val="auto"/>
          <w:highlight w:val="none"/>
        </w:rPr>
        <w:t>因此，本项目的固体废物不能直接用于的堆存或填埋，否则将给土壤带来一定的污染。</w:t>
      </w:r>
    </w:p>
    <w:p w14:paraId="606DC0BE">
      <w:pPr>
        <w:ind w:firstLine="480"/>
        <w:rPr>
          <w:color w:val="auto"/>
          <w:highlight w:val="none"/>
        </w:rPr>
      </w:pPr>
      <w:r>
        <w:rPr>
          <w:rFonts w:hint="eastAsia"/>
          <w:color w:val="auto"/>
          <w:highlight w:val="none"/>
        </w:rPr>
        <w:t>（2）固体废物对水体环境的影响分析</w:t>
      </w:r>
    </w:p>
    <w:p w14:paraId="13AE5C88">
      <w:pPr>
        <w:ind w:firstLine="480"/>
        <w:rPr>
          <w:color w:val="auto"/>
          <w:highlight w:val="none"/>
        </w:rPr>
      </w:pPr>
      <w:r>
        <w:rPr>
          <w:rFonts w:hint="eastAsia"/>
          <w:color w:val="auto"/>
          <w:highlight w:val="none"/>
        </w:rPr>
        <w:t>固体废物一旦与水和地表径流相遇，固体废物中的有害成分就会浸滤出来，污染物中有害成分浸出液进入地面水体，使地面水体受到污染，随渗水进入土壤则污染地下水，可能对地面水体和地下水体造成二次污染。</w:t>
      </w:r>
    </w:p>
    <w:p w14:paraId="120CE85C">
      <w:pPr>
        <w:ind w:firstLine="480"/>
        <w:rPr>
          <w:color w:val="auto"/>
          <w:highlight w:val="none"/>
        </w:rPr>
      </w:pPr>
      <w:r>
        <w:rPr>
          <w:rFonts w:hint="eastAsia"/>
          <w:color w:val="auto"/>
          <w:highlight w:val="none"/>
        </w:rPr>
        <w:t>因此</w:t>
      </w:r>
      <w:r>
        <w:rPr>
          <w:rFonts w:hint="eastAsia"/>
          <w:color w:val="auto"/>
          <w:highlight w:val="none"/>
          <w:lang w:eastAsia="zh-CN"/>
        </w:rPr>
        <w:t>，</w:t>
      </w:r>
      <w:r>
        <w:rPr>
          <w:rFonts w:hint="eastAsia"/>
          <w:color w:val="auto"/>
          <w:highlight w:val="none"/>
        </w:rPr>
        <w:t>必须对这类固体废物进行妥善处置。</w:t>
      </w:r>
    </w:p>
    <w:p w14:paraId="074A4D18">
      <w:pPr>
        <w:ind w:firstLine="480"/>
        <w:rPr>
          <w:color w:val="auto"/>
          <w:highlight w:val="none"/>
        </w:rPr>
      </w:pPr>
      <w:r>
        <w:rPr>
          <w:rFonts w:hint="eastAsia"/>
          <w:color w:val="auto"/>
          <w:highlight w:val="none"/>
        </w:rPr>
        <w:t>（3）固体废物对环境空气质量的影响分析</w:t>
      </w:r>
    </w:p>
    <w:p w14:paraId="6651A6F4">
      <w:pPr>
        <w:ind w:firstLine="480"/>
        <w:rPr>
          <w:color w:val="auto"/>
          <w:highlight w:val="none"/>
        </w:rPr>
      </w:pPr>
      <w:r>
        <w:rPr>
          <w:rFonts w:hint="eastAsia"/>
          <w:color w:val="auto"/>
          <w:highlight w:val="none"/>
        </w:rPr>
        <w:t>本项目产生的固体废弃物中不含易挥发性有机物等污染物质，故本项目不会对环境空气造成影响。</w:t>
      </w:r>
    </w:p>
    <w:p w14:paraId="3E407F50">
      <w:pPr>
        <w:ind w:firstLine="480"/>
        <w:rPr>
          <w:rFonts w:ascii="宋体" w:cs="宋体"/>
          <w:color w:val="auto"/>
          <w:kern w:val="0"/>
          <w:highlight w:val="none"/>
        </w:rPr>
      </w:pPr>
      <w:r>
        <w:rPr>
          <w:rFonts w:ascii="宋体" w:cs="宋体"/>
          <w:color w:val="auto"/>
          <w:kern w:val="0"/>
          <w:highlight w:val="none"/>
        </w:rPr>
        <w:t>综上分析，本项目</w:t>
      </w:r>
      <w:r>
        <w:rPr>
          <w:rFonts w:hint="eastAsia"/>
          <w:color w:val="auto"/>
          <w:highlight w:val="none"/>
        </w:rPr>
        <w:t>固体废弃物</w:t>
      </w:r>
      <w:r>
        <w:rPr>
          <w:rFonts w:ascii="宋体" w:cs="宋体"/>
          <w:color w:val="auto"/>
          <w:kern w:val="0"/>
          <w:highlight w:val="none"/>
        </w:rPr>
        <w:t>处置措施合理，去向明确，只要采取合理有效的防范措施，对外环境影响很小。</w:t>
      </w:r>
    </w:p>
    <w:p w14:paraId="1C2C972C">
      <w:pPr>
        <w:pStyle w:val="4"/>
        <w:spacing w:before="120" w:after="120"/>
        <w:rPr>
          <w:color w:val="auto"/>
          <w:highlight w:val="none"/>
        </w:rPr>
      </w:pPr>
      <w:bookmarkStart w:id="175" w:name="_Toc24340232"/>
      <w:bookmarkStart w:id="176" w:name="_Toc24447627"/>
      <w:bookmarkStart w:id="177" w:name="_Toc24447156"/>
      <w:bookmarkStart w:id="178" w:name="_Toc58916167"/>
      <w:bookmarkStart w:id="179" w:name="_Toc20950"/>
      <w:r>
        <w:rPr>
          <w:rFonts w:hint="eastAsia"/>
          <w:color w:val="auto"/>
          <w:highlight w:val="none"/>
        </w:rPr>
        <w:t>土壤环境影响</w:t>
      </w:r>
      <w:bookmarkEnd w:id="175"/>
      <w:bookmarkEnd w:id="176"/>
      <w:bookmarkEnd w:id="177"/>
      <w:bookmarkEnd w:id="178"/>
      <w:r>
        <w:rPr>
          <w:rFonts w:hint="eastAsia"/>
          <w:color w:val="auto"/>
          <w:highlight w:val="none"/>
          <w:lang w:val="en-US" w:eastAsia="zh-CN"/>
        </w:rPr>
        <w:t>分析</w:t>
      </w:r>
      <w:bookmarkEnd w:id="179"/>
    </w:p>
    <w:p w14:paraId="6EAF3198">
      <w:pPr>
        <w:pStyle w:val="5"/>
        <w:rPr>
          <w:rFonts w:hint="eastAsia"/>
          <w:color w:val="auto"/>
          <w:highlight w:val="none"/>
        </w:rPr>
      </w:pPr>
      <w:r>
        <w:rPr>
          <w:rFonts w:hint="eastAsia"/>
          <w:color w:val="auto"/>
          <w:highlight w:val="none"/>
        </w:rPr>
        <w:t>土壤环境影响识别</w:t>
      </w:r>
    </w:p>
    <w:p w14:paraId="7384FC69">
      <w:pPr>
        <w:ind w:firstLine="480"/>
        <w:rPr>
          <w:rFonts w:hint="eastAsia"/>
          <w:color w:val="auto"/>
          <w:highlight w:val="none"/>
        </w:rPr>
      </w:pPr>
      <w:r>
        <w:rPr>
          <w:rFonts w:hint="eastAsia"/>
          <w:color w:val="auto"/>
          <w:highlight w:val="none"/>
          <w:lang w:val="en-US" w:eastAsia="zh-CN"/>
        </w:rPr>
        <w:t>本</w:t>
      </w:r>
      <w:r>
        <w:rPr>
          <w:rFonts w:hint="eastAsia"/>
          <w:color w:val="auto"/>
          <w:highlight w:val="none"/>
        </w:rPr>
        <w:t>项目为萤石矿选矿类项目，项目的建设与运行，通过一定时间的积累后，原料在破碎筛分以及萤石精粉、尾</w:t>
      </w:r>
      <w:r>
        <w:rPr>
          <w:rFonts w:hint="eastAsia"/>
          <w:color w:val="auto"/>
          <w:highlight w:val="none"/>
          <w:lang w:val="en-US" w:eastAsia="zh-CN"/>
        </w:rPr>
        <w:t>矿</w:t>
      </w:r>
      <w:r>
        <w:rPr>
          <w:rFonts w:hint="eastAsia"/>
          <w:color w:val="auto"/>
          <w:highlight w:val="none"/>
        </w:rPr>
        <w:t>砂在堆存过程中产生的粉尘颗粒物，在风力作用下，通过大气沉降作用，进入下风向的土壤中；</w:t>
      </w:r>
      <w:r>
        <w:rPr>
          <w:rFonts w:hint="eastAsia"/>
          <w:color w:val="auto"/>
          <w:highlight w:val="none"/>
          <w:lang w:val="en-US" w:eastAsia="zh-CN"/>
        </w:rPr>
        <w:t>选矿水循环水池</w:t>
      </w:r>
      <w:r>
        <w:rPr>
          <w:rFonts w:hint="eastAsia"/>
          <w:color w:val="auto"/>
          <w:highlight w:val="none"/>
        </w:rPr>
        <w:t>中污染物也可能通过垂直入渗途径渗透进入土壤环境中，从而造成土壤环境在一定范围、一定程度上的理化性质等方面特性发生小范围的改变，导致项目选址及附近区域土壤环境质量在一定程度上发生恶化，建设项目土壤环境影响类型与影响途径见表</w:t>
      </w:r>
      <w:r>
        <w:rPr>
          <w:rFonts w:hint="eastAsia"/>
          <w:color w:val="auto"/>
          <w:highlight w:val="none"/>
          <w:lang w:val="en-US" w:eastAsia="zh-CN"/>
        </w:rPr>
        <w:t>5.7-1</w:t>
      </w:r>
      <w:r>
        <w:rPr>
          <w:rFonts w:hint="eastAsia"/>
          <w:color w:val="auto"/>
          <w:highlight w:val="none"/>
        </w:rPr>
        <w:t>，土壤环境影响源及影响因子识别情况见表</w:t>
      </w:r>
      <w:r>
        <w:rPr>
          <w:rFonts w:hint="eastAsia"/>
          <w:color w:val="auto"/>
          <w:highlight w:val="none"/>
          <w:lang w:val="en-US" w:eastAsia="zh-CN"/>
        </w:rPr>
        <w:t>5.7-2</w:t>
      </w:r>
      <w:r>
        <w:rPr>
          <w:rFonts w:hint="eastAsia"/>
          <w:color w:val="auto"/>
          <w:highlight w:val="none"/>
        </w:rPr>
        <w:t>。</w:t>
      </w:r>
    </w:p>
    <w:p w14:paraId="05ACE336">
      <w:pPr>
        <w:pStyle w:val="199"/>
        <w:spacing w:before="120"/>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5.7-1</w:t>
      </w:r>
      <w:r>
        <w:rPr>
          <w:rFonts w:hint="eastAsia"/>
          <w:color w:val="auto"/>
          <w:sz w:val="24"/>
          <w:highlight w:val="none"/>
        </w:rPr>
        <w:t xml:space="preserve">   </w:t>
      </w:r>
      <w:r>
        <w:rPr>
          <w:rFonts w:hint="eastAsia"/>
          <w:color w:val="auto"/>
          <w:sz w:val="24"/>
          <w:highlight w:val="none"/>
          <w:lang w:val="en-US" w:eastAsia="zh-CN"/>
        </w:rPr>
        <w:t>本</w:t>
      </w:r>
      <w:r>
        <w:rPr>
          <w:rFonts w:hint="eastAsia"/>
          <w:color w:val="auto"/>
          <w:sz w:val="24"/>
          <w:highlight w:val="none"/>
        </w:rPr>
        <w:t>项目土壤环境影响类型与影响途径一览表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3"/>
        <w:gridCol w:w="1704"/>
        <w:gridCol w:w="1704"/>
      </w:tblGrid>
      <w:tr w14:paraId="214A9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3" w:type="dxa"/>
            <w:vMerge w:val="restart"/>
            <w:tcBorders>
              <w:tl2br w:val="nil"/>
              <w:tr2bl w:val="nil"/>
            </w:tcBorders>
            <w:noWrap w:val="0"/>
            <w:vAlign w:val="center"/>
          </w:tcPr>
          <w:p w14:paraId="5AB49E4F">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不同时段</w:t>
            </w:r>
          </w:p>
        </w:tc>
        <w:tc>
          <w:tcPr>
            <w:tcW w:w="6812" w:type="dxa"/>
            <w:gridSpan w:val="4"/>
            <w:tcBorders>
              <w:tl2br w:val="nil"/>
              <w:tr2bl w:val="nil"/>
            </w:tcBorders>
            <w:noWrap w:val="0"/>
            <w:vAlign w:val="center"/>
          </w:tcPr>
          <w:p w14:paraId="270509F7">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污染影响型</w:t>
            </w:r>
          </w:p>
        </w:tc>
      </w:tr>
      <w:tr w14:paraId="5CFFC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3" w:type="dxa"/>
            <w:vMerge w:val="continue"/>
            <w:tcBorders>
              <w:tl2br w:val="nil"/>
              <w:tr2bl w:val="nil"/>
            </w:tcBorders>
            <w:noWrap w:val="0"/>
            <w:vAlign w:val="center"/>
          </w:tcPr>
          <w:p w14:paraId="3985797B">
            <w:pPr>
              <w:pStyle w:val="245"/>
              <w:autoSpaceDN w:val="0"/>
              <w:spacing w:line="240" w:lineRule="auto"/>
              <w:jc w:val="center"/>
              <w:rPr>
                <w:rFonts w:hint="eastAsia" w:ascii="Times New Roman" w:hAnsi="Times New Roman" w:cs="Times New Roman"/>
                <w:color w:val="auto"/>
                <w:highlight w:val="none"/>
                <w:lang w:val="en-US" w:eastAsia="zh-CN"/>
              </w:rPr>
            </w:pPr>
          </w:p>
        </w:tc>
        <w:tc>
          <w:tcPr>
            <w:tcW w:w="1703" w:type="dxa"/>
            <w:tcBorders>
              <w:tl2br w:val="nil"/>
              <w:tr2bl w:val="nil"/>
            </w:tcBorders>
            <w:noWrap w:val="0"/>
            <w:vAlign w:val="center"/>
          </w:tcPr>
          <w:p w14:paraId="108C1159">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大气沉降</w:t>
            </w:r>
          </w:p>
        </w:tc>
        <w:tc>
          <w:tcPr>
            <w:tcW w:w="1703" w:type="dxa"/>
            <w:tcBorders>
              <w:tl2br w:val="nil"/>
              <w:tr2bl w:val="nil"/>
            </w:tcBorders>
            <w:noWrap w:val="0"/>
            <w:vAlign w:val="center"/>
          </w:tcPr>
          <w:p w14:paraId="7BE0E5CD">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地面漫流</w:t>
            </w:r>
          </w:p>
        </w:tc>
        <w:tc>
          <w:tcPr>
            <w:tcW w:w="1703" w:type="dxa"/>
            <w:tcBorders>
              <w:tl2br w:val="nil"/>
              <w:tr2bl w:val="nil"/>
            </w:tcBorders>
            <w:noWrap w:val="0"/>
            <w:vAlign w:val="center"/>
          </w:tcPr>
          <w:p w14:paraId="4AC7A6AE">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垂直入渗</w:t>
            </w:r>
          </w:p>
        </w:tc>
        <w:tc>
          <w:tcPr>
            <w:tcW w:w="1703" w:type="dxa"/>
            <w:tcBorders>
              <w:tl2br w:val="nil"/>
              <w:tr2bl w:val="nil"/>
            </w:tcBorders>
            <w:noWrap w:val="0"/>
            <w:vAlign w:val="center"/>
          </w:tcPr>
          <w:p w14:paraId="6ACB2E0A">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其他</w:t>
            </w:r>
          </w:p>
        </w:tc>
      </w:tr>
      <w:tr w14:paraId="57256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3" w:type="dxa"/>
            <w:tcBorders>
              <w:tl2br w:val="nil"/>
              <w:tr2bl w:val="nil"/>
            </w:tcBorders>
            <w:noWrap w:val="0"/>
            <w:vAlign w:val="center"/>
          </w:tcPr>
          <w:p w14:paraId="64FDE597">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运营期</w:t>
            </w:r>
          </w:p>
        </w:tc>
        <w:tc>
          <w:tcPr>
            <w:tcW w:w="1703" w:type="dxa"/>
            <w:tcBorders>
              <w:tl2br w:val="nil"/>
              <w:tr2bl w:val="nil"/>
            </w:tcBorders>
            <w:noWrap w:val="0"/>
            <w:vAlign w:val="center"/>
          </w:tcPr>
          <w:p w14:paraId="714D650D">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03" w:type="dxa"/>
            <w:tcBorders>
              <w:tl2br w:val="nil"/>
              <w:tr2bl w:val="nil"/>
            </w:tcBorders>
            <w:noWrap w:val="0"/>
            <w:vAlign w:val="center"/>
          </w:tcPr>
          <w:p w14:paraId="3E8ECCF1">
            <w:pPr>
              <w:pStyle w:val="245"/>
              <w:autoSpaceDN w:val="0"/>
              <w:spacing w:line="240" w:lineRule="auto"/>
              <w:jc w:val="center"/>
              <w:rPr>
                <w:rFonts w:hint="eastAsia" w:ascii="Times New Roman" w:hAnsi="Times New Roman" w:cs="Times New Roman"/>
                <w:color w:val="auto"/>
                <w:highlight w:val="none"/>
                <w:lang w:val="en-US" w:eastAsia="zh-CN"/>
              </w:rPr>
            </w:pPr>
          </w:p>
        </w:tc>
        <w:tc>
          <w:tcPr>
            <w:tcW w:w="1703" w:type="dxa"/>
            <w:tcBorders>
              <w:tl2br w:val="nil"/>
              <w:tr2bl w:val="nil"/>
            </w:tcBorders>
            <w:noWrap w:val="0"/>
            <w:vAlign w:val="center"/>
          </w:tcPr>
          <w:p w14:paraId="5874CCD8">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03" w:type="dxa"/>
            <w:tcBorders>
              <w:tl2br w:val="nil"/>
              <w:tr2bl w:val="nil"/>
            </w:tcBorders>
            <w:noWrap w:val="0"/>
            <w:vAlign w:val="center"/>
          </w:tcPr>
          <w:p w14:paraId="08CB3B7F">
            <w:pPr>
              <w:pStyle w:val="245"/>
              <w:autoSpaceDN w:val="0"/>
              <w:spacing w:line="240" w:lineRule="auto"/>
              <w:jc w:val="center"/>
              <w:rPr>
                <w:rFonts w:hint="eastAsia" w:ascii="Times New Roman" w:hAnsi="Times New Roman" w:cs="Times New Roman"/>
                <w:color w:val="auto"/>
                <w:highlight w:val="none"/>
                <w:lang w:val="en-US" w:eastAsia="zh-CN"/>
              </w:rPr>
            </w:pPr>
          </w:p>
        </w:tc>
      </w:tr>
    </w:tbl>
    <w:p w14:paraId="0B63DB74">
      <w:pPr>
        <w:pStyle w:val="199"/>
        <w:spacing w:before="120"/>
        <w:rPr>
          <w:rFonts w:hint="eastAsia"/>
          <w:color w:val="auto"/>
          <w:sz w:val="24"/>
          <w:highlight w:val="none"/>
        </w:rPr>
      </w:pPr>
    </w:p>
    <w:p w14:paraId="253EA41A">
      <w:pPr>
        <w:pStyle w:val="199"/>
        <w:keepNext w:val="0"/>
        <w:keepLines w:val="0"/>
        <w:pageBreakBefore/>
        <w:widowControl w:val="0"/>
        <w:kinsoku/>
        <w:wordWrap/>
        <w:overflowPunct/>
        <w:topLinePunct w:val="0"/>
        <w:autoSpaceDE/>
        <w:autoSpaceDN/>
        <w:bidi w:val="0"/>
        <w:adjustRightInd/>
        <w:snapToGrid/>
        <w:spacing w:before="120"/>
        <w:textAlignment w:val="auto"/>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5.7-2</w:t>
      </w:r>
      <w:r>
        <w:rPr>
          <w:rFonts w:hint="eastAsia"/>
          <w:color w:val="auto"/>
          <w:sz w:val="24"/>
          <w:highlight w:val="none"/>
        </w:rPr>
        <w:t xml:space="preserve">   </w:t>
      </w:r>
      <w:r>
        <w:rPr>
          <w:rFonts w:hint="eastAsia"/>
          <w:color w:val="auto"/>
          <w:sz w:val="24"/>
          <w:highlight w:val="none"/>
          <w:lang w:val="en-US" w:eastAsia="zh-CN"/>
        </w:rPr>
        <w:t>本</w:t>
      </w:r>
      <w:r>
        <w:rPr>
          <w:rFonts w:hint="eastAsia"/>
          <w:color w:val="auto"/>
          <w:sz w:val="24"/>
          <w:highlight w:val="none"/>
        </w:rPr>
        <w:t>项目土壤环境影响源及影响因子识别一览表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95"/>
        <w:gridCol w:w="1836"/>
        <w:gridCol w:w="1458"/>
        <w:gridCol w:w="1425"/>
      </w:tblGrid>
      <w:tr w14:paraId="12CFA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tcBorders>
              <w:tl2br w:val="nil"/>
              <w:tr2bl w:val="nil"/>
            </w:tcBorders>
            <w:noWrap w:val="0"/>
            <w:vAlign w:val="center"/>
          </w:tcPr>
          <w:p w14:paraId="6C40C8AD">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污染源</w:t>
            </w:r>
          </w:p>
        </w:tc>
        <w:tc>
          <w:tcPr>
            <w:tcW w:w="1078" w:type="pct"/>
            <w:tcBorders>
              <w:tl2br w:val="nil"/>
              <w:tr2bl w:val="nil"/>
            </w:tcBorders>
            <w:noWrap w:val="0"/>
            <w:vAlign w:val="center"/>
          </w:tcPr>
          <w:p w14:paraId="3586AFE4">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工艺流程/节点</w:t>
            </w:r>
          </w:p>
        </w:tc>
        <w:tc>
          <w:tcPr>
            <w:tcW w:w="856" w:type="pct"/>
            <w:tcBorders>
              <w:tl2br w:val="nil"/>
              <w:tr2bl w:val="nil"/>
            </w:tcBorders>
            <w:noWrap w:val="0"/>
            <w:vAlign w:val="center"/>
          </w:tcPr>
          <w:p w14:paraId="13AAAF12">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污染途径</w:t>
            </w:r>
          </w:p>
        </w:tc>
        <w:tc>
          <w:tcPr>
            <w:tcW w:w="836" w:type="pct"/>
            <w:tcBorders>
              <w:tl2br w:val="nil"/>
              <w:tr2bl w:val="nil"/>
            </w:tcBorders>
            <w:noWrap w:val="0"/>
            <w:vAlign w:val="center"/>
          </w:tcPr>
          <w:p w14:paraId="316B99CB">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特征因子</w:t>
            </w:r>
          </w:p>
        </w:tc>
      </w:tr>
      <w:tr w14:paraId="5B02E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tcBorders>
              <w:tl2br w:val="nil"/>
              <w:tr2bl w:val="nil"/>
            </w:tcBorders>
            <w:noWrap w:val="0"/>
            <w:vAlign w:val="center"/>
          </w:tcPr>
          <w:p w14:paraId="014FC0FF">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破碎</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筛分</w:t>
            </w:r>
            <w:r>
              <w:rPr>
                <w:rFonts w:hint="eastAsia" w:cs="Times New Roman"/>
                <w:color w:val="auto"/>
                <w:highlight w:val="none"/>
                <w:lang w:val="en-US" w:eastAsia="zh-CN"/>
              </w:rPr>
              <w:t>车间</w:t>
            </w:r>
          </w:p>
        </w:tc>
        <w:tc>
          <w:tcPr>
            <w:tcW w:w="1078" w:type="pct"/>
            <w:tcBorders>
              <w:tl2br w:val="nil"/>
              <w:tr2bl w:val="nil"/>
            </w:tcBorders>
            <w:noWrap w:val="0"/>
            <w:vAlign w:val="center"/>
          </w:tcPr>
          <w:p w14:paraId="6D85BDCE">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破碎及筛分</w:t>
            </w:r>
          </w:p>
        </w:tc>
        <w:tc>
          <w:tcPr>
            <w:tcW w:w="856" w:type="pct"/>
            <w:tcBorders>
              <w:tl2br w:val="nil"/>
              <w:tr2bl w:val="nil"/>
            </w:tcBorders>
            <w:noWrap w:val="0"/>
            <w:vAlign w:val="center"/>
          </w:tcPr>
          <w:p w14:paraId="4A25D9A1">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大气沉降</w:t>
            </w:r>
          </w:p>
        </w:tc>
        <w:tc>
          <w:tcPr>
            <w:tcW w:w="836" w:type="pct"/>
            <w:tcBorders>
              <w:tl2br w:val="nil"/>
              <w:tr2bl w:val="nil"/>
            </w:tcBorders>
            <w:noWrap w:val="0"/>
            <w:vAlign w:val="center"/>
          </w:tcPr>
          <w:p w14:paraId="6A4EBF0E">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氟化物</w:t>
            </w:r>
          </w:p>
        </w:tc>
      </w:tr>
      <w:tr w14:paraId="05E76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tcBorders>
              <w:tl2br w:val="nil"/>
              <w:tr2bl w:val="nil"/>
            </w:tcBorders>
            <w:noWrap w:val="0"/>
            <w:vAlign w:val="center"/>
          </w:tcPr>
          <w:p w14:paraId="735FAF84">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原料堆场、废石堆放区、萤石精粉堆放区</w:t>
            </w:r>
          </w:p>
        </w:tc>
        <w:tc>
          <w:tcPr>
            <w:tcW w:w="1078" w:type="pct"/>
            <w:tcBorders>
              <w:tl2br w:val="nil"/>
              <w:tr2bl w:val="nil"/>
            </w:tcBorders>
            <w:noWrap w:val="0"/>
            <w:vAlign w:val="center"/>
          </w:tcPr>
          <w:p w14:paraId="5865118D">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物料储存</w:t>
            </w:r>
          </w:p>
        </w:tc>
        <w:tc>
          <w:tcPr>
            <w:tcW w:w="856" w:type="pct"/>
            <w:tcBorders>
              <w:tl2br w:val="nil"/>
              <w:tr2bl w:val="nil"/>
            </w:tcBorders>
            <w:noWrap w:val="0"/>
            <w:vAlign w:val="center"/>
          </w:tcPr>
          <w:p w14:paraId="2217F0A0">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大气沉降</w:t>
            </w:r>
          </w:p>
        </w:tc>
        <w:tc>
          <w:tcPr>
            <w:tcW w:w="836" w:type="pct"/>
            <w:tcBorders>
              <w:tl2br w:val="nil"/>
              <w:tr2bl w:val="nil"/>
            </w:tcBorders>
            <w:noWrap w:val="0"/>
            <w:vAlign w:val="center"/>
          </w:tcPr>
          <w:p w14:paraId="201A72B6">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氟化物</w:t>
            </w:r>
          </w:p>
        </w:tc>
      </w:tr>
      <w:tr w14:paraId="17F70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tcBorders>
              <w:tl2br w:val="nil"/>
              <w:tr2bl w:val="nil"/>
            </w:tcBorders>
            <w:noWrap w:val="0"/>
            <w:vAlign w:val="center"/>
          </w:tcPr>
          <w:p w14:paraId="0CE25E78">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选矿水循环</w:t>
            </w:r>
            <w:r>
              <w:rPr>
                <w:rFonts w:hint="eastAsia" w:ascii="Times New Roman" w:hAnsi="Times New Roman" w:cs="Times New Roman"/>
                <w:color w:val="auto"/>
                <w:highlight w:val="none"/>
                <w:lang w:val="en-US" w:eastAsia="zh-CN"/>
              </w:rPr>
              <w:t>池</w:t>
            </w:r>
          </w:p>
        </w:tc>
        <w:tc>
          <w:tcPr>
            <w:tcW w:w="1078" w:type="pct"/>
            <w:tcBorders>
              <w:tl2br w:val="nil"/>
              <w:tr2bl w:val="nil"/>
            </w:tcBorders>
            <w:noWrap w:val="0"/>
            <w:vAlign w:val="center"/>
          </w:tcPr>
          <w:p w14:paraId="733DDEC3">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选矿</w:t>
            </w:r>
          </w:p>
        </w:tc>
        <w:tc>
          <w:tcPr>
            <w:tcW w:w="856" w:type="pct"/>
            <w:tcBorders>
              <w:tl2br w:val="nil"/>
              <w:tr2bl w:val="nil"/>
            </w:tcBorders>
            <w:noWrap w:val="0"/>
            <w:vAlign w:val="center"/>
          </w:tcPr>
          <w:p w14:paraId="71514784">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垂直入渗</w:t>
            </w:r>
          </w:p>
        </w:tc>
        <w:tc>
          <w:tcPr>
            <w:tcW w:w="836" w:type="pct"/>
            <w:tcBorders>
              <w:tl2br w:val="nil"/>
              <w:tr2bl w:val="nil"/>
            </w:tcBorders>
            <w:noWrap w:val="0"/>
            <w:vAlign w:val="center"/>
          </w:tcPr>
          <w:p w14:paraId="3F9CE951">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氟化物</w:t>
            </w:r>
          </w:p>
        </w:tc>
      </w:tr>
      <w:tr w14:paraId="25996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8" w:type="pct"/>
            <w:tcBorders>
              <w:tl2br w:val="nil"/>
              <w:tr2bl w:val="nil"/>
            </w:tcBorders>
            <w:noWrap w:val="0"/>
            <w:vAlign w:val="center"/>
          </w:tcPr>
          <w:p w14:paraId="3B6FEFC2">
            <w:pPr>
              <w:pStyle w:val="245"/>
              <w:autoSpaceDN w:val="0"/>
              <w:spacing w:line="240" w:lineRule="auto"/>
              <w:jc w:val="center"/>
              <w:rPr>
                <w:rFonts w:hint="default" w:cs="Times New Roman"/>
                <w:color w:val="auto"/>
                <w:highlight w:val="none"/>
                <w:lang w:val="en-US" w:eastAsia="zh-CN"/>
              </w:rPr>
            </w:pPr>
            <w:r>
              <w:rPr>
                <w:rFonts w:hint="eastAsia" w:cs="Times New Roman"/>
                <w:color w:val="auto"/>
                <w:highlight w:val="none"/>
                <w:lang w:val="en-US" w:eastAsia="zh-CN"/>
              </w:rPr>
              <w:t>危废暂存间</w:t>
            </w:r>
          </w:p>
        </w:tc>
        <w:tc>
          <w:tcPr>
            <w:tcW w:w="1078" w:type="pct"/>
            <w:tcBorders>
              <w:tl2br w:val="nil"/>
              <w:tr2bl w:val="nil"/>
            </w:tcBorders>
            <w:noWrap w:val="0"/>
            <w:vAlign w:val="center"/>
          </w:tcPr>
          <w:p w14:paraId="6A8DA74A">
            <w:pPr>
              <w:pStyle w:val="245"/>
              <w:autoSpaceDN w:val="0"/>
              <w:spacing w:line="240" w:lineRule="auto"/>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危险废物贮存</w:t>
            </w:r>
          </w:p>
        </w:tc>
        <w:tc>
          <w:tcPr>
            <w:tcW w:w="856" w:type="pct"/>
            <w:tcBorders>
              <w:tl2br w:val="nil"/>
              <w:tr2bl w:val="nil"/>
            </w:tcBorders>
            <w:noWrap w:val="0"/>
            <w:vAlign w:val="center"/>
          </w:tcPr>
          <w:p w14:paraId="5370C85D">
            <w:pPr>
              <w:pStyle w:val="245"/>
              <w:autoSpaceDN w:val="0"/>
              <w:spacing w:line="240" w:lineRule="auto"/>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垂直入渗</w:t>
            </w:r>
          </w:p>
        </w:tc>
        <w:tc>
          <w:tcPr>
            <w:tcW w:w="836" w:type="pct"/>
            <w:tcBorders>
              <w:tl2br w:val="nil"/>
              <w:tr2bl w:val="nil"/>
            </w:tcBorders>
            <w:noWrap w:val="0"/>
            <w:vAlign w:val="center"/>
          </w:tcPr>
          <w:p w14:paraId="346C9D6F">
            <w:pPr>
              <w:pStyle w:val="245"/>
              <w:autoSpaceDN w:val="0"/>
              <w:spacing w:line="240" w:lineRule="auto"/>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石油烃</w:t>
            </w:r>
          </w:p>
        </w:tc>
      </w:tr>
    </w:tbl>
    <w:p w14:paraId="3EEA93B5">
      <w:pPr>
        <w:pStyle w:val="5"/>
        <w:rPr>
          <w:rFonts w:hint="eastAsia"/>
          <w:color w:val="auto"/>
          <w:highlight w:val="none"/>
        </w:rPr>
      </w:pPr>
      <w:r>
        <w:rPr>
          <w:rFonts w:hint="eastAsia"/>
          <w:color w:val="auto"/>
          <w:highlight w:val="none"/>
        </w:rPr>
        <w:t>土壤环境影响分析</w:t>
      </w:r>
    </w:p>
    <w:p w14:paraId="40B6A993">
      <w:pPr>
        <w:ind w:firstLine="480"/>
        <w:rPr>
          <w:rFonts w:hint="eastAsia"/>
          <w:color w:val="auto"/>
          <w:highlight w:val="none"/>
          <w:lang w:val="en-US" w:eastAsia="zh-CN"/>
        </w:rPr>
      </w:pPr>
      <w:r>
        <w:rPr>
          <w:rFonts w:hint="eastAsia"/>
          <w:color w:val="auto"/>
          <w:highlight w:val="none"/>
          <w:lang w:val="en-US" w:eastAsia="zh-CN"/>
        </w:rPr>
        <w:t>土壤是复杂的三相共存体系，其污染物质主要通过被污染大气的沉降、工业废水的漫流和入渗以及固体废物通过大气迁移、扩散、沉降或降水淋溶、地表径流等而进入土壤环境。</w:t>
      </w:r>
    </w:p>
    <w:p w14:paraId="0670E727">
      <w:pPr>
        <w:ind w:firstLine="480"/>
        <w:rPr>
          <w:rFonts w:hint="eastAsia"/>
          <w:color w:val="auto"/>
          <w:highlight w:val="none"/>
          <w:lang w:val="en-US" w:eastAsia="zh-CN"/>
        </w:rPr>
      </w:pPr>
      <w:r>
        <w:rPr>
          <w:rFonts w:hint="eastAsia"/>
          <w:color w:val="auto"/>
          <w:highlight w:val="none"/>
          <w:lang w:val="en-US" w:eastAsia="zh-CN"/>
        </w:rPr>
        <w:t>（1）污染源分析</w:t>
      </w:r>
    </w:p>
    <w:p w14:paraId="2576EC6F">
      <w:pPr>
        <w:ind w:firstLine="480"/>
        <w:rPr>
          <w:rFonts w:hint="eastAsia"/>
          <w:color w:val="auto"/>
          <w:highlight w:val="none"/>
          <w:lang w:val="en-US" w:eastAsia="zh-CN"/>
        </w:rPr>
      </w:pPr>
      <w:r>
        <w:rPr>
          <w:rFonts w:hint="eastAsia"/>
          <w:color w:val="auto"/>
          <w:highlight w:val="none"/>
          <w:lang w:val="en-US" w:eastAsia="zh-CN"/>
        </w:rPr>
        <w:t>本项目运行阶段主要污染源来自于破碎筛分、原料及成品的装卸、运输、尾砂堆存、选矿过程和危险废物暂存过程。</w:t>
      </w:r>
    </w:p>
    <w:p w14:paraId="222A8D21">
      <w:pPr>
        <w:ind w:firstLine="480"/>
        <w:rPr>
          <w:rFonts w:hint="eastAsia"/>
          <w:color w:val="auto"/>
          <w:highlight w:val="none"/>
          <w:lang w:val="en-US" w:eastAsia="zh-CN"/>
        </w:rPr>
      </w:pPr>
      <w:r>
        <w:rPr>
          <w:rFonts w:hint="eastAsia"/>
          <w:color w:val="auto"/>
          <w:highlight w:val="none"/>
          <w:lang w:val="en-US" w:eastAsia="zh-CN"/>
        </w:rPr>
        <w:t>（2）厂区土壤现状分析</w:t>
      </w:r>
    </w:p>
    <w:p w14:paraId="73930B8F">
      <w:pPr>
        <w:ind w:firstLine="480"/>
        <w:rPr>
          <w:rFonts w:hint="eastAsia"/>
          <w:color w:val="auto"/>
          <w:highlight w:val="none"/>
          <w:lang w:val="en-US" w:eastAsia="zh-CN"/>
        </w:rPr>
      </w:pPr>
      <w:r>
        <w:rPr>
          <w:rFonts w:hint="eastAsia"/>
          <w:color w:val="auto"/>
          <w:highlight w:val="none"/>
          <w:lang w:val="en-US" w:eastAsia="zh-CN"/>
        </w:rPr>
        <w:t>针对厂区现状，本次评价根据导则要求，布设了土壤环境质量现状监测点位，以调查了解区域土壤环境质量现状。根据对土壤环境质量现状监测统计结果的分析可知，各土壤监测项监测因子均满足《土壤环境质量-建设用地土壤污染风险管控标准》（GB36600 -2018）相应标准限值要求，区域建设用地污染风险值较低。</w:t>
      </w:r>
    </w:p>
    <w:p w14:paraId="0F42DF1B">
      <w:pPr>
        <w:ind w:firstLine="480"/>
        <w:rPr>
          <w:rFonts w:hint="eastAsia"/>
          <w:color w:val="auto"/>
          <w:highlight w:val="none"/>
          <w:lang w:val="en-US" w:eastAsia="zh-CN"/>
        </w:rPr>
      </w:pPr>
      <w:r>
        <w:rPr>
          <w:rFonts w:hint="eastAsia"/>
          <w:color w:val="auto"/>
          <w:highlight w:val="none"/>
          <w:lang w:val="en-US" w:eastAsia="zh-CN"/>
        </w:rPr>
        <w:t>（3）大气沉降污染途径土壤环境影响分析</w:t>
      </w:r>
    </w:p>
    <w:p w14:paraId="611992D5">
      <w:pPr>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通过大气沉降污染可能对土壤造成影响的是项目排放的粉尘颗粒物造成土壤中氟化物增加，随着项目有组织和无组织排放的颗粒物自然沉降，进入土壤从而影响土壤环境，导致土壤酸化、植物生长受限、土壤微生物受损等。</w:t>
      </w:r>
    </w:p>
    <w:p w14:paraId="4457A121">
      <w:pPr>
        <w:ind w:firstLine="480"/>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本项目产生的原料矿、萤石精粉、尾矿砂堆存均采用全封闭库房贮存，采取防风抑尘措施；地面采用防渗混凝土进行硬化，采取防渗措施，不与区域原状土壤直接接触；项目破碎、筛分产生的颗粒物不涉及重金属的排放，且采用布袋除尘器净化处理后颗粒物排放量较小；原料矿和</w:t>
      </w:r>
      <w:r>
        <w:rPr>
          <w:rFonts w:hint="eastAsia" w:ascii="Times New Roman" w:hAnsi="Times New Roman" w:eastAsia="宋体" w:cs="Times New Roman"/>
          <w:color w:val="auto"/>
          <w:highlight w:val="none"/>
          <w:lang w:val="en-US" w:eastAsia="zh-CN"/>
        </w:rPr>
        <w:t>尾矿砂拉运过程中加盖遮盖物，避免粉料逸散污染道路两侧土壤等措施。</w:t>
      </w:r>
    </w:p>
    <w:p w14:paraId="1A5F7435">
      <w:pPr>
        <w:ind w:firstLine="480"/>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由此可见，本项目排放颗粒物</w:t>
      </w:r>
      <w:r>
        <w:rPr>
          <w:rFonts w:hint="eastAsia"/>
          <w:color w:val="auto"/>
          <w:highlight w:val="none"/>
          <w:lang w:val="en-US" w:eastAsia="zh-CN"/>
        </w:rPr>
        <w:t>经大气沉降至土壤表面后，经累积作用，虽对周围土壤产生一定的影响，但其影响较小。</w:t>
      </w:r>
    </w:p>
    <w:p w14:paraId="794B9CF7">
      <w:pPr>
        <w:ind w:firstLine="480"/>
        <w:rPr>
          <w:rFonts w:hint="eastAsia"/>
          <w:color w:val="auto"/>
          <w:highlight w:val="none"/>
          <w:lang w:val="en-US" w:eastAsia="zh-CN"/>
        </w:rPr>
      </w:pPr>
      <w:r>
        <w:rPr>
          <w:rFonts w:hint="eastAsia"/>
          <w:color w:val="auto"/>
          <w:highlight w:val="none"/>
          <w:lang w:val="en-US" w:eastAsia="zh-CN"/>
        </w:rPr>
        <w:t>（3）垂直下渗污染途径土壤环境影响分析</w:t>
      </w:r>
    </w:p>
    <w:p w14:paraId="520BF899">
      <w:pPr>
        <w:ind w:firstLine="480"/>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本项目通过垂直下渗污染可能对土壤造成影响的是</w:t>
      </w:r>
      <w:r>
        <w:rPr>
          <w:rFonts w:hint="eastAsia"/>
          <w:color w:val="auto"/>
          <w:highlight w:val="none"/>
          <w:lang w:val="en-US" w:eastAsia="zh-CN"/>
        </w:rPr>
        <w:t>选矿厂浓缩机故障，循环水池、危险废物暂存间物质渗漏，导致垂直下渗进入土壤环境，可能造成厂区土壤氟含量和石油烃增高。</w:t>
      </w:r>
    </w:p>
    <w:p w14:paraId="5FD244F3">
      <w:pPr>
        <w:ind w:firstLine="480"/>
        <w:rPr>
          <w:rFonts w:hint="eastAsia"/>
          <w:color w:val="auto"/>
          <w:highlight w:val="none"/>
          <w:lang w:val="en-US" w:eastAsia="zh-CN"/>
        </w:rPr>
      </w:pPr>
      <w:r>
        <w:rPr>
          <w:rFonts w:hint="eastAsia"/>
          <w:color w:val="auto"/>
          <w:highlight w:val="none"/>
          <w:lang w:val="en-US" w:eastAsia="zh-CN"/>
        </w:rPr>
        <w:t>本项目正常工况选矿废水经返回循环池沉淀澄清处理后，全部循环利用，不外排。本项目生产车间、原矿堆存库、精矿石贮存库、尾矿砂贮存库及选矿水倒排沟等采取抗渗混凝土进行基础防渗，选矿循环水池池底和池壁采用1mm厚HDPE膜进行基础防渗，防渗系数均小于1×10-7cm/s，满足《环境影响评价技术导则 地下水环境》（HJ610-2016）中规定的“一般防渗区”防渗要求。本项目产生危险废物废机油采用全密闭桶装包装方式，并将废机油及废油桶置放在金属托盘上，危险废物暂存间地面要求采用防渗层至少 1 m 厚黏土层（渗透系数不大于 10 -7 cm/s），或至少2 mm 厚高密度聚乙烯膜等人工防渗材料（渗透系数不大于 10 -10 cm/s），或其他防渗性能等效的材料，满足《危险废物贮存污染控制标准》（GB18597-2023）规定的防渗要求。</w:t>
      </w:r>
    </w:p>
    <w:p w14:paraId="39049225">
      <w:pPr>
        <w:ind w:firstLine="480"/>
        <w:rPr>
          <w:rFonts w:hint="eastAsia"/>
          <w:color w:val="auto"/>
          <w:highlight w:val="none"/>
          <w:lang w:val="en-US" w:eastAsia="zh-CN"/>
        </w:rPr>
      </w:pPr>
      <w:r>
        <w:rPr>
          <w:rFonts w:hint="eastAsia"/>
          <w:color w:val="auto"/>
          <w:highlight w:val="none"/>
          <w:lang w:val="en-US" w:eastAsia="zh-CN"/>
        </w:rPr>
        <w:t>本项目正常状况下，厂区进行分区防渗处理，各污染防治区分别满足不同等级的防渗技术要求，可有效阻止污染物下渗。因此，土壤污染主要发生在非正常工况下。</w:t>
      </w:r>
    </w:p>
    <w:p w14:paraId="2AE8617A">
      <w:pPr>
        <w:ind w:firstLine="480"/>
        <w:rPr>
          <w:rFonts w:hint="eastAsia"/>
          <w:color w:val="auto"/>
          <w:highlight w:val="none"/>
          <w:lang w:val="en-US" w:eastAsia="zh-CN"/>
        </w:rPr>
      </w:pPr>
      <w:r>
        <w:rPr>
          <w:rFonts w:hint="eastAsia"/>
          <w:color w:val="auto"/>
          <w:highlight w:val="none"/>
          <w:lang w:val="en-US" w:eastAsia="zh-CN"/>
        </w:rPr>
        <w:t>本项目非正常工况，根据同类型企业的实际情况分析，如果危废暂存间等可视场所发生防腐、防渗层破损，建设单位必将及时采取修复措施，不可能任由物料或污水漫流渗入土壤。因此，只有当地下非可视部位发生破损，可能造成污染物持续渗入土壤并对土壤环境造成一定污染。</w:t>
      </w:r>
    </w:p>
    <w:p w14:paraId="31B0AD4F">
      <w:pPr>
        <w:pStyle w:val="5"/>
        <w:rPr>
          <w:rFonts w:hint="eastAsia"/>
          <w:color w:val="auto"/>
          <w:highlight w:val="none"/>
          <w:lang w:val="en-US" w:eastAsia="zh-CN"/>
        </w:rPr>
      </w:pPr>
      <w:r>
        <w:rPr>
          <w:rFonts w:hint="eastAsia"/>
          <w:color w:val="auto"/>
          <w:highlight w:val="none"/>
          <w:lang w:val="en-US" w:eastAsia="zh-CN"/>
        </w:rPr>
        <w:t>土壤污染防治对策</w:t>
      </w:r>
    </w:p>
    <w:p w14:paraId="01744104">
      <w:pPr>
        <w:ind w:firstLine="480"/>
        <w:rPr>
          <w:rFonts w:hint="eastAsia"/>
          <w:color w:val="auto"/>
          <w:highlight w:val="none"/>
          <w:lang w:val="en-US" w:eastAsia="zh-CN"/>
        </w:rPr>
      </w:pPr>
      <w:r>
        <w:rPr>
          <w:rFonts w:hint="eastAsia"/>
          <w:color w:val="auto"/>
          <w:highlight w:val="none"/>
          <w:lang w:val="en-US" w:eastAsia="zh-CN"/>
        </w:rPr>
        <w:t>（1）源头控制措施</w:t>
      </w:r>
    </w:p>
    <w:p w14:paraId="5BC56F7E">
      <w:pPr>
        <w:ind w:firstLine="480"/>
        <w:rPr>
          <w:rFonts w:hint="eastAsia"/>
          <w:color w:val="auto"/>
          <w:highlight w:val="none"/>
          <w:lang w:val="en-US" w:eastAsia="zh-CN"/>
        </w:rPr>
      </w:pPr>
      <w:r>
        <w:rPr>
          <w:rFonts w:hint="eastAsia"/>
          <w:color w:val="auto"/>
          <w:highlight w:val="none"/>
          <w:lang w:val="en-US" w:eastAsia="zh-CN"/>
        </w:rPr>
        <w:t>采取的从源头控制措施：定期做好厂区的环境管理工作，保证各生产设施和污染物治理设施运转正常，尽量降低事故排放，从而在源头上降低可能加重土壤污染的情形。</w:t>
      </w:r>
    </w:p>
    <w:p w14:paraId="69E38FE3">
      <w:pPr>
        <w:ind w:firstLine="48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lang w:eastAsia="zh-CN"/>
        </w:rPr>
        <w:t>过程防控</w:t>
      </w:r>
    </w:p>
    <w:p w14:paraId="417DF573">
      <w:pPr>
        <w:pStyle w:val="332"/>
        <w:rPr>
          <w:rFonts w:hint="default"/>
          <w:color w:val="auto"/>
          <w:highlight w:val="none"/>
          <w:lang w:eastAsia="zh-CN"/>
        </w:rPr>
      </w:pPr>
      <w:r>
        <w:rPr>
          <w:rFonts w:hint="default"/>
          <w:color w:val="auto"/>
          <w:highlight w:val="none"/>
          <w:lang w:eastAsia="zh-CN"/>
        </w:rPr>
        <w:t>建设项目根据行业特点</w:t>
      </w:r>
      <w:r>
        <w:rPr>
          <w:rFonts w:hint="eastAsia"/>
          <w:color w:val="auto"/>
          <w:highlight w:val="none"/>
          <w:lang w:eastAsia="zh-CN"/>
        </w:rPr>
        <w:t>与</w:t>
      </w:r>
      <w:r>
        <w:rPr>
          <w:rFonts w:hint="default"/>
          <w:color w:val="auto"/>
          <w:highlight w:val="none"/>
          <w:lang w:eastAsia="zh-CN"/>
        </w:rPr>
        <w:t>占地范围内的土壤特性，按照相关技术要求采取过程阻断、污染物削减和分区防控措施。</w:t>
      </w:r>
    </w:p>
    <w:p w14:paraId="5FBA0CB2">
      <w:pPr>
        <w:pStyle w:val="332"/>
        <w:rPr>
          <w:rFonts w:hint="default"/>
          <w:color w:val="auto"/>
          <w:highlight w:val="none"/>
          <w:lang w:eastAsia="zh-CN"/>
        </w:rPr>
      </w:pPr>
      <w:r>
        <w:rPr>
          <w:rFonts w:hint="eastAsia"/>
          <w:color w:val="auto"/>
          <w:highlight w:val="none"/>
          <w:lang w:val="en-US" w:eastAsia="zh-CN"/>
        </w:rPr>
        <w:t>本</w:t>
      </w:r>
      <w:r>
        <w:rPr>
          <w:rFonts w:hint="default"/>
          <w:color w:val="auto"/>
          <w:highlight w:val="none"/>
          <w:lang w:eastAsia="zh-CN"/>
        </w:rPr>
        <w:t>项目占地范围内加强厂区绿化，以种植具有较强吸附能力的植物为主，并对地面进行硬化，车间采取密闭，以防止土壤环境污染。</w:t>
      </w:r>
    </w:p>
    <w:p w14:paraId="4E0AD8A0">
      <w:pPr>
        <w:ind w:firstLine="480"/>
        <w:rPr>
          <w:rFonts w:hint="eastAsia"/>
          <w:color w:val="auto"/>
          <w:highlight w:val="none"/>
          <w:lang w:val="en-US" w:eastAsia="zh-CN"/>
        </w:rPr>
      </w:pPr>
      <w:r>
        <w:rPr>
          <w:rFonts w:hint="eastAsia"/>
          <w:color w:val="auto"/>
          <w:highlight w:val="none"/>
          <w:lang w:val="en-US" w:eastAsia="zh-CN"/>
        </w:rPr>
        <w:t>（2）定期监测</w:t>
      </w:r>
    </w:p>
    <w:p w14:paraId="62051D53">
      <w:pPr>
        <w:ind w:firstLine="480"/>
        <w:rPr>
          <w:rFonts w:hint="eastAsia"/>
          <w:color w:val="auto"/>
          <w:highlight w:val="none"/>
          <w:lang w:val="en-US" w:eastAsia="zh-CN"/>
        </w:rPr>
      </w:pPr>
      <w:r>
        <w:rPr>
          <w:rFonts w:hint="eastAsia"/>
          <w:color w:val="auto"/>
          <w:highlight w:val="none"/>
          <w:lang w:val="en-US" w:eastAsia="zh-CN"/>
        </w:rPr>
        <w:t>建议企业制定监测计划，定期跟踪监测厂区外周边敏感目标“草地”土壤环境质量，建立跟踪监测制度，以便及时发现问题，采取有效措施。</w:t>
      </w:r>
    </w:p>
    <w:p w14:paraId="7354CAF2">
      <w:pPr>
        <w:pStyle w:val="5"/>
        <w:rPr>
          <w:rFonts w:hint="eastAsia"/>
          <w:color w:val="auto"/>
          <w:highlight w:val="none"/>
          <w:lang w:val="en-US" w:eastAsia="zh-CN"/>
        </w:rPr>
      </w:pPr>
      <w:r>
        <w:rPr>
          <w:rFonts w:hint="eastAsia"/>
          <w:color w:val="auto"/>
          <w:highlight w:val="none"/>
          <w:lang w:val="en-US" w:eastAsia="zh-CN"/>
        </w:rPr>
        <w:t>土壤环境影响评价结论</w:t>
      </w:r>
    </w:p>
    <w:p w14:paraId="1DE939DF">
      <w:pPr>
        <w:ind w:firstLine="480"/>
        <w:rPr>
          <w:rFonts w:hint="eastAsia"/>
          <w:color w:val="auto"/>
          <w:highlight w:val="none"/>
          <w:lang w:val="en-US" w:eastAsia="zh-CN"/>
        </w:rPr>
      </w:pPr>
      <w:r>
        <w:rPr>
          <w:rFonts w:hint="eastAsia"/>
          <w:color w:val="auto"/>
          <w:highlight w:val="none"/>
          <w:lang w:val="en-US" w:eastAsia="zh-CN"/>
        </w:rPr>
        <w:t>本项目属于土壤污染影响型建设项目，考虑到场地内基本能实现地面硬化，未硬化部分多为绿化带，多种吸附性较强的植物，受降雨影响及地面漫流影响较小，降低了污染物的迁移速度。且厂区内做了严格的防渗措施。在非正常状况发生后，厂方应及时采取应急措施，及时对污染源进行防渗层修复处理，减少污染源的扩散，使此状况对土壤环境的影响降至最小。定期对厂区防渗层等进行检查，及时发现腐朽老化现象，杜绝非正常状况的发生。综合考虑，在严格执行相关环保措施的情况下，对场地土壤环境造成污染的可能性不大，建设项目对场地土壤环境的影响是可接受的。</w:t>
      </w:r>
    </w:p>
    <w:p w14:paraId="01C2AC7F">
      <w:pPr>
        <w:ind w:firstLine="480"/>
        <w:rPr>
          <w:rFonts w:hint="eastAsia"/>
          <w:color w:val="auto"/>
          <w:highlight w:val="none"/>
          <w:lang w:val="en-US" w:eastAsia="zh-CN"/>
        </w:rPr>
      </w:pPr>
      <w:r>
        <w:rPr>
          <w:rFonts w:hint="eastAsia"/>
          <w:color w:val="auto"/>
          <w:highlight w:val="none"/>
          <w:lang w:val="en-US" w:eastAsia="zh-CN"/>
        </w:rPr>
        <w:t>本项目土壤环境影响评价自查表见表5.7-5。</w:t>
      </w:r>
    </w:p>
    <w:p w14:paraId="68F01036">
      <w:pPr>
        <w:pStyle w:val="199"/>
        <w:keepNext w:val="0"/>
        <w:keepLines w:val="0"/>
        <w:pageBreakBefore/>
        <w:widowControl w:val="0"/>
        <w:kinsoku/>
        <w:wordWrap/>
        <w:overflowPunct/>
        <w:topLinePunct w:val="0"/>
        <w:autoSpaceDE/>
        <w:autoSpaceDN/>
        <w:bidi w:val="0"/>
        <w:adjustRightInd/>
        <w:snapToGrid/>
        <w:spacing w:before="120"/>
        <w:ind w:firstLine="482"/>
        <w:textAlignment w:val="auto"/>
        <w:rPr>
          <w:color w:val="auto"/>
          <w:sz w:val="24"/>
          <w:highlight w:val="none"/>
        </w:rPr>
      </w:pPr>
      <w:r>
        <w:rPr>
          <w:rFonts w:hint="eastAsia"/>
          <w:color w:val="auto"/>
          <w:sz w:val="24"/>
          <w:highlight w:val="none"/>
        </w:rPr>
        <w:t>表5.7-5  土壤环境影响评价自查表</w:t>
      </w:r>
    </w:p>
    <w:tbl>
      <w:tblPr>
        <w:tblStyle w:val="4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382"/>
        <w:gridCol w:w="1499"/>
        <w:gridCol w:w="1267"/>
        <w:gridCol w:w="1371"/>
        <w:gridCol w:w="1453"/>
        <w:gridCol w:w="584"/>
        <w:gridCol w:w="719"/>
        <w:gridCol w:w="1026"/>
      </w:tblGrid>
      <w:tr w14:paraId="096C92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133" w:type="pct"/>
            <w:gridSpan w:val="2"/>
            <w:noWrap w:val="0"/>
            <w:vAlign w:val="center"/>
          </w:tcPr>
          <w:p w14:paraId="77BBD694">
            <w:pPr>
              <w:pStyle w:val="245"/>
              <w:spacing w:line="240" w:lineRule="auto"/>
              <w:rPr>
                <w:color w:val="auto"/>
                <w:sz w:val="21"/>
                <w:szCs w:val="21"/>
                <w:highlight w:val="none"/>
              </w:rPr>
            </w:pPr>
            <w:r>
              <w:rPr>
                <w:rFonts w:hint="eastAsia"/>
                <w:color w:val="auto"/>
                <w:sz w:val="21"/>
                <w:szCs w:val="21"/>
                <w:highlight w:val="none"/>
              </w:rPr>
              <w:t>工作内容</w:t>
            </w:r>
          </w:p>
        </w:tc>
        <w:tc>
          <w:tcPr>
            <w:tcW w:w="3249" w:type="pct"/>
            <w:gridSpan w:val="5"/>
            <w:noWrap w:val="0"/>
            <w:vAlign w:val="center"/>
          </w:tcPr>
          <w:p w14:paraId="38250B08">
            <w:pPr>
              <w:pStyle w:val="245"/>
              <w:spacing w:line="240" w:lineRule="auto"/>
              <w:rPr>
                <w:color w:val="auto"/>
                <w:sz w:val="21"/>
                <w:szCs w:val="21"/>
                <w:highlight w:val="none"/>
              </w:rPr>
            </w:pPr>
            <w:r>
              <w:rPr>
                <w:rFonts w:hint="eastAsia"/>
                <w:color w:val="auto"/>
                <w:sz w:val="21"/>
                <w:szCs w:val="21"/>
                <w:highlight w:val="none"/>
              </w:rPr>
              <w:t>完成情况</w:t>
            </w:r>
          </w:p>
        </w:tc>
        <w:tc>
          <w:tcPr>
            <w:tcW w:w="618" w:type="pct"/>
            <w:noWrap w:val="0"/>
            <w:vAlign w:val="center"/>
          </w:tcPr>
          <w:p w14:paraId="260B5843">
            <w:pPr>
              <w:pStyle w:val="245"/>
              <w:spacing w:line="240" w:lineRule="auto"/>
              <w:rPr>
                <w:color w:val="auto"/>
                <w:sz w:val="21"/>
                <w:szCs w:val="21"/>
                <w:highlight w:val="none"/>
              </w:rPr>
            </w:pPr>
            <w:r>
              <w:rPr>
                <w:rFonts w:hint="eastAsia"/>
                <w:color w:val="auto"/>
                <w:sz w:val="21"/>
                <w:szCs w:val="21"/>
                <w:highlight w:val="none"/>
              </w:rPr>
              <w:t>备注</w:t>
            </w:r>
          </w:p>
        </w:tc>
      </w:tr>
      <w:tr w14:paraId="78B790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230" w:type="pct"/>
            <w:vMerge w:val="restart"/>
            <w:noWrap w:val="0"/>
            <w:vAlign w:val="center"/>
          </w:tcPr>
          <w:p w14:paraId="5AAC5F7C">
            <w:pPr>
              <w:pStyle w:val="245"/>
              <w:spacing w:line="240" w:lineRule="auto"/>
              <w:rPr>
                <w:color w:val="auto"/>
                <w:sz w:val="21"/>
                <w:szCs w:val="21"/>
                <w:highlight w:val="none"/>
              </w:rPr>
            </w:pPr>
            <w:r>
              <w:rPr>
                <w:rFonts w:hint="eastAsia"/>
                <w:color w:val="auto"/>
                <w:sz w:val="21"/>
                <w:szCs w:val="21"/>
                <w:highlight w:val="none"/>
              </w:rPr>
              <w:t>影响识别</w:t>
            </w:r>
          </w:p>
        </w:tc>
        <w:tc>
          <w:tcPr>
            <w:tcW w:w="903" w:type="pct"/>
            <w:noWrap w:val="0"/>
            <w:vAlign w:val="center"/>
          </w:tcPr>
          <w:p w14:paraId="7CB5B17B">
            <w:pPr>
              <w:pStyle w:val="245"/>
              <w:spacing w:line="240" w:lineRule="auto"/>
              <w:rPr>
                <w:color w:val="auto"/>
                <w:sz w:val="21"/>
                <w:szCs w:val="21"/>
                <w:highlight w:val="none"/>
              </w:rPr>
            </w:pPr>
            <w:r>
              <w:rPr>
                <w:rFonts w:hint="eastAsia"/>
                <w:color w:val="auto"/>
                <w:sz w:val="21"/>
                <w:szCs w:val="21"/>
                <w:highlight w:val="none"/>
              </w:rPr>
              <w:t>影响类型</w:t>
            </w:r>
          </w:p>
        </w:tc>
        <w:tc>
          <w:tcPr>
            <w:tcW w:w="3249" w:type="pct"/>
            <w:gridSpan w:val="5"/>
            <w:noWrap w:val="0"/>
            <w:vAlign w:val="center"/>
          </w:tcPr>
          <w:p w14:paraId="37AA9FC7">
            <w:pPr>
              <w:pStyle w:val="245"/>
              <w:spacing w:line="240" w:lineRule="auto"/>
              <w:rPr>
                <w:rFonts w:hint="eastAsia" w:eastAsia="宋体"/>
                <w:color w:val="auto"/>
                <w:sz w:val="21"/>
                <w:szCs w:val="21"/>
                <w:highlight w:val="none"/>
                <w:lang w:eastAsia="zh-CN"/>
              </w:rPr>
            </w:pPr>
            <w:r>
              <w:rPr>
                <w:rFonts w:hint="eastAsia"/>
                <w:color w:val="auto"/>
                <w:sz w:val="21"/>
                <w:szCs w:val="21"/>
                <w:highlight w:val="none"/>
              </w:rPr>
              <w:t>污染影响型</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；生态影响型</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；两种兼有</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p>
        </w:tc>
        <w:tc>
          <w:tcPr>
            <w:tcW w:w="618" w:type="pct"/>
            <w:noWrap w:val="0"/>
            <w:vAlign w:val="center"/>
          </w:tcPr>
          <w:p w14:paraId="42B923BC">
            <w:pPr>
              <w:pStyle w:val="245"/>
              <w:spacing w:line="240" w:lineRule="auto"/>
              <w:rPr>
                <w:color w:val="auto"/>
                <w:sz w:val="21"/>
                <w:szCs w:val="21"/>
                <w:highlight w:val="none"/>
              </w:rPr>
            </w:pPr>
          </w:p>
        </w:tc>
      </w:tr>
      <w:tr w14:paraId="45AD46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230" w:type="pct"/>
            <w:vMerge w:val="continue"/>
            <w:noWrap w:val="0"/>
            <w:vAlign w:val="center"/>
          </w:tcPr>
          <w:p w14:paraId="4D1F7934">
            <w:pPr>
              <w:pStyle w:val="245"/>
              <w:spacing w:line="240" w:lineRule="auto"/>
              <w:rPr>
                <w:color w:val="auto"/>
                <w:sz w:val="21"/>
                <w:szCs w:val="21"/>
                <w:highlight w:val="none"/>
              </w:rPr>
            </w:pPr>
          </w:p>
        </w:tc>
        <w:tc>
          <w:tcPr>
            <w:tcW w:w="903" w:type="pct"/>
            <w:noWrap w:val="0"/>
            <w:vAlign w:val="center"/>
          </w:tcPr>
          <w:p w14:paraId="7C4A783F">
            <w:pPr>
              <w:pStyle w:val="245"/>
              <w:spacing w:line="240" w:lineRule="auto"/>
              <w:rPr>
                <w:color w:val="auto"/>
                <w:sz w:val="21"/>
                <w:szCs w:val="21"/>
                <w:highlight w:val="none"/>
              </w:rPr>
            </w:pPr>
            <w:r>
              <w:rPr>
                <w:rFonts w:hint="eastAsia"/>
                <w:color w:val="auto"/>
                <w:sz w:val="21"/>
                <w:szCs w:val="21"/>
                <w:highlight w:val="none"/>
              </w:rPr>
              <w:t>土地利用类型</w:t>
            </w:r>
          </w:p>
        </w:tc>
        <w:tc>
          <w:tcPr>
            <w:tcW w:w="3247" w:type="pct"/>
            <w:gridSpan w:val="5"/>
            <w:noWrap w:val="0"/>
            <w:vAlign w:val="center"/>
          </w:tcPr>
          <w:p w14:paraId="2CFAF9F2">
            <w:pPr>
              <w:pStyle w:val="245"/>
              <w:spacing w:line="240" w:lineRule="auto"/>
              <w:rPr>
                <w:rFonts w:hint="eastAsia" w:eastAsia="宋体"/>
                <w:color w:val="auto"/>
                <w:sz w:val="21"/>
                <w:szCs w:val="21"/>
                <w:highlight w:val="none"/>
                <w:lang w:eastAsia="zh-CN"/>
              </w:rPr>
            </w:pPr>
            <w:r>
              <w:rPr>
                <w:rFonts w:hint="eastAsia"/>
                <w:color w:val="auto"/>
                <w:sz w:val="21"/>
                <w:szCs w:val="21"/>
                <w:highlight w:val="none"/>
              </w:rPr>
              <w:t>建设用地</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；农用地</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；未利用地</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p>
        </w:tc>
        <w:tc>
          <w:tcPr>
            <w:tcW w:w="620" w:type="pct"/>
            <w:noWrap w:val="0"/>
            <w:vAlign w:val="center"/>
          </w:tcPr>
          <w:p w14:paraId="1560D8CA">
            <w:pPr>
              <w:pStyle w:val="245"/>
              <w:spacing w:line="240" w:lineRule="auto"/>
              <w:rPr>
                <w:color w:val="auto"/>
                <w:sz w:val="21"/>
                <w:szCs w:val="21"/>
                <w:highlight w:val="none"/>
              </w:rPr>
            </w:pPr>
          </w:p>
        </w:tc>
      </w:tr>
      <w:tr w14:paraId="4A5152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30" w:type="pct"/>
            <w:vMerge w:val="continue"/>
            <w:noWrap w:val="0"/>
            <w:vAlign w:val="center"/>
          </w:tcPr>
          <w:p w14:paraId="61CF7FD5">
            <w:pPr>
              <w:pStyle w:val="245"/>
              <w:spacing w:line="240" w:lineRule="auto"/>
              <w:rPr>
                <w:color w:val="auto"/>
                <w:sz w:val="21"/>
                <w:szCs w:val="21"/>
                <w:highlight w:val="none"/>
              </w:rPr>
            </w:pPr>
          </w:p>
        </w:tc>
        <w:tc>
          <w:tcPr>
            <w:tcW w:w="903" w:type="pct"/>
            <w:noWrap w:val="0"/>
            <w:vAlign w:val="center"/>
          </w:tcPr>
          <w:p w14:paraId="2970D358">
            <w:pPr>
              <w:pStyle w:val="245"/>
              <w:spacing w:line="240" w:lineRule="auto"/>
              <w:rPr>
                <w:color w:val="auto"/>
                <w:sz w:val="21"/>
                <w:szCs w:val="21"/>
                <w:highlight w:val="none"/>
              </w:rPr>
            </w:pPr>
            <w:r>
              <w:rPr>
                <w:rFonts w:hint="eastAsia"/>
                <w:color w:val="auto"/>
                <w:sz w:val="21"/>
                <w:szCs w:val="21"/>
                <w:highlight w:val="none"/>
              </w:rPr>
              <w:t>占地规模</w:t>
            </w:r>
          </w:p>
        </w:tc>
        <w:tc>
          <w:tcPr>
            <w:tcW w:w="3247" w:type="pct"/>
            <w:gridSpan w:val="5"/>
            <w:noWrap w:val="0"/>
            <w:vAlign w:val="center"/>
          </w:tcPr>
          <w:p w14:paraId="320818BF">
            <w:pPr>
              <w:pStyle w:val="245"/>
              <w:spacing w:line="240" w:lineRule="auto"/>
              <w:rPr>
                <w:rFonts w:eastAsia="Times New Roman"/>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16650</w:t>
            </w:r>
            <w:r>
              <w:rPr>
                <w:rFonts w:hint="eastAsia"/>
                <w:color w:val="auto"/>
                <w:sz w:val="21"/>
                <w:szCs w:val="21"/>
                <w:highlight w:val="none"/>
              </w:rPr>
              <w:t>）</w:t>
            </w:r>
            <w:r>
              <w:rPr>
                <w:color w:val="auto"/>
                <w:sz w:val="21"/>
                <w:szCs w:val="21"/>
                <w:highlight w:val="none"/>
              </w:rPr>
              <w:t>m</w:t>
            </w:r>
            <w:r>
              <w:rPr>
                <w:color w:val="auto"/>
                <w:position w:val="6"/>
                <w:sz w:val="21"/>
                <w:szCs w:val="21"/>
                <w:highlight w:val="none"/>
                <w:vertAlign w:val="superscript"/>
              </w:rPr>
              <w:t>2</w:t>
            </w:r>
          </w:p>
        </w:tc>
        <w:tc>
          <w:tcPr>
            <w:tcW w:w="620" w:type="pct"/>
            <w:noWrap w:val="0"/>
            <w:vAlign w:val="center"/>
          </w:tcPr>
          <w:p w14:paraId="29BC6542">
            <w:pPr>
              <w:pStyle w:val="245"/>
              <w:spacing w:line="240" w:lineRule="auto"/>
              <w:rPr>
                <w:color w:val="auto"/>
                <w:sz w:val="21"/>
                <w:szCs w:val="21"/>
                <w:highlight w:val="none"/>
              </w:rPr>
            </w:pPr>
          </w:p>
        </w:tc>
      </w:tr>
      <w:tr w14:paraId="53E2A4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30" w:type="pct"/>
            <w:vMerge w:val="continue"/>
            <w:noWrap w:val="0"/>
            <w:vAlign w:val="center"/>
          </w:tcPr>
          <w:p w14:paraId="09D09FF2">
            <w:pPr>
              <w:pStyle w:val="245"/>
              <w:spacing w:line="240" w:lineRule="auto"/>
              <w:rPr>
                <w:color w:val="auto"/>
                <w:sz w:val="21"/>
                <w:szCs w:val="21"/>
                <w:highlight w:val="none"/>
              </w:rPr>
            </w:pPr>
          </w:p>
        </w:tc>
        <w:tc>
          <w:tcPr>
            <w:tcW w:w="903" w:type="pct"/>
            <w:noWrap w:val="0"/>
            <w:vAlign w:val="center"/>
          </w:tcPr>
          <w:p w14:paraId="3B531ED9">
            <w:pPr>
              <w:pStyle w:val="245"/>
              <w:spacing w:line="240" w:lineRule="auto"/>
              <w:rPr>
                <w:color w:val="auto"/>
                <w:sz w:val="21"/>
                <w:szCs w:val="21"/>
                <w:highlight w:val="none"/>
              </w:rPr>
            </w:pPr>
            <w:r>
              <w:rPr>
                <w:rFonts w:hint="eastAsia"/>
                <w:color w:val="auto"/>
                <w:sz w:val="21"/>
                <w:szCs w:val="21"/>
                <w:highlight w:val="none"/>
              </w:rPr>
              <w:t>敏感目标信息</w:t>
            </w:r>
          </w:p>
        </w:tc>
        <w:tc>
          <w:tcPr>
            <w:tcW w:w="1" w:type="pct"/>
            <w:gridSpan w:val="5"/>
            <w:noWrap w:val="0"/>
            <w:vAlign w:val="center"/>
          </w:tcPr>
          <w:p w14:paraId="50B6C363">
            <w:pPr>
              <w:pStyle w:val="245"/>
              <w:spacing w:line="240" w:lineRule="auto"/>
              <w:rPr>
                <w:color w:val="auto"/>
                <w:sz w:val="21"/>
                <w:szCs w:val="21"/>
                <w:highlight w:val="none"/>
              </w:rPr>
            </w:pPr>
            <w:r>
              <w:rPr>
                <w:rFonts w:hint="eastAsia"/>
                <w:color w:val="auto"/>
                <w:sz w:val="21"/>
                <w:szCs w:val="21"/>
                <w:highlight w:val="none"/>
              </w:rPr>
              <w:t>敏感目标（</w:t>
            </w:r>
            <w:r>
              <w:rPr>
                <w:rFonts w:hint="eastAsia"/>
                <w:color w:val="auto"/>
                <w:sz w:val="21"/>
                <w:szCs w:val="21"/>
                <w:highlight w:val="none"/>
                <w:lang w:val="en-US" w:eastAsia="zh-CN"/>
              </w:rPr>
              <w:t>牧草地</w:t>
            </w:r>
            <w:r>
              <w:rPr>
                <w:rFonts w:hint="eastAsia"/>
                <w:color w:val="auto"/>
                <w:sz w:val="21"/>
                <w:szCs w:val="21"/>
                <w:highlight w:val="none"/>
              </w:rPr>
              <w:t>）、方位（</w:t>
            </w:r>
            <w:r>
              <w:rPr>
                <w:rFonts w:hint="eastAsia"/>
                <w:color w:val="auto"/>
                <w:sz w:val="21"/>
                <w:szCs w:val="21"/>
                <w:highlight w:val="none"/>
                <w:lang w:val="en-US" w:eastAsia="zh-CN"/>
              </w:rPr>
              <w:t>N</w:t>
            </w:r>
            <w:r>
              <w:rPr>
                <w:rFonts w:hint="eastAsia"/>
                <w:color w:val="auto"/>
                <w:sz w:val="21"/>
                <w:szCs w:val="21"/>
                <w:highlight w:val="none"/>
              </w:rPr>
              <w:t>）、距离（</w:t>
            </w:r>
            <w:r>
              <w:rPr>
                <w:rFonts w:hint="eastAsia"/>
                <w:color w:val="auto"/>
                <w:sz w:val="21"/>
                <w:szCs w:val="21"/>
                <w:highlight w:val="none"/>
                <w:lang w:val="en-US" w:eastAsia="zh-CN"/>
              </w:rPr>
              <w:t>12m</w:t>
            </w:r>
            <w:r>
              <w:rPr>
                <w:rFonts w:hint="eastAsia"/>
                <w:color w:val="auto"/>
                <w:sz w:val="21"/>
                <w:szCs w:val="21"/>
                <w:highlight w:val="none"/>
              </w:rPr>
              <w:t>）</w:t>
            </w:r>
          </w:p>
        </w:tc>
        <w:tc>
          <w:tcPr>
            <w:tcW w:w="620" w:type="pct"/>
            <w:noWrap w:val="0"/>
            <w:vAlign w:val="center"/>
          </w:tcPr>
          <w:p w14:paraId="4E56B8B0">
            <w:pPr>
              <w:pStyle w:val="245"/>
              <w:spacing w:line="240" w:lineRule="auto"/>
              <w:rPr>
                <w:color w:val="auto"/>
                <w:sz w:val="21"/>
                <w:szCs w:val="21"/>
                <w:highlight w:val="none"/>
              </w:rPr>
            </w:pPr>
          </w:p>
        </w:tc>
      </w:tr>
      <w:tr w14:paraId="402EC4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29" w:type="pct"/>
            <w:vMerge w:val="continue"/>
            <w:noWrap w:val="0"/>
            <w:vAlign w:val="center"/>
          </w:tcPr>
          <w:p w14:paraId="1953EE84">
            <w:pPr>
              <w:pStyle w:val="245"/>
              <w:spacing w:line="240" w:lineRule="auto"/>
              <w:rPr>
                <w:color w:val="auto"/>
                <w:sz w:val="21"/>
                <w:szCs w:val="21"/>
                <w:highlight w:val="none"/>
              </w:rPr>
            </w:pPr>
          </w:p>
        </w:tc>
        <w:tc>
          <w:tcPr>
            <w:tcW w:w="902" w:type="pct"/>
            <w:noWrap w:val="0"/>
            <w:vAlign w:val="center"/>
          </w:tcPr>
          <w:p w14:paraId="548D7131">
            <w:pPr>
              <w:pStyle w:val="245"/>
              <w:spacing w:line="240" w:lineRule="auto"/>
              <w:rPr>
                <w:color w:val="auto"/>
                <w:sz w:val="21"/>
                <w:szCs w:val="21"/>
                <w:highlight w:val="none"/>
              </w:rPr>
            </w:pPr>
            <w:r>
              <w:rPr>
                <w:rFonts w:hint="eastAsia"/>
                <w:color w:val="auto"/>
                <w:sz w:val="21"/>
                <w:szCs w:val="21"/>
                <w:highlight w:val="none"/>
              </w:rPr>
              <w:t>影响途径</w:t>
            </w:r>
          </w:p>
        </w:tc>
        <w:tc>
          <w:tcPr>
            <w:tcW w:w="1" w:type="pct"/>
            <w:gridSpan w:val="5"/>
            <w:noWrap w:val="0"/>
            <w:vAlign w:val="center"/>
          </w:tcPr>
          <w:p w14:paraId="127EE450">
            <w:pPr>
              <w:pStyle w:val="245"/>
              <w:spacing w:line="240" w:lineRule="auto"/>
              <w:rPr>
                <w:color w:val="auto"/>
                <w:sz w:val="21"/>
                <w:szCs w:val="21"/>
                <w:highlight w:val="none"/>
              </w:rPr>
            </w:pPr>
            <w:r>
              <w:rPr>
                <w:rFonts w:hint="eastAsia"/>
                <w:color w:val="auto"/>
                <w:sz w:val="21"/>
                <w:szCs w:val="21"/>
                <w:highlight w:val="none"/>
              </w:rPr>
              <w:t>大气沉降</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；地面漫流</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；垂直入渗</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rFonts w:hint="eastAsia"/>
                <w:color w:val="auto"/>
                <w:position w:val="0"/>
                <w:sz w:val="21"/>
                <w:szCs w:val="21"/>
                <w:highlight w:val="none"/>
                <w:lang w:eastAsia="zh-CN"/>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；地下水位</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；其他（）</w:t>
            </w:r>
          </w:p>
        </w:tc>
        <w:tc>
          <w:tcPr>
            <w:tcW w:w="620" w:type="pct"/>
            <w:noWrap w:val="0"/>
            <w:vAlign w:val="center"/>
          </w:tcPr>
          <w:p w14:paraId="472BB00A">
            <w:pPr>
              <w:pStyle w:val="245"/>
              <w:spacing w:line="240" w:lineRule="auto"/>
              <w:rPr>
                <w:color w:val="auto"/>
                <w:sz w:val="21"/>
                <w:szCs w:val="21"/>
                <w:highlight w:val="none"/>
              </w:rPr>
            </w:pPr>
          </w:p>
        </w:tc>
      </w:tr>
      <w:tr w14:paraId="09A257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229" w:type="pct"/>
            <w:vMerge w:val="continue"/>
            <w:noWrap w:val="0"/>
            <w:vAlign w:val="center"/>
          </w:tcPr>
          <w:p w14:paraId="1E5DB692">
            <w:pPr>
              <w:pStyle w:val="245"/>
              <w:spacing w:line="240" w:lineRule="auto"/>
              <w:rPr>
                <w:color w:val="auto"/>
                <w:sz w:val="21"/>
                <w:szCs w:val="21"/>
                <w:highlight w:val="none"/>
              </w:rPr>
            </w:pPr>
          </w:p>
        </w:tc>
        <w:tc>
          <w:tcPr>
            <w:tcW w:w="903" w:type="pct"/>
            <w:noWrap w:val="0"/>
            <w:vAlign w:val="center"/>
          </w:tcPr>
          <w:p w14:paraId="75641E6D">
            <w:pPr>
              <w:pStyle w:val="245"/>
              <w:spacing w:line="240" w:lineRule="auto"/>
              <w:rPr>
                <w:color w:val="auto"/>
                <w:sz w:val="21"/>
                <w:szCs w:val="21"/>
                <w:highlight w:val="none"/>
              </w:rPr>
            </w:pPr>
            <w:r>
              <w:rPr>
                <w:rFonts w:hint="eastAsia"/>
                <w:color w:val="auto"/>
                <w:sz w:val="21"/>
                <w:szCs w:val="21"/>
                <w:highlight w:val="none"/>
              </w:rPr>
              <w:t>全部污染物</w:t>
            </w:r>
          </w:p>
        </w:tc>
        <w:tc>
          <w:tcPr>
            <w:tcW w:w="3249" w:type="pct"/>
            <w:gridSpan w:val="5"/>
            <w:noWrap w:val="0"/>
            <w:vAlign w:val="center"/>
          </w:tcPr>
          <w:p w14:paraId="2845A4B6">
            <w:pPr>
              <w:pStyle w:val="245"/>
              <w:spacing w:line="240" w:lineRule="auto"/>
              <w:rPr>
                <w:color w:val="auto"/>
                <w:sz w:val="21"/>
                <w:szCs w:val="21"/>
                <w:highlight w:val="none"/>
              </w:rPr>
            </w:pPr>
            <w:r>
              <w:rPr>
                <w:rFonts w:hint="eastAsia"/>
                <w:color w:val="auto"/>
                <w:sz w:val="21"/>
                <w:szCs w:val="21"/>
                <w:highlight w:val="none"/>
              </w:rPr>
              <w:t>/</w:t>
            </w:r>
          </w:p>
        </w:tc>
        <w:tc>
          <w:tcPr>
            <w:tcW w:w="619" w:type="pct"/>
            <w:noWrap w:val="0"/>
            <w:vAlign w:val="center"/>
          </w:tcPr>
          <w:p w14:paraId="63436B70">
            <w:pPr>
              <w:pStyle w:val="245"/>
              <w:spacing w:line="240" w:lineRule="auto"/>
              <w:rPr>
                <w:color w:val="auto"/>
                <w:sz w:val="21"/>
                <w:szCs w:val="21"/>
                <w:highlight w:val="none"/>
              </w:rPr>
            </w:pPr>
          </w:p>
        </w:tc>
      </w:tr>
      <w:tr w14:paraId="43850E0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29" w:type="pct"/>
            <w:vMerge w:val="continue"/>
            <w:noWrap w:val="0"/>
            <w:vAlign w:val="center"/>
          </w:tcPr>
          <w:p w14:paraId="7744279C">
            <w:pPr>
              <w:pStyle w:val="245"/>
              <w:spacing w:line="240" w:lineRule="auto"/>
              <w:rPr>
                <w:color w:val="auto"/>
                <w:sz w:val="21"/>
                <w:szCs w:val="21"/>
                <w:highlight w:val="none"/>
              </w:rPr>
            </w:pPr>
          </w:p>
        </w:tc>
        <w:tc>
          <w:tcPr>
            <w:tcW w:w="903" w:type="pct"/>
            <w:noWrap w:val="0"/>
            <w:vAlign w:val="center"/>
          </w:tcPr>
          <w:p w14:paraId="2C7B1B32">
            <w:pPr>
              <w:pStyle w:val="245"/>
              <w:spacing w:line="240" w:lineRule="auto"/>
              <w:rPr>
                <w:color w:val="auto"/>
                <w:sz w:val="21"/>
                <w:szCs w:val="21"/>
                <w:highlight w:val="none"/>
              </w:rPr>
            </w:pPr>
            <w:r>
              <w:rPr>
                <w:rFonts w:hint="eastAsia"/>
                <w:color w:val="auto"/>
                <w:sz w:val="21"/>
                <w:szCs w:val="21"/>
                <w:highlight w:val="none"/>
              </w:rPr>
              <w:t>特征因子</w:t>
            </w:r>
          </w:p>
        </w:tc>
        <w:tc>
          <w:tcPr>
            <w:tcW w:w="3249" w:type="pct"/>
            <w:gridSpan w:val="5"/>
            <w:noWrap w:val="0"/>
            <w:vAlign w:val="center"/>
          </w:tcPr>
          <w:p w14:paraId="6952046E">
            <w:pPr>
              <w:pStyle w:val="245"/>
              <w:spacing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氟化物</w:t>
            </w:r>
          </w:p>
        </w:tc>
        <w:tc>
          <w:tcPr>
            <w:tcW w:w="619" w:type="pct"/>
            <w:noWrap w:val="0"/>
            <w:vAlign w:val="center"/>
          </w:tcPr>
          <w:p w14:paraId="24B8A1CB">
            <w:pPr>
              <w:pStyle w:val="245"/>
              <w:spacing w:line="240" w:lineRule="auto"/>
              <w:rPr>
                <w:color w:val="auto"/>
                <w:sz w:val="21"/>
                <w:szCs w:val="21"/>
                <w:highlight w:val="none"/>
              </w:rPr>
            </w:pPr>
          </w:p>
        </w:tc>
      </w:tr>
      <w:tr w14:paraId="5F289E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229" w:type="pct"/>
            <w:vMerge w:val="continue"/>
            <w:noWrap w:val="0"/>
            <w:vAlign w:val="center"/>
          </w:tcPr>
          <w:p w14:paraId="71EBA3EE">
            <w:pPr>
              <w:pStyle w:val="245"/>
              <w:spacing w:line="240" w:lineRule="auto"/>
              <w:rPr>
                <w:color w:val="auto"/>
                <w:sz w:val="21"/>
                <w:szCs w:val="21"/>
                <w:highlight w:val="none"/>
              </w:rPr>
            </w:pPr>
          </w:p>
        </w:tc>
        <w:tc>
          <w:tcPr>
            <w:tcW w:w="903" w:type="pct"/>
            <w:noWrap w:val="0"/>
            <w:vAlign w:val="center"/>
          </w:tcPr>
          <w:p w14:paraId="5A8166ED">
            <w:pPr>
              <w:pStyle w:val="245"/>
              <w:spacing w:line="240" w:lineRule="auto"/>
              <w:rPr>
                <w:color w:val="auto"/>
                <w:sz w:val="21"/>
                <w:szCs w:val="21"/>
                <w:highlight w:val="none"/>
              </w:rPr>
            </w:pPr>
            <w:r>
              <w:rPr>
                <w:rFonts w:hint="eastAsia"/>
                <w:color w:val="auto"/>
                <w:sz w:val="21"/>
                <w:szCs w:val="21"/>
                <w:highlight w:val="none"/>
              </w:rPr>
              <w:t>所属土壤环境影响评价项目类别</w:t>
            </w:r>
          </w:p>
        </w:tc>
        <w:tc>
          <w:tcPr>
            <w:tcW w:w="3249" w:type="pct"/>
            <w:gridSpan w:val="5"/>
            <w:noWrap w:val="0"/>
            <w:vAlign w:val="center"/>
          </w:tcPr>
          <w:p w14:paraId="2E43F983">
            <w:pPr>
              <w:pStyle w:val="245"/>
              <w:spacing w:line="240" w:lineRule="auto"/>
              <w:rPr>
                <w:rFonts w:hint="eastAsia" w:eastAsia="宋体"/>
                <w:color w:val="auto"/>
                <w:sz w:val="21"/>
                <w:szCs w:val="21"/>
                <w:highlight w:val="none"/>
                <w:lang w:eastAsia="zh-CN"/>
              </w:rPr>
            </w:pPr>
            <w:r>
              <w:rPr>
                <w:rFonts w:hint="eastAsia"/>
                <w:color w:val="auto"/>
                <w:sz w:val="21"/>
                <w:szCs w:val="21"/>
                <w:highlight w:val="none"/>
              </w:rPr>
              <w:t>Ⅰ类</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；Ⅱ类</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；Ⅲ类</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rFonts w:hint="eastAsia"/>
                <w:color w:val="auto"/>
                <w:position w:val="0"/>
                <w:sz w:val="21"/>
                <w:szCs w:val="21"/>
                <w:highlight w:val="none"/>
                <w:lang w:eastAsia="zh-CN"/>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；Ⅳ类</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p>
        </w:tc>
        <w:tc>
          <w:tcPr>
            <w:tcW w:w="619" w:type="pct"/>
            <w:noWrap w:val="0"/>
            <w:vAlign w:val="center"/>
          </w:tcPr>
          <w:p w14:paraId="1201A166">
            <w:pPr>
              <w:pStyle w:val="245"/>
              <w:spacing w:line="240" w:lineRule="auto"/>
              <w:rPr>
                <w:color w:val="auto"/>
                <w:sz w:val="21"/>
                <w:szCs w:val="21"/>
                <w:highlight w:val="none"/>
              </w:rPr>
            </w:pPr>
          </w:p>
        </w:tc>
      </w:tr>
      <w:tr w14:paraId="5A8820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29" w:type="pct"/>
            <w:vMerge w:val="continue"/>
            <w:noWrap w:val="0"/>
            <w:vAlign w:val="center"/>
          </w:tcPr>
          <w:p w14:paraId="3523B524">
            <w:pPr>
              <w:pStyle w:val="245"/>
              <w:spacing w:line="240" w:lineRule="auto"/>
              <w:rPr>
                <w:color w:val="auto"/>
                <w:sz w:val="21"/>
                <w:szCs w:val="21"/>
                <w:highlight w:val="none"/>
              </w:rPr>
            </w:pPr>
          </w:p>
        </w:tc>
        <w:tc>
          <w:tcPr>
            <w:tcW w:w="903" w:type="pct"/>
            <w:noWrap w:val="0"/>
            <w:vAlign w:val="center"/>
          </w:tcPr>
          <w:p w14:paraId="17461D49">
            <w:pPr>
              <w:pStyle w:val="245"/>
              <w:spacing w:line="240" w:lineRule="auto"/>
              <w:rPr>
                <w:color w:val="auto"/>
                <w:sz w:val="21"/>
                <w:szCs w:val="21"/>
                <w:highlight w:val="none"/>
              </w:rPr>
            </w:pPr>
            <w:r>
              <w:rPr>
                <w:rFonts w:hint="eastAsia"/>
                <w:color w:val="auto"/>
                <w:sz w:val="21"/>
                <w:szCs w:val="21"/>
                <w:highlight w:val="none"/>
              </w:rPr>
              <w:t>敏感程度</w:t>
            </w:r>
          </w:p>
        </w:tc>
        <w:tc>
          <w:tcPr>
            <w:tcW w:w="3249" w:type="pct"/>
            <w:gridSpan w:val="5"/>
            <w:noWrap w:val="0"/>
            <w:vAlign w:val="center"/>
          </w:tcPr>
          <w:p w14:paraId="06533B7B">
            <w:pPr>
              <w:pStyle w:val="245"/>
              <w:spacing w:line="240" w:lineRule="auto"/>
              <w:rPr>
                <w:color w:val="auto"/>
                <w:sz w:val="21"/>
                <w:szCs w:val="21"/>
                <w:highlight w:val="none"/>
              </w:rPr>
            </w:pPr>
            <w:r>
              <w:rPr>
                <w:rFonts w:hint="eastAsia"/>
                <w:color w:val="auto"/>
                <w:sz w:val="21"/>
                <w:szCs w:val="21"/>
                <w:highlight w:val="none"/>
              </w:rPr>
              <w:t>敏感</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rFonts w:hint="eastAsia"/>
                <w:color w:val="auto"/>
                <w:position w:val="0"/>
                <w:sz w:val="21"/>
                <w:szCs w:val="21"/>
                <w:highlight w:val="none"/>
                <w:lang w:eastAsia="zh-CN"/>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；较敏感</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；不敏感</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p>
        </w:tc>
        <w:tc>
          <w:tcPr>
            <w:tcW w:w="619" w:type="pct"/>
            <w:noWrap w:val="0"/>
            <w:vAlign w:val="center"/>
          </w:tcPr>
          <w:p w14:paraId="6779AFDF">
            <w:pPr>
              <w:pStyle w:val="245"/>
              <w:spacing w:line="240" w:lineRule="auto"/>
              <w:rPr>
                <w:color w:val="auto"/>
                <w:sz w:val="21"/>
                <w:szCs w:val="21"/>
                <w:highlight w:val="none"/>
              </w:rPr>
            </w:pPr>
          </w:p>
        </w:tc>
      </w:tr>
      <w:tr w14:paraId="0FD3623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132" w:type="pct"/>
            <w:gridSpan w:val="2"/>
            <w:noWrap w:val="0"/>
            <w:vAlign w:val="center"/>
          </w:tcPr>
          <w:p w14:paraId="26A14B50">
            <w:pPr>
              <w:pStyle w:val="245"/>
              <w:spacing w:line="240" w:lineRule="auto"/>
              <w:rPr>
                <w:color w:val="auto"/>
                <w:sz w:val="21"/>
                <w:szCs w:val="21"/>
                <w:highlight w:val="none"/>
              </w:rPr>
            </w:pPr>
            <w:r>
              <w:rPr>
                <w:rFonts w:hint="eastAsia"/>
                <w:color w:val="auto"/>
                <w:sz w:val="21"/>
                <w:szCs w:val="21"/>
                <w:highlight w:val="none"/>
              </w:rPr>
              <w:t>评价工作等级</w:t>
            </w:r>
          </w:p>
        </w:tc>
        <w:tc>
          <w:tcPr>
            <w:tcW w:w="3249" w:type="pct"/>
            <w:gridSpan w:val="5"/>
            <w:noWrap w:val="0"/>
            <w:vAlign w:val="center"/>
          </w:tcPr>
          <w:p w14:paraId="56DBD370">
            <w:pPr>
              <w:pStyle w:val="245"/>
              <w:spacing w:line="240" w:lineRule="auto"/>
              <w:rPr>
                <w:rFonts w:hint="eastAsia" w:eastAsia="宋体"/>
                <w:color w:val="auto"/>
                <w:sz w:val="21"/>
                <w:szCs w:val="21"/>
                <w:highlight w:val="none"/>
                <w:lang w:eastAsia="zh-CN"/>
              </w:rPr>
            </w:pPr>
            <w:r>
              <w:rPr>
                <w:rFonts w:hint="eastAsia"/>
                <w:color w:val="auto"/>
                <w:sz w:val="21"/>
                <w:szCs w:val="21"/>
                <w:highlight w:val="none"/>
              </w:rPr>
              <w:t>一级□；二级</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；三级</w:t>
            </w:r>
            <w:r>
              <w:rPr>
                <w:rFonts w:hint="eastAsia"/>
                <w:color w:val="auto"/>
                <w:sz w:val="21"/>
                <w:szCs w:val="21"/>
                <w:highlight w:val="none"/>
                <w:lang w:eastAsia="zh-CN"/>
              </w:rPr>
              <w:t>☑</w:t>
            </w:r>
          </w:p>
        </w:tc>
        <w:tc>
          <w:tcPr>
            <w:tcW w:w="619" w:type="pct"/>
            <w:noWrap w:val="0"/>
            <w:vAlign w:val="center"/>
          </w:tcPr>
          <w:p w14:paraId="4730E26A">
            <w:pPr>
              <w:pStyle w:val="245"/>
              <w:spacing w:line="240" w:lineRule="auto"/>
              <w:rPr>
                <w:color w:val="auto"/>
                <w:sz w:val="21"/>
                <w:szCs w:val="21"/>
                <w:highlight w:val="none"/>
              </w:rPr>
            </w:pPr>
          </w:p>
        </w:tc>
      </w:tr>
      <w:tr w14:paraId="6AB778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229" w:type="pct"/>
            <w:vMerge w:val="restart"/>
            <w:noWrap w:val="0"/>
            <w:vAlign w:val="center"/>
          </w:tcPr>
          <w:p w14:paraId="08C3542C">
            <w:pPr>
              <w:pStyle w:val="245"/>
              <w:spacing w:line="240" w:lineRule="auto"/>
              <w:rPr>
                <w:color w:val="auto"/>
                <w:sz w:val="21"/>
                <w:szCs w:val="21"/>
                <w:highlight w:val="none"/>
              </w:rPr>
            </w:pPr>
            <w:r>
              <w:rPr>
                <w:rFonts w:hint="eastAsia"/>
                <w:color w:val="auto"/>
                <w:sz w:val="21"/>
                <w:szCs w:val="21"/>
                <w:highlight w:val="none"/>
              </w:rPr>
              <w:t>现状调查内容</w:t>
            </w:r>
          </w:p>
        </w:tc>
        <w:tc>
          <w:tcPr>
            <w:tcW w:w="903" w:type="pct"/>
            <w:noWrap w:val="0"/>
            <w:vAlign w:val="center"/>
          </w:tcPr>
          <w:p w14:paraId="58A05377">
            <w:pPr>
              <w:pStyle w:val="245"/>
              <w:spacing w:line="240" w:lineRule="auto"/>
              <w:rPr>
                <w:color w:val="auto"/>
                <w:sz w:val="21"/>
                <w:szCs w:val="21"/>
                <w:highlight w:val="none"/>
              </w:rPr>
            </w:pPr>
            <w:r>
              <w:rPr>
                <w:rFonts w:hint="eastAsia"/>
                <w:color w:val="auto"/>
                <w:sz w:val="21"/>
                <w:szCs w:val="21"/>
                <w:highlight w:val="none"/>
              </w:rPr>
              <w:t>资料收集</w:t>
            </w:r>
          </w:p>
        </w:tc>
        <w:tc>
          <w:tcPr>
            <w:tcW w:w="3249" w:type="pct"/>
            <w:gridSpan w:val="5"/>
            <w:noWrap w:val="0"/>
            <w:vAlign w:val="center"/>
          </w:tcPr>
          <w:p w14:paraId="239E70F3">
            <w:pPr>
              <w:pStyle w:val="245"/>
              <w:spacing w:line="240" w:lineRule="auto"/>
              <w:rPr>
                <w:color w:val="auto"/>
                <w:sz w:val="21"/>
                <w:szCs w:val="21"/>
                <w:highlight w:val="none"/>
              </w:rPr>
            </w:pPr>
            <w:r>
              <w:rPr>
                <w:color w:val="auto"/>
                <w:sz w:val="21"/>
                <w:szCs w:val="21"/>
                <w:highlight w:val="none"/>
              </w:rPr>
              <w:t>a</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w:t>
            </w:r>
            <w:r>
              <w:rPr>
                <w:color w:val="auto"/>
                <w:sz w:val="21"/>
                <w:szCs w:val="21"/>
                <w:highlight w:val="none"/>
              </w:rPr>
              <w:t>b</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w:t>
            </w:r>
            <w:r>
              <w:rPr>
                <w:color w:val="auto"/>
                <w:sz w:val="21"/>
                <w:szCs w:val="21"/>
                <w:highlight w:val="none"/>
              </w:rPr>
              <w:t>c</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w:t>
            </w:r>
            <w:r>
              <w:rPr>
                <w:color w:val="auto"/>
                <w:sz w:val="21"/>
                <w:szCs w:val="21"/>
                <w:highlight w:val="none"/>
              </w:rPr>
              <w:t>d</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p>
        </w:tc>
        <w:tc>
          <w:tcPr>
            <w:tcW w:w="619" w:type="pct"/>
            <w:noWrap w:val="0"/>
            <w:vAlign w:val="center"/>
          </w:tcPr>
          <w:p w14:paraId="51F75B74">
            <w:pPr>
              <w:pStyle w:val="245"/>
              <w:spacing w:line="240" w:lineRule="auto"/>
              <w:rPr>
                <w:color w:val="auto"/>
                <w:sz w:val="21"/>
                <w:szCs w:val="21"/>
                <w:highlight w:val="none"/>
              </w:rPr>
            </w:pPr>
          </w:p>
        </w:tc>
      </w:tr>
      <w:tr w14:paraId="664B59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29" w:type="pct"/>
            <w:vMerge w:val="continue"/>
            <w:noWrap w:val="0"/>
            <w:vAlign w:val="center"/>
          </w:tcPr>
          <w:p w14:paraId="6D42EB14">
            <w:pPr>
              <w:pStyle w:val="245"/>
              <w:spacing w:line="240" w:lineRule="auto"/>
              <w:rPr>
                <w:color w:val="auto"/>
                <w:sz w:val="21"/>
                <w:szCs w:val="21"/>
                <w:highlight w:val="none"/>
              </w:rPr>
            </w:pPr>
          </w:p>
        </w:tc>
        <w:tc>
          <w:tcPr>
            <w:tcW w:w="903" w:type="pct"/>
            <w:noWrap w:val="0"/>
            <w:vAlign w:val="center"/>
          </w:tcPr>
          <w:p w14:paraId="006E4D79">
            <w:pPr>
              <w:pStyle w:val="245"/>
              <w:spacing w:line="240" w:lineRule="auto"/>
              <w:rPr>
                <w:color w:val="auto"/>
                <w:sz w:val="21"/>
                <w:szCs w:val="21"/>
                <w:highlight w:val="none"/>
              </w:rPr>
            </w:pPr>
            <w:r>
              <w:rPr>
                <w:rFonts w:hint="eastAsia"/>
                <w:color w:val="auto"/>
                <w:sz w:val="21"/>
                <w:szCs w:val="21"/>
                <w:highlight w:val="none"/>
              </w:rPr>
              <w:t>理化特性</w:t>
            </w:r>
          </w:p>
        </w:tc>
        <w:tc>
          <w:tcPr>
            <w:tcW w:w="3249" w:type="pct"/>
            <w:gridSpan w:val="5"/>
            <w:noWrap w:val="0"/>
            <w:vAlign w:val="center"/>
          </w:tcPr>
          <w:p w14:paraId="4C20BCE8">
            <w:pPr>
              <w:pStyle w:val="245"/>
              <w:spacing w:line="240" w:lineRule="auto"/>
              <w:rPr>
                <w:color w:val="auto"/>
                <w:sz w:val="21"/>
                <w:szCs w:val="21"/>
                <w:highlight w:val="none"/>
              </w:rPr>
            </w:pPr>
          </w:p>
        </w:tc>
        <w:tc>
          <w:tcPr>
            <w:tcW w:w="619" w:type="pct"/>
            <w:noWrap w:val="0"/>
            <w:vAlign w:val="center"/>
          </w:tcPr>
          <w:p w14:paraId="301B7D2B">
            <w:pPr>
              <w:pStyle w:val="245"/>
              <w:spacing w:line="240" w:lineRule="auto"/>
              <w:rPr>
                <w:rFonts w:eastAsia="Times New Roman"/>
                <w:color w:val="auto"/>
                <w:sz w:val="21"/>
                <w:szCs w:val="21"/>
                <w:highlight w:val="none"/>
              </w:rPr>
            </w:pPr>
            <w:r>
              <w:rPr>
                <w:rFonts w:hint="eastAsia"/>
                <w:color w:val="auto"/>
                <w:sz w:val="21"/>
                <w:szCs w:val="21"/>
                <w:highlight w:val="none"/>
              </w:rPr>
              <w:t>同附录</w:t>
            </w:r>
            <w:r>
              <w:rPr>
                <w:color w:val="auto"/>
                <w:sz w:val="21"/>
                <w:szCs w:val="21"/>
                <w:highlight w:val="none"/>
              </w:rPr>
              <w:t>C</w:t>
            </w:r>
          </w:p>
        </w:tc>
      </w:tr>
      <w:tr w14:paraId="517B99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9" w:hRule="atLeast"/>
          <w:jc w:val="center"/>
        </w:trPr>
        <w:tc>
          <w:tcPr>
            <w:tcW w:w="229" w:type="pct"/>
            <w:vMerge w:val="continue"/>
            <w:noWrap w:val="0"/>
            <w:vAlign w:val="center"/>
          </w:tcPr>
          <w:p w14:paraId="55911051">
            <w:pPr>
              <w:pStyle w:val="245"/>
              <w:spacing w:line="240" w:lineRule="auto"/>
              <w:rPr>
                <w:color w:val="auto"/>
                <w:sz w:val="21"/>
                <w:szCs w:val="21"/>
                <w:highlight w:val="none"/>
              </w:rPr>
            </w:pPr>
          </w:p>
        </w:tc>
        <w:tc>
          <w:tcPr>
            <w:tcW w:w="903" w:type="pct"/>
            <w:vMerge w:val="restart"/>
            <w:noWrap w:val="0"/>
            <w:vAlign w:val="center"/>
          </w:tcPr>
          <w:p w14:paraId="75910A29">
            <w:pPr>
              <w:pStyle w:val="245"/>
              <w:spacing w:line="240" w:lineRule="auto"/>
              <w:rPr>
                <w:color w:val="auto"/>
                <w:sz w:val="21"/>
                <w:szCs w:val="21"/>
                <w:highlight w:val="none"/>
              </w:rPr>
            </w:pPr>
            <w:r>
              <w:rPr>
                <w:rFonts w:hint="eastAsia"/>
                <w:color w:val="auto"/>
                <w:sz w:val="21"/>
                <w:szCs w:val="21"/>
                <w:highlight w:val="none"/>
              </w:rPr>
              <w:t>现状监测点位</w:t>
            </w:r>
          </w:p>
        </w:tc>
        <w:tc>
          <w:tcPr>
            <w:tcW w:w="763" w:type="pct"/>
            <w:noWrap w:val="0"/>
            <w:vAlign w:val="center"/>
          </w:tcPr>
          <w:p w14:paraId="4AB43A98">
            <w:pPr>
              <w:pStyle w:val="245"/>
              <w:spacing w:line="240" w:lineRule="auto"/>
              <w:rPr>
                <w:color w:val="auto"/>
                <w:sz w:val="21"/>
                <w:szCs w:val="21"/>
                <w:highlight w:val="none"/>
              </w:rPr>
            </w:pPr>
          </w:p>
        </w:tc>
        <w:tc>
          <w:tcPr>
            <w:tcW w:w="826" w:type="pct"/>
            <w:noWrap w:val="0"/>
            <w:vAlign w:val="center"/>
          </w:tcPr>
          <w:p w14:paraId="15C2CE17">
            <w:pPr>
              <w:pStyle w:val="245"/>
              <w:spacing w:line="240" w:lineRule="auto"/>
              <w:rPr>
                <w:color w:val="auto"/>
                <w:sz w:val="21"/>
                <w:szCs w:val="21"/>
                <w:highlight w:val="none"/>
              </w:rPr>
            </w:pPr>
            <w:r>
              <w:rPr>
                <w:rFonts w:hint="eastAsia"/>
                <w:color w:val="auto"/>
                <w:sz w:val="21"/>
                <w:szCs w:val="21"/>
                <w:highlight w:val="none"/>
              </w:rPr>
              <w:t>占地范围内</w:t>
            </w:r>
          </w:p>
        </w:tc>
        <w:tc>
          <w:tcPr>
            <w:tcW w:w="1227" w:type="pct"/>
            <w:gridSpan w:val="2"/>
            <w:noWrap w:val="0"/>
            <w:vAlign w:val="center"/>
          </w:tcPr>
          <w:p w14:paraId="34C79D97">
            <w:pPr>
              <w:pStyle w:val="245"/>
              <w:spacing w:line="240" w:lineRule="auto"/>
              <w:rPr>
                <w:color w:val="auto"/>
                <w:sz w:val="21"/>
                <w:szCs w:val="21"/>
                <w:highlight w:val="none"/>
              </w:rPr>
            </w:pPr>
            <w:r>
              <w:rPr>
                <w:rFonts w:hint="eastAsia"/>
                <w:color w:val="auto"/>
                <w:sz w:val="21"/>
                <w:szCs w:val="21"/>
                <w:highlight w:val="none"/>
              </w:rPr>
              <w:t>占地范围外</w:t>
            </w:r>
          </w:p>
        </w:tc>
        <w:tc>
          <w:tcPr>
            <w:tcW w:w="432" w:type="pct"/>
            <w:noWrap w:val="0"/>
            <w:vAlign w:val="center"/>
          </w:tcPr>
          <w:p w14:paraId="03B5A56B">
            <w:pPr>
              <w:pStyle w:val="245"/>
              <w:spacing w:line="240" w:lineRule="auto"/>
              <w:rPr>
                <w:color w:val="auto"/>
                <w:sz w:val="21"/>
                <w:szCs w:val="21"/>
                <w:highlight w:val="none"/>
              </w:rPr>
            </w:pPr>
            <w:r>
              <w:rPr>
                <w:rFonts w:hint="eastAsia"/>
                <w:color w:val="auto"/>
                <w:sz w:val="21"/>
                <w:szCs w:val="21"/>
                <w:highlight w:val="none"/>
              </w:rPr>
              <w:t>深度</w:t>
            </w:r>
          </w:p>
        </w:tc>
        <w:tc>
          <w:tcPr>
            <w:tcW w:w="619" w:type="pct"/>
            <w:vMerge w:val="restart"/>
            <w:noWrap w:val="0"/>
            <w:vAlign w:val="center"/>
          </w:tcPr>
          <w:p w14:paraId="47602055">
            <w:pPr>
              <w:pStyle w:val="245"/>
              <w:spacing w:line="240" w:lineRule="auto"/>
              <w:rPr>
                <w:color w:val="auto"/>
                <w:sz w:val="21"/>
                <w:szCs w:val="21"/>
                <w:highlight w:val="none"/>
              </w:rPr>
            </w:pPr>
          </w:p>
        </w:tc>
      </w:tr>
      <w:tr w14:paraId="30EF72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29" w:type="pct"/>
            <w:vMerge w:val="continue"/>
            <w:noWrap w:val="0"/>
            <w:vAlign w:val="center"/>
          </w:tcPr>
          <w:p w14:paraId="7B7FF6AF">
            <w:pPr>
              <w:pStyle w:val="245"/>
              <w:spacing w:line="240" w:lineRule="auto"/>
              <w:rPr>
                <w:color w:val="auto"/>
                <w:sz w:val="21"/>
                <w:szCs w:val="21"/>
                <w:highlight w:val="none"/>
              </w:rPr>
            </w:pPr>
          </w:p>
        </w:tc>
        <w:tc>
          <w:tcPr>
            <w:tcW w:w="903" w:type="pct"/>
            <w:vMerge w:val="continue"/>
            <w:noWrap w:val="0"/>
            <w:vAlign w:val="center"/>
          </w:tcPr>
          <w:p w14:paraId="546790DE">
            <w:pPr>
              <w:pStyle w:val="245"/>
              <w:spacing w:line="240" w:lineRule="auto"/>
              <w:rPr>
                <w:color w:val="auto"/>
                <w:sz w:val="21"/>
                <w:szCs w:val="21"/>
                <w:highlight w:val="none"/>
              </w:rPr>
            </w:pPr>
          </w:p>
        </w:tc>
        <w:tc>
          <w:tcPr>
            <w:tcW w:w="763" w:type="pct"/>
            <w:noWrap w:val="0"/>
            <w:vAlign w:val="center"/>
          </w:tcPr>
          <w:p w14:paraId="08D61AA8">
            <w:pPr>
              <w:pStyle w:val="245"/>
              <w:spacing w:line="240" w:lineRule="auto"/>
              <w:rPr>
                <w:color w:val="auto"/>
                <w:sz w:val="21"/>
                <w:szCs w:val="21"/>
                <w:highlight w:val="none"/>
              </w:rPr>
            </w:pPr>
            <w:r>
              <w:rPr>
                <w:rFonts w:hint="eastAsia"/>
                <w:color w:val="auto"/>
                <w:sz w:val="21"/>
                <w:szCs w:val="21"/>
                <w:highlight w:val="none"/>
              </w:rPr>
              <w:t>表层样点数</w:t>
            </w:r>
          </w:p>
        </w:tc>
        <w:tc>
          <w:tcPr>
            <w:tcW w:w="826" w:type="pct"/>
            <w:noWrap w:val="0"/>
            <w:vAlign w:val="center"/>
          </w:tcPr>
          <w:p w14:paraId="634EB2A6">
            <w:pPr>
              <w:pStyle w:val="245"/>
              <w:spacing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3</w:t>
            </w:r>
          </w:p>
        </w:tc>
        <w:tc>
          <w:tcPr>
            <w:tcW w:w="1227" w:type="pct"/>
            <w:gridSpan w:val="2"/>
            <w:noWrap w:val="0"/>
            <w:vAlign w:val="center"/>
          </w:tcPr>
          <w:p w14:paraId="520E70D4">
            <w:pPr>
              <w:pStyle w:val="245"/>
              <w:spacing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0</w:t>
            </w:r>
          </w:p>
        </w:tc>
        <w:tc>
          <w:tcPr>
            <w:tcW w:w="432" w:type="pct"/>
            <w:noWrap w:val="0"/>
            <w:vAlign w:val="center"/>
          </w:tcPr>
          <w:p w14:paraId="4339459F">
            <w:pPr>
              <w:pStyle w:val="245"/>
              <w:spacing w:line="240" w:lineRule="auto"/>
              <w:rPr>
                <w:color w:val="auto"/>
                <w:sz w:val="21"/>
                <w:szCs w:val="21"/>
                <w:highlight w:val="none"/>
              </w:rPr>
            </w:pPr>
            <w:r>
              <w:rPr>
                <w:color w:val="auto"/>
                <w:sz w:val="21"/>
                <w:szCs w:val="21"/>
                <w:highlight w:val="none"/>
              </w:rPr>
              <w:t>0.2m</w:t>
            </w:r>
          </w:p>
        </w:tc>
        <w:tc>
          <w:tcPr>
            <w:tcW w:w="619" w:type="pct"/>
            <w:vMerge w:val="continue"/>
            <w:noWrap w:val="0"/>
            <w:vAlign w:val="center"/>
          </w:tcPr>
          <w:p w14:paraId="662C8EF9">
            <w:pPr>
              <w:pStyle w:val="245"/>
              <w:spacing w:line="240" w:lineRule="auto"/>
              <w:rPr>
                <w:color w:val="auto"/>
                <w:sz w:val="21"/>
                <w:szCs w:val="21"/>
                <w:highlight w:val="none"/>
              </w:rPr>
            </w:pPr>
          </w:p>
        </w:tc>
      </w:tr>
      <w:tr w14:paraId="33B3E9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4" w:hRule="atLeast"/>
          <w:jc w:val="center"/>
        </w:trPr>
        <w:tc>
          <w:tcPr>
            <w:tcW w:w="229" w:type="pct"/>
            <w:vMerge w:val="continue"/>
            <w:noWrap w:val="0"/>
            <w:vAlign w:val="center"/>
          </w:tcPr>
          <w:p w14:paraId="0E09F041">
            <w:pPr>
              <w:pStyle w:val="245"/>
              <w:spacing w:line="240" w:lineRule="auto"/>
              <w:rPr>
                <w:color w:val="auto"/>
                <w:sz w:val="21"/>
                <w:szCs w:val="21"/>
                <w:highlight w:val="none"/>
              </w:rPr>
            </w:pPr>
          </w:p>
        </w:tc>
        <w:tc>
          <w:tcPr>
            <w:tcW w:w="903" w:type="pct"/>
            <w:vMerge w:val="continue"/>
            <w:noWrap w:val="0"/>
            <w:vAlign w:val="center"/>
          </w:tcPr>
          <w:p w14:paraId="0DE5D47F">
            <w:pPr>
              <w:pStyle w:val="245"/>
              <w:spacing w:line="240" w:lineRule="auto"/>
              <w:rPr>
                <w:color w:val="auto"/>
                <w:sz w:val="21"/>
                <w:szCs w:val="21"/>
                <w:highlight w:val="none"/>
              </w:rPr>
            </w:pPr>
          </w:p>
        </w:tc>
        <w:tc>
          <w:tcPr>
            <w:tcW w:w="763" w:type="pct"/>
            <w:noWrap w:val="0"/>
            <w:vAlign w:val="center"/>
          </w:tcPr>
          <w:p w14:paraId="0C7FE0FD">
            <w:pPr>
              <w:pStyle w:val="245"/>
              <w:spacing w:line="240" w:lineRule="auto"/>
              <w:rPr>
                <w:color w:val="auto"/>
                <w:sz w:val="21"/>
                <w:szCs w:val="21"/>
                <w:highlight w:val="none"/>
              </w:rPr>
            </w:pPr>
            <w:r>
              <w:rPr>
                <w:rFonts w:hint="eastAsia"/>
                <w:color w:val="auto"/>
                <w:sz w:val="21"/>
                <w:szCs w:val="21"/>
                <w:highlight w:val="none"/>
              </w:rPr>
              <w:t>柱状样点数</w:t>
            </w:r>
          </w:p>
        </w:tc>
        <w:tc>
          <w:tcPr>
            <w:tcW w:w="826" w:type="pct"/>
            <w:noWrap w:val="0"/>
            <w:vAlign w:val="center"/>
          </w:tcPr>
          <w:p w14:paraId="379ED981">
            <w:pPr>
              <w:pStyle w:val="245"/>
              <w:spacing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0</w:t>
            </w:r>
          </w:p>
        </w:tc>
        <w:tc>
          <w:tcPr>
            <w:tcW w:w="1227" w:type="pct"/>
            <w:gridSpan w:val="2"/>
            <w:noWrap w:val="0"/>
            <w:vAlign w:val="center"/>
          </w:tcPr>
          <w:p w14:paraId="007B4DD2">
            <w:pPr>
              <w:pStyle w:val="245"/>
              <w:spacing w:line="240" w:lineRule="auto"/>
              <w:rPr>
                <w:color w:val="auto"/>
                <w:sz w:val="21"/>
                <w:szCs w:val="21"/>
                <w:highlight w:val="none"/>
              </w:rPr>
            </w:pPr>
            <w:r>
              <w:rPr>
                <w:color w:val="auto"/>
                <w:sz w:val="21"/>
                <w:szCs w:val="21"/>
                <w:highlight w:val="none"/>
              </w:rPr>
              <w:t>0</w:t>
            </w:r>
          </w:p>
        </w:tc>
        <w:tc>
          <w:tcPr>
            <w:tcW w:w="432" w:type="pct"/>
            <w:noWrap w:val="0"/>
            <w:vAlign w:val="center"/>
          </w:tcPr>
          <w:p w14:paraId="0318190C">
            <w:pPr>
              <w:pStyle w:val="245"/>
              <w:spacing w:line="240" w:lineRule="auto"/>
              <w:rPr>
                <w:color w:val="auto"/>
                <w:sz w:val="21"/>
                <w:szCs w:val="21"/>
                <w:highlight w:val="none"/>
              </w:rPr>
            </w:pPr>
            <w:r>
              <w:rPr>
                <w:color w:val="auto"/>
                <w:sz w:val="21"/>
                <w:szCs w:val="21"/>
                <w:highlight w:val="none"/>
              </w:rPr>
              <w:t>3m</w:t>
            </w:r>
          </w:p>
        </w:tc>
        <w:tc>
          <w:tcPr>
            <w:tcW w:w="619" w:type="pct"/>
            <w:vMerge w:val="continue"/>
            <w:noWrap w:val="0"/>
            <w:vAlign w:val="center"/>
          </w:tcPr>
          <w:p w14:paraId="2A17B95F">
            <w:pPr>
              <w:pStyle w:val="245"/>
              <w:spacing w:line="240" w:lineRule="auto"/>
              <w:rPr>
                <w:color w:val="auto"/>
                <w:sz w:val="21"/>
                <w:szCs w:val="21"/>
                <w:highlight w:val="none"/>
              </w:rPr>
            </w:pPr>
          </w:p>
        </w:tc>
      </w:tr>
      <w:tr w14:paraId="2F5A86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229" w:type="pct"/>
            <w:vMerge w:val="continue"/>
            <w:noWrap w:val="0"/>
            <w:vAlign w:val="center"/>
          </w:tcPr>
          <w:p w14:paraId="2B7A40A7">
            <w:pPr>
              <w:pStyle w:val="245"/>
              <w:spacing w:line="240" w:lineRule="auto"/>
              <w:rPr>
                <w:color w:val="auto"/>
                <w:sz w:val="21"/>
                <w:szCs w:val="21"/>
                <w:highlight w:val="none"/>
              </w:rPr>
            </w:pPr>
          </w:p>
        </w:tc>
        <w:tc>
          <w:tcPr>
            <w:tcW w:w="903" w:type="pct"/>
            <w:noWrap w:val="0"/>
            <w:vAlign w:val="center"/>
          </w:tcPr>
          <w:p w14:paraId="5D4B43AD">
            <w:pPr>
              <w:pStyle w:val="245"/>
              <w:spacing w:line="240" w:lineRule="auto"/>
              <w:rPr>
                <w:color w:val="auto"/>
                <w:sz w:val="21"/>
                <w:szCs w:val="21"/>
                <w:highlight w:val="none"/>
              </w:rPr>
            </w:pPr>
            <w:r>
              <w:rPr>
                <w:rFonts w:hint="eastAsia"/>
                <w:color w:val="auto"/>
                <w:sz w:val="21"/>
                <w:szCs w:val="21"/>
                <w:highlight w:val="none"/>
              </w:rPr>
              <w:t>现状监测因子</w:t>
            </w:r>
          </w:p>
        </w:tc>
        <w:tc>
          <w:tcPr>
            <w:tcW w:w="3249" w:type="pct"/>
            <w:gridSpan w:val="5"/>
            <w:noWrap w:val="0"/>
            <w:vAlign w:val="center"/>
          </w:tcPr>
          <w:p w14:paraId="0A495206">
            <w:pPr>
              <w:pStyle w:val="245"/>
              <w:spacing w:line="240" w:lineRule="auto"/>
              <w:rPr>
                <w:color w:val="auto"/>
                <w:sz w:val="21"/>
                <w:szCs w:val="21"/>
                <w:highlight w:val="none"/>
              </w:rPr>
            </w:pPr>
            <w:r>
              <w:rPr>
                <w:rFonts w:hint="eastAsia"/>
                <w:color w:val="auto"/>
                <w:sz w:val="21"/>
                <w:szCs w:val="21"/>
                <w:highlight w:val="none"/>
              </w:rPr>
              <w:t>GB36600-2018基本因子</w:t>
            </w:r>
          </w:p>
        </w:tc>
        <w:tc>
          <w:tcPr>
            <w:tcW w:w="619" w:type="pct"/>
            <w:noWrap w:val="0"/>
            <w:vAlign w:val="center"/>
          </w:tcPr>
          <w:p w14:paraId="45E8FEB4">
            <w:pPr>
              <w:pStyle w:val="245"/>
              <w:spacing w:line="240" w:lineRule="auto"/>
              <w:rPr>
                <w:color w:val="auto"/>
                <w:sz w:val="21"/>
                <w:szCs w:val="21"/>
                <w:highlight w:val="none"/>
              </w:rPr>
            </w:pPr>
          </w:p>
        </w:tc>
      </w:tr>
      <w:tr w14:paraId="5E71F7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29" w:type="pct"/>
            <w:vMerge w:val="restart"/>
            <w:noWrap w:val="0"/>
            <w:vAlign w:val="center"/>
          </w:tcPr>
          <w:p w14:paraId="7185AEEC">
            <w:pPr>
              <w:pStyle w:val="245"/>
              <w:spacing w:line="240" w:lineRule="auto"/>
              <w:rPr>
                <w:color w:val="auto"/>
                <w:sz w:val="21"/>
                <w:szCs w:val="21"/>
                <w:highlight w:val="none"/>
              </w:rPr>
            </w:pPr>
            <w:r>
              <w:rPr>
                <w:rFonts w:hint="eastAsia"/>
                <w:color w:val="auto"/>
                <w:sz w:val="21"/>
                <w:szCs w:val="21"/>
                <w:highlight w:val="none"/>
              </w:rPr>
              <w:t>现状评</w:t>
            </w:r>
          </w:p>
          <w:p w14:paraId="7AFFA9F0">
            <w:pPr>
              <w:pStyle w:val="245"/>
              <w:spacing w:line="240" w:lineRule="auto"/>
              <w:rPr>
                <w:color w:val="auto"/>
                <w:sz w:val="21"/>
                <w:szCs w:val="21"/>
                <w:highlight w:val="none"/>
              </w:rPr>
            </w:pPr>
            <w:r>
              <w:rPr>
                <w:rFonts w:hint="eastAsia"/>
                <w:color w:val="auto"/>
                <w:sz w:val="21"/>
                <w:szCs w:val="21"/>
                <w:highlight w:val="none"/>
              </w:rPr>
              <w:t>价</w:t>
            </w:r>
          </w:p>
        </w:tc>
        <w:tc>
          <w:tcPr>
            <w:tcW w:w="903" w:type="pct"/>
            <w:noWrap w:val="0"/>
            <w:vAlign w:val="center"/>
          </w:tcPr>
          <w:p w14:paraId="60F9EBAA">
            <w:pPr>
              <w:pStyle w:val="245"/>
              <w:spacing w:line="240" w:lineRule="auto"/>
              <w:rPr>
                <w:color w:val="auto"/>
                <w:sz w:val="21"/>
                <w:szCs w:val="21"/>
                <w:highlight w:val="none"/>
              </w:rPr>
            </w:pPr>
            <w:r>
              <w:rPr>
                <w:rFonts w:hint="eastAsia"/>
                <w:color w:val="auto"/>
                <w:sz w:val="21"/>
                <w:szCs w:val="21"/>
                <w:highlight w:val="none"/>
              </w:rPr>
              <w:t>评价因子</w:t>
            </w:r>
          </w:p>
        </w:tc>
        <w:tc>
          <w:tcPr>
            <w:tcW w:w="3249" w:type="pct"/>
            <w:gridSpan w:val="5"/>
            <w:noWrap w:val="0"/>
            <w:vAlign w:val="center"/>
          </w:tcPr>
          <w:p w14:paraId="26F5F9AD">
            <w:pPr>
              <w:pStyle w:val="245"/>
              <w:spacing w:line="240" w:lineRule="auto"/>
              <w:rPr>
                <w:color w:val="auto"/>
                <w:sz w:val="21"/>
                <w:szCs w:val="21"/>
                <w:highlight w:val="none"/>
              </w:rPr>
            </w:pPr>
            <w:r>
              <w:rPr>
                <w:rFonts w:hint="eastAsia"/>
                <w:color w:val="auto"/>
                <w:sz w:val="21"/>
                <w:szCs w:val="21"/>
                <w:highlight w:val="none"/>
              </w:rPr>
              <w:t>GB36600-2018基本因子</w:t>
            </w:r>
          </w:p>
        </w:tc>
        <w:tc>
          <w:tcPr>
            <w:tcW w:w="619" w:type="pct"/>
            <w:noWrap w:val="0"/>
            <w:vAlign w:val="center"/>
          </w:tcPr>
          <w:p w14:paraId="13E701A1">
            <w:pPr>
              <w:pStyle w:val="245"/>
              <w:spacing w:line="240" w:lineRule="auto"/>
              <w:rPr>
                <w:color w:val="auto"/>
                <w:sz w:val="21"/>
                <w:szCs w:val="21"/>
                <w:highlight w:val="none"/>
              </w:rPr>
            </w:pPr>
          </w:p>
        </w:tc>
      </w:tr>
      <w:tr w14:paraId="5D041E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229" w:type="pct"/>
            <w:vMerge w:val="continue"/>
            <w:noWrap w:val="0"/>
            <w:vAlign w:val="center"/>
          </w:tcPr>
          <w:p w14:paraId="67C61F4B">
            <w:pPr>
              <w:pStyle w:val="245"/>
              <w:spacing w:line="240" w:lineRule="auto"/>
              <w:rPr>
                <w:color w:val="auto"/>
                <w:sz w:val="21"/>
                <w:szCs w:val="21"/>
                <w:highlight w:val="none"/>
              </w:rPr>
            </w:pPr>
          </w:p>
        </w:tc>
        <w:tc>
          <w:tcPr>
            <w:tcW w:w="903" w:type="pct"/>
            <w:noWrap w:val="0"/>
            <w:vAlign w:val="center"/>
          </w:tcPr>
          <w:p w14:paraId="408B3664">
            <w:pPr>
              <w:pStyle w:val="245"/>
              <w:spacing w:line="240" w:lineRule="auto"/>
              <w:rPr>
                <w:color w:val="auto"/>
                <w:sz w:val="21"/>
                <w:szCs w:val="21"/>
                <w:highlight w:val="none"/>
              </w:rPr>
            </w:pPr>
            <w:r>
              <w:rPr>
                <w:rFonts w:hint="eastAsia"/>
                <w:color w:val="auto"/>
                <w:sz w:val="21"/>
                <w:szCs w:val="21"/>
                <w:highlight w:val="none"/>
              </w:rPr>
              <w:t>评价标准</w:t>
            </w:r>
          </w:p>
        </w:tc>
        <w:tc>
          <w:tcPr>
            <w:tcW w:w="1" w:type="pct"/>
            <w:gridSpan w:val="5"/>
            <w:noWrap w:val="0"/>
            <w:vAlign w:val="center"/>
          </w:tcPr>
          <w:p w14:paraId="252B526B">
            <w:pPr>
              <w:pStyle w:val="245"/>
              <w:spacing w:line="240" w:lineRule="auto"/>
              <w:rPr>
                <w:color w:val="auto"/>
                <w:sz w:val="21"/>
                <w:szCs w:val="21"/>
                <w:highlight w:val="none"/>
              </w:rPr>
            </w:pPr>
            <w:r>
              <w:rPr>
                <w:color w:val="auto"/>
                <w:sz w:val="21"/>
                <w:szCs w:val="21"/>
                <w:highlight w:val="none"/>
              </w:rPr>
              <w:t>GB 15618</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w:t>
            </w:r>
            <w:r>
              <w:rPr>
                <w:color w:val="auto"/>
                <w:sz w:val="21"/>
                <w:szCs w:val="21"/>
                <w:highlight w:val="none"/>
              </w:rPr>
              <w:t>GB 36600</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；表</w:t>
            </w:r>
            <w:r>
              <w:rPr>
                <w:color w:val="auto"/>
                <w:sz w:val="21"/>
                <w:szCs w:val="21"/>
                <w:highlight w:val="none"/>
              </w:rPr>
              <w:t>D.1</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；表</w:t>
            </w:r>
            <w:r>
              <w:rPr>
                <w:color w:val="auto"/>
                <w:sz w:val="21"/>
                <w:szCs w:val="21"/>
                <w:highlight w:val="none"/>
              </w:rPr>
              <w:t>D.2</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；其他（）</w:t>
            </w:r>
          </w:p>
        </w:tc>
        <w:tc>
          <w:tcPr>
            <w:tcW w:w="619" w:type="pct"/>
            <w:noWrap w:val="0"/>
            <w:vAlign w:val="center"/>
          </w:tcPr>
          <w:p w14:paraId="54DA24C1">
            <w:pPr>
              <w:pStyle w:val="245"/>
              <w:spacing w:line="240" w:lineRule="auto"/>
              <w:rPr>
                <w:color w:val="auto"/>
                <w:sz w:val="21"/>
                <w:szCs w:val="21"/>
                <w:highlight w:val="none"/>
              </w:rPr>
            </w:pPr>
          </w:p>
        </w:tc>
      </w:tr>
      <w:tr w14:paraId="23E2D99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4" w:hRule="atLeast"/>
          <w:jc w:val="center"/>
        </w:trPr>
        <w:tc>
          <w:tcPr>
            <w:tcW w:w="230" w:type="pct"/>
            <w:vMerge w:val="continue"/>
            <w:noWrap w:val="0"/>
            <w:vAlign w:val="center"/>
          </w:tcPr>
          <w:p w14:paraId="74B51837">
            <w:pPr>
              <w:pStyle w:val="245"/>
              <w:spacing w:line="240" w:lineRule="auto"/>
              <w:rPr>
                <w:color w:val="auto"/>
                <w:sz w:val="21"/>
                <w:szCs w:val="21"/>
                <w:highlight w:val="none"/>
              </w:rPr>
            </w:pPr>
          </w:p>
        </w:tc>
        <w:tc>
          <w:tcPr>
            <w:tcW w:w="903" w:type="pct"/>
            <w:noWrap w:val="0"/>
            <w:vAlign w:val="center"/>
          </w:tcPr>
          <w:p w14:paraId="3364832B">
            <w:pPr>
              <w:pStyle w:val="245"/>
              <w:spacing w:line="240" w:lineRule="auto"/>
              <w:rPr>
                <w:color w:val="auto"/>
                <w:sz w:val="21"/>
                <w:szCs w:val="21"/>
                <w:highlight w:val="none"/>
              </w:rPr>
            </w:pPr>
            <w:r>
              <w:rPr>
                <w:rFonts w:hint="eastAsia"/>
                <w:color w:val="auto"/>
                <w:sz w:val="21"/>
                <w:szCs w:val="21"/>
                <w:highlight w:val="none"/>
              </w:rPr>
              <w:t>现状评价结论</w:t>
            </w:r>
          </w:p>
        </w:tc>
        <w:tc>
          <w:tcPr>
            <w:tcW w:w="3249" w:type="pct"/>
            <w:gridSpan w:val="5"/>
            <w:noWrap w:val="0"/>
            <w:vAlign w:val="center"/>
          </w:tcPr>
          <w:p w14:paraId="4A27B3A5">
            <w:pPr>
              <w:pStyle w:val="245"/>
              <w:spacing w:line="240" w:lineRule="auto"/>
              <w:rPr>
                <w:color w:val="auto"/>
                <w:sz w:val="21"/>
                <w:szCs w:val="21"/>
                <w:highlight w:val="none"/>
              </w:rPr>
            </w:pPr>
            <w:r>
              <w:rPr>
                <w:rFonts w:hint="eastAsia"/>
                <w:color w:val="auto"/>
                <w:sz w:val="21"/>
                <w:szCs w:val="21"/>
                <w:highlight w:val="none"/>
              </w:rPr>
              <w:t>满足《土壤环境质量</w:t>
            </w:r>
            <w:r>
              <w:rPr>
                <w:color w:val="auto"/>
                <w:sz w:val="21"/>
                <w:szCs w:val="21"/>
                <w:highlight w:val="none"/>
              </w:rPr>
              <w:t xml:space="preserve"> </w:t>
            </w:r>
            <w:r>
              <w:rPr>
                <w:rFonts w:hint="eastAsia"/>
                <w:color w:val="auto"/>
                <w:sz w:val="21"/>
                <w:szCs w:val="21"/>
                <w:highlight w:val="none"/>
              </w:rPr>
              <w:t>建设用地土壤污染风险管控标准（试行）》（</w:t>
            </w:r>
            <w:r>
              <w:rPr>
                <w:color w:val="auto"/>
                <w:sz w:val="21"/>
                <w:szCs w:val="21"/>
                <w:highlight w:val="none"/>
              </w:rPr>
              <w:t>GB36600-2018</w:t>
            </w:r>
            <w:r>
              <w:rPr>
                <w:rFonts w:hint="eastAsia"/>
                <w:color w:val="auto"/>
                <w:sz w:val="21"/>
                <w:szCs w:val="21"/>
                <w:highlight w:val="none"/>
              </w:rPr>
              <w:t>）第二类用地</w:t>
            </w:r>
            <w:r>
              <w:rPr>
                <w:rFonts w:hint="eastAsia"/>
                <w:color w:val="auto"/>
                <w:sz w:val="21"/>
                <w:szCs w:val="21"/>
                <w:highlight w:val="none"/>
                <w:lang w:val="en-US" w:eastAsia="zh-CN"/>
              </w:rPr>
              <w:t>-</w:t>
            </w:r>
            <w:r>
              <w:rPr>
                <w:rFonts w:hint="eastAsia"/>
                <w:color w:val="auto"/>
                <w:sz w:val="21"/>
                <w:szCs w:val="21"/>
                <w:highlight w:val="none"/>
              </w:rPr>
              <w:t>筛选值</w:t>
            </w:r>
          </w:p>
        </w:tc>
        <w:tc>
          <w:tcPr>
            <w:tcW w:w="618" w:type="pct"/>
            <w:noWrap w:val="0"/>
            <w:vAlign w:val="center"/>
          </w:tcPr>
          <w:p w14:paraId="1C97D85C">
            <w:pPr>
              <w:pStyle w:val="245"/>
              <w:spacing w:line="240" w:lineRule="auto"/>
              <w:rPr>
                <w:color w:val="auto"/>
                <w:sz w:val="21"/>
                <w:szCs w:val="21"/>
                <w:highlight w:val="none"/>
              </w:rPr>
            </w:pPr>
          </w:p>
        </w:tc>
      </w:tr>
      <w:tr w14:paraId="38DADC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230" w:type="pct"/>
            <w:vMerge w:val="restart"/>
            <w:noWrap w:val="0"/>
            <w:vAlign w:val="center"/>
          </w:tcPr>
          <w:p w14:paraId="30C9ECA1">
            <w:pPr>
              <w:pStyle w:val="245"/>
              <w:spacing w:line="240" w:lineRule="auto"/>
              <w:rPr>
                <w:color w:val="auto"/>
                <w:sz w:val="21"/>
                <w:szCs w:val="21"/>
                <w:highlight w:val="none"/>
              </w:rPr>
            </w:pPr>
            <w:r>
              <w:rPr>
                <w:rFonts w:hint="eastAsia"/>
                <w:color w:val="auto"/>
                <w:sz w:val="21"/>
                <w:szCs w:val="21"/>
                <w:highlight w:val="none"/>
              </w:rPr>
              <w:t>影响预测</w:t>
            </w:r>
          </w:p>
        </w:tc>
        <w:tc>
          <w:tcPr>
            <w:tcW w:w="903" w:type="pct"/>
            <w:noWrap w:val="0"/>
            <w:vAlign w:val="center"/>
          </w:tcPr>
          <w:p w14:paraId="10A12FDD">
            <w:pPr>
              <w:pStyle w:val="245"/>
              <w:spacing w:line="240" w:lineRule="auto"/>
              <w:rPr>
                <w:color w:val="auto"/>
                <w:sz w:val="21"/>
                <w:szCs w:val="21"/>
                <w:highlight w:val="none"/>
              </w:rPr>
            </w:pPr>
            <w:r>
              <w:rPr>
                <w:rFonts w:hint="eastAsia"/>
                <w:color w:val="auto"/>
                <w:sz w:val="21"/>
                <w:szCs w:val="21"/>
                <w:highlight w:val="none"/>
              </w:rPr>
              <w:t>预测因子</w:t>
            </w:r>
          </w:p>
        </w:tc>
        <w:tc>
          <w:tcPr>
            <w:tcW w:w="3249" w:type="pct"/>
            <w:gridSpan w:val="5"/>
            <w:noWrap w:val="0"/>
            <w:vAlign w:val="center"/>
          </w:tcPr>
          <w:p w14:paraId="17448625">
            <w:pPr>
              <w:pStyle w:val="245"/>
              <w:spacing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618" w:type="pct"/>
            <w:noWrap w:val="0"/>
            <w:vAlign w:val="center"/>
          </w:tcPr>
          <w:p w14:paraId="082D2054">
            <w:pPr>
              <w:pStyle w:val="245"/>
              <w:spacing w:line="240" w:lineRule="auto"/>
              <w:rPr>
                <w:color w:val="auto"/>
                <w:sz w:val="21"/>
                <w:szCs w:val="21"/>
                <w:highlight w:val="none"/>
              </w:rPr>
            </w:pPr>
          </w:p>
        </w:tc>
      </w:tr>
      <w:tr w14:paraId="46C746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30" w:type="pct"/>
            <w:vMerge w:val="continue"/>
            <w:noWrap w:val="0"/>
            <w:vAlign w:val="center"/>
          </w:tcPr>
          <w:p w14:paraId="45C713BA">
            <w:pPr>
              <w:pStyle w:val="245"/>
              <w:spacing w:line="240" w:lineRule="auto"/>
              <w:rPr>
                <w:color w:val="auto"/>
                <w:sz w:val="21"/>
                <w:szCs w:val="21"/>
                <w:highlight w:val="none"/>
              </w:rPr>
            </w:pPr>
          </w:p>
        </w:tc>
        <w:tc>
          <w:tcPr>
            <w:tcW w:w="903" w:type="pct"/>
            <w:noWrap w:val="0"/>
            <w:vAlign w:val="center"/>
          </w:tcPr>
          <w:p w14:paraId="0D1AEB0C">
            <w:pPr>
              <w:pStyle w:val="245"/>
              <w:spacing w:line="240" w:lineRule="auto"/>
              <w:rPr>
                <w:color w:val="auto"/>
                <w:sz w:val="21"/>
                <w:szCs w:val="21"/>
                <w:highlight w:val="none"/>
              </w:rPr>
            </w:pPr>
            <w:r>
              <w:rPr>
                <w:rFonts w:hint="eastAsia"/>
                <w:color w:val="auto"/>
                <w:sz w:val="21"/>
                <w:szCs w:val="21"/>
                <w:highlight w:val="none"/>
              </w:rPr>
              <w:t>预测方法</w:t>
            </w:r>
          </w:p>
        </w:tc>
        <w:tc>
          <w:tcPr>
            <w:tcW w:w="3249" w:type="pct"/>
            <w:gridSpan w:val="5"/>
            <w:noWrap w:val="0"/>
            <w:vAlign w:val="center"/>
          </w:tcPr>
          <w:p w14:paraId="009056DE">
            <w:pPr>
              <w:pStyle w:val="245"/>
              <w:spacing w:line="240" w:lineRule="auto"/>
              <w:rPr>
                <w:color w:val="auto"/>
                <w:sz w:val="21"/>
                <w:szCs w:val="21"/>
                <w:highlight w:val="none"/>
              </w:rPr>
            </w:pPr>
            <w:r>
              <w:rPr>
                <w:rFonts w:hint="eastAsia"/>
                <w:color w:val="auto"/>
                <w:sz w:val="21"/>
                <w:szCs w:val="21"/>
                <w:highlight w:val="none"/>
              </w:rPr>
              <w:t>附录</w:t>
            </w:r>
            <w:r>
              <w:rPr>
                <w:color w:val="auto"/>
                <w:spacing w:val="-46"/>
                <w:sz w:val="21"/>
                <w:szCs w:val="21"/>
                <w:highlight w:val="none"/>
              </w:rPr>
              <w:t xml:space="preserve"> </w:t>
            </w:r>
            <w:r>
              <w:rPr>
                <w:color w:val="auto"/>
                <w:sz w:val="21"/>
                <w:szCs w:val="21"/>
                <w:highlight w:val="none"/>
              </w:rPr>
              <w:t>E</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；附录</w:t>
            </w:r>
            <w:r>
              <w:rPr>
                <w:color w:val="auto"/>
                <w:spacing w:val="-45"/>
                <w:sz w:val="21"/>
                <w:szCs w:val="21"/>
                <w:highlight w:val="none"/>
              </w:rPr>
              <w:t xml:space="preserve"> </w:t>
            </w:r>
            <w:r>
              <w:rPr>
                <w:color w:val="auto"/>
                <w:sz w:val="21"/>
                <w:szCs w:val="21"/>
                <w:highlight w:val="none"/>
              </w:rPr>
              <w:t>F</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；其他</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rFonts w:hint="eastAsia"/>
                <w:color w:val="auto"/>
                <w:position w:val="0"/>
                <w:sz w:val="21"/>
                <w:szCs w:val="21"/>
                <w:highlight w:val="none"/>
                <w:lang w:eastAsia="zh-CN"/>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w:t>
            </w:r>
            <w:r>
              <w:rPr>
                <w:rFonts w:hint="eastAsia"/>
                <w:color w:val="auto"/>
                <w:sz w:val="21"/>
                <w:szCs w:val="21"/>
                <w:highlight w:val="none"/>
                <w:lang w:val="en-US" w:eastAsia="zh-CN"/>
              </w:rPr>
              <w:t>定性描述</w:t>
            </w:r>
            <w:r>
              <w:rPr>
                <w:rFonts w:hint="eastAsia"/>
                <w:color w:val="auto"/>
                <w:sz w:val="21"/>
                <w:szCs w:val="21"/>
                <w:highlight w:val="none"/>
              </w:rPr>
              <w:t>）</w:t>
            </w:r>
          </w:p>
        </w:tc>
        <w:tc>
          <w:tcPr>
            <w:tcW w:w="618" w:type="pct"/>
            <w:noWrap w:val="0"/>
            <w:vAlign w:val="center"/>
          </w:tcPr>
          <w:p w14:paraId="349EDE6A">
            <w:pPr>
              <w:pStyle w:val="245"/>
              <w:spacing w:line="240" w:lineRule="auto"/>
              <w:rPr>
                <w:color w:val="auto"/>
                <w:sz w:val="21"/>
                <w:szCs w:val="21"/>
                <w:highlight w:val="none"/>
              </w:rPr>
            </w:pPr>
          </w:p>
        </w:tc>
      </w:tr>
      <w:tr w14:paraId="41FE86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230" w:type="pct"/>
            <w:vMerge w:val="continue"/>
            <w:noWrap w:val="0"/>
            <w:vAlign w:val="center"/>
          </w:tcPr>
          <w:p w14:paraId="529C49AF">
            <w:pPr>
              <w:pStyle w:val="245"/>
              <w:spacing w:line="240" w:lineRule="auto"/>
              <w:rPr>
                <w:color w:val="auto"/>
                <w:sz w:val="21"/>
                <w:szCs w:val="21"/>
                <w:highlight w:val="none"/>
              </w:rPr>
            </w:pPr>
          </w:p>
        </w:tc>
        <w:tc>
          <w:tcPr>
            <w:tcW w:w="903" w:type="pct"/>
            <w:noWrap w:val="0"/>
            <w:vAlign w:val="center"/>
          </w:tcPr>
          <w:p w14:paraId="79FBBE83">
            <w:pPr>
              <w:pStyle w:val="245"/>
              <w:spacing w:line="240" w:lineRule="auto"/>
              <w:rPr>
                <w:color w:val="auto"/>
                <w:sz w:val="21"/>
                <w:szCs w:val="21"/>
                <w:highlight w:val="none"/>
              </w:rPr>
            </w:pPr>
            <w:r>
              <w:rPr>
                <w:rFonts w:hint="eastAsia"/>
                <w:color w:val="auto"/>
                <w:sz w:val="21"/>
                <w:szCs w:val="21"/>
                <w:highlight w:val="none"/>
              </w:rPr>
              <w:t>预测分析内容</w:t>
            </w:r>
          </w:p>
        </w:tc>
        <w:tc>
          <w:tcPr>
            <w:tcW w:w="3249" w:type="pct"/>
            <w:gridSpan w:val="5"/>
            <w:noWrap w:val="0"/>
            <w:vAlign w:val="center"/>
          </w:tcPr>
          <w:p w14:paraId="3186FAD3">
            <w:pPr>
              <w:pStyle w:val="328"/>
              <w:kinsoku w:val="0"/>
              <w:overflowPunct w:val="0"/>
              <w:autoSpaceDN w:val="0"/>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影响范围（</w:t>
            </w:r>
            <w:r>
              <w:rPr>
                <w:rFonts w:hint="eastAsia" w:ascii="Times New Roman" w:hAnsi="Times New Roman" w:cs="Times New Roman"/>
                <w:color w:val="auto"/>
                <w:sz w:val="21"/>
                <w:szCs w:val="21"/>
                <w:highlight w:val="none"/>
                <w:lang w:val="en-US" w:eastAsia="zh-CN"/>
              </w:rPr>
              <w:t>厂区范围+</w:t>
            </w:r>
            <w:r>
              <w:rPr>
                <w:rFonts w:ascii="Times New Roman" w:hAnsi="Times New Roman" w:cs="Times New Roman"/>
                <w:color w:val="auto"/>
                <w:sz w:val="21"/>
                <w:szCs w:val="21"/>
                <w:highlight w:val="none"/>
              </w:rPr>
              <w:t>自厂界外延0.05km）</w:t>
            </w:r>
          </w:p>
          <w:p w14:paraId="0915C763">
            <w:pPr>
              <w:pStyle w:val="245"/>
              <w:spacing w:line="240" w:lineRule="auto"/>
              <w:rPr>
                <w:color w:val="auto"/>
                <w:sz w:val="21"/>
                <w:szCs w:val="21"/>
                <w:highlight w:val="none"/>
              </w:rPr>
            </w:pPr>
            <w:r>
              <w:rPr>
                <w:rFonts w:ascii="Times New Roman" w:hAnsi="Times New Roman" w:cs="Times New Roman"/>
                <w:color w:val="auto"/>
                <w:sz w:val="21"/>
                <w:szCs w:val="21"/>
                <w:highlight w:val="none"/>
              </w:rPr>
              <w:t>影响程度（无影响）</w:t>
            </w:r>
          </w:p>
        </w:tc>
        <w:tc>
          <w:tcPr>
            <w:tcW w:w="618" w:type="pct"/>
            <w:noWrap w:val="0"/>
            <w:vAlign w:val="center"/>
          </w:tcPr>
          <w:p w14:paraId="1AEDBC9D">
            <w:pPr>
              <w:pStyle w:val="245"/>
              <w:spacing w:line="240" w:lineRule="auto"/>
              <w:rPr>
                <w:color w:val="auto"/>
                <w:sz w:val="21"/>
                <w:szCs w:val="21"/>
                <w:highlight w:val="none"/>
              </w:rPr>
            </w:pPr>
          </w:p>
        </w:tc>
      </w:tr>
      <w:tr w14:paraId="2ACED7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230" w:type="pct"/>
            <w:vMerge w:val="continue"/>
            <w:noWrap w:val="0"/>
            <w:vAlign w:val="center"/>
          </w:tcPr>
          <w:p w14:paraId="3FC0EE6B">
            <w:pPr>
              <w:pStyle w:val="245"/>
              <w:spacing w:line="240" w:lineRule="auto"/>
              <w:rPr>
                <w:color w:val="auto"/>
                <w:sz w:val="21"/>
                <w:szCs w:val="21"/>
                <w:highlight w:val="none"/>
              </w:rPr>
            </w:pPr>
          </w:p>
        </w:tc>
        <w:tc>
          <w:tcPr>
            <w:tcW w:w="903" w:type="pct"/>
            <w:noWrap w:val="0"/>
            <w:vAlign w:val="center"/>
          </w:tcPr>
          <w:p w14:paraId="7B14FF4A">
            <w:pPr>
              <w:pStyle w:val="245"/>
              <w:spacing w:line="240" w:lineRule="auto"/>
              <w:rPr>
                <w:color w:val="auto"/>
                <w:sz w:val="21"/>
                <w:szCs w:val="21"/>
                <w:highlight w:val="none"/>
              </w:rPr>
            </w:pPr>
            <w:r>
              <w:rPr>
                <w:rFonts w:hint="eastAsia"/>
                <w:color w:val="auto"/>
                <w:sz w:val="21"/>
                <w:szCs w:val="21"/>
                <w:highlight w:val="none"/>
              </w:rPr>
              <w:t>预测结论</w:t>
            </w:r>
          </w:p>
        </w:tc>
        <w:tc>
          <w:tcPr>
            <w:tcW w:w="3249" w:type="pct"/>
            <w:gridSpan w:val="5"/>
            <w:noWrap w:val="0"/>
            <w:vAlign w:val="center"/>
          </w:tcPr>
          <w:p w14:paraId="1A765874">
            <w:pPr>
              <w:pStyle w:val="245"/>
              <w:spacing w:line="240" w:lineRule="auto"/>
              <w:rPr>
                <w:rFonts w:hint="eastAsia" w:eastAsia="宋体"/>
                <w:color w:val="auto"/>
                <w:sz w:val="21"/>
                <w:szCs w:val="21"/>
                <w:highlight w:val="none"/>
                <w:lang w:eastAsia="zh-CN"/>
              </w:rPr>
            </w:pPr>
            <w:r>
              <w:rPr>
                <w:rFonts w:hint="eastAsia"/>
                <w:color w:val="auto"/>
                <w:sz w:val="21"/>
                <w:szCs w:val="21"/>
                <w:highlight w:val="none"/>
              </w:rPr>
              <w:t>达标结论：</w:t>
            </w:r>
            <w:r>
              <w:rPr>
                <w:color w:val="auto"/>
                <w:sz w:val="21"/>
                <w:szCs w:val="21"/>
                <w:highlight w:val="none"/>
              </w:rPr>
              <w:t>a</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w:t>
            </w:r>
            <w:r>
              <w:rPr>
                <w:color w:val="auto"/>
                <w:sz w:val="21"/>
                <w:szCs w:val="21"/>
                <w:highlight w:val="none"/>
              </w:rPr>
              <w:t>b</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w:t>
            </w:r>
            <w:r>
              <w:rPr>
                <w:color w:val="auto"/>
                <w:sz w:val="21"/>
                <w:szCs w:val="21"/>
                <w:highlight w:val="none"/>
              </w:rPr>
              <w:t>c</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p>
          <w:p w14:paraId="6BDDF9DB">
            <w:pPr>
              <w:pStyle w:val="245"/>
              <w:spacing w:line="240" w:lineRule="auto"/>
              <w:rPr>
                <w:color w:val="auto"/>
                <w:sz w:val="21"/>
                <w:szCs w:val="21"/>
                <w:highlight w:val="none"/>
              </w:rPr>
            </w:pPr>
            <w:r>
              <w:rPr>
                <w:rFonts w:hint="eastAsia"/>
                <w:color w:val="auto"/>
                <w:sz w:val="21"/>
                <w:szCs w:val="21"/>
                <w:highlight w:val="none"/>
              </w:rPr>
              <w:t>不达标结论：</w:t>
            </w:r>
            <w:r>
              <w:rPr>
                <w:color w:val="auto"/>
                <w:sz w:val="21"/>
                <w:szCs w:val="21"/>
                <w:highlight w:val="none"/>
              </w:rPr>
              <w:t>a</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w:t>
            </w:r>
            <w:r>
              <w:rPr>
                <w:color w:val="auto"/>
                <w:sz w:val="21"/>
                <w:szCs w:val="21"/>
                <w:highlight w:val="none"/>
              </w:rPr>
              <w:t>b</w:t>
            </w:r>
            <w:r>
              <w:rPr>
                <w:rFonts w:hint="eastAsia"/>
                <w:color w:val="auto"/>
                <w:sz w:val="21"/>
                <w:szCs w:val="21"/>
                <w:highlight w:val="none"/>
              </w:rPr>
              <w:t>）</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p>
        </w:tc>
        <w:tc>
          <w:tcPr>
            <w:tcW w:w="618" w:type="pct"/>
            <w:noWrap w:val="0"/>
            <w:vAlign w:val="center"/>
          </w:tcPr>
          <w:p w14:paraId="7E7B84C4">
            <w:pPr>
              <w:pStyle w:val="245"/>
              <w:spacing w:line="240" w:lineRule="auto"/>
              <w:rPr>
                <w:color w:val="auto"/>
                <w:sz w:val="21"/>
                <w:szCs w:val="21"/>
                <w:highlight w:val="none"/>
              </w:rPr>
            </w:pPr>
          </w:p>
        </w:tc>
      </w:tr>
      <w:tr w14:paraId="45A863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30" w:type="pct"/>
            <w:vMerge w:val="restart"/>
            <w:noWrap w:val="0"/>
            <w:vAlign w:val="center"/>
          </w:tcPr>
          <w:p w14:paraId="28F40DD8">
            <w:pPr>
              <w:pStyle w:val="245"/>
              <w:spacing w:line="240" w:lineRule="auto"/>
              <w:rPr>
                <w:color w:val="auto"/>
                <w:sz w:val="21"/>
                <w:szCs w:val="21"/>
                <w:highlight w:val="none"/>
              </w:rPr>
            </w:pPr>
            <w:r>
              <w:rPr>
                <w:rFonts w:hint="eastAsia"/>
                <w:color w:val="auto"/>
                <w:sz w:val="21"/>
                <w:szCs w:val="21"/>
                <w:highlight w:val="none"/>
              </w:rPr>
              <w:t>防治措</w:t>
            </w:r>
          </w:p>
          <w:p w14:paraId="6EC2AF64">
            <w:pPr>
              <w:pStyle w:val="245"/>
              <w:spacing w:line="240" w:lineRule="auto"/>
              <w:rPr>
                <w:color w:val="auto"/>
                <w:sz w:val="21"/>
                <w:szCs w:val="21"/>
                <w:highlight w:val="none"/>
              </w:rPr>
            </w:pPr>
            <w:r>
              <w:rPr>
                <w:rFonts w:hint="eastAsia"/>
                <w:color w:val="auto"/>
                <w:sz w:val="21"/>
                <w:szCs w:val="21"/>
                <w:highlight w:val="none"/>
              </w:rPr>
              <w:t>施</w:t>
            </w:r>
          </w:p>
        </w:tc>
        <w:tc>
          <w:tcPr>
            <w:tcW w:w="903" w:type="pct"/>
            <w:noWrap w:val="0"/>
            <w:vAlign w:val="center"/>
          </w:tcPr>
          <w:p w14:paraId="602B54F8">
            <w:pPr>
              <w:pStyle w:val="245"/>
              <w:spacing w:line="240" w:lineRule="auto"/>
              <w:rPr>
                <w:color w:val="auto"/>
                <w:sz w:val="21"/>
                <w:szCs w:val="21"/>
                <w:highlight w:val="none"/>
              </w:rPr>
            </w:pPr>
            <w:r>
              <w:rPr>
                <w:rFonts w:hint="eastAsia"/>
                <w:color w:val="auto"/>
                <w:sz w:val="21"/>
                <w:szCs w:val="21"/>
                <w:highlight w:val="none"/>
              </w:rPr>
              <w:t>防控措施</w:t>
            </w:r>
          </w:p>
        </w:tc>
        <w:tc>
          <w:tcPr>
            <w:tcW w:w="1" w:type="pct"/>
            <w:gridSpan w:val="5"/>
            <w:noWrap w:val="0"/>
            <w:vAlign w:val="center"/>
          </w:tcPr>
          <w:p w14:paraId="1AC85758">
            <w:pPr>
              <w:pStyle w:val="245"/>
              <w:spacing w:line="240" w:lineRule="auto"/>
              <w:rPr>
                <w:color w:val="auto"/>
                <w:sz w:val="21"/>
                <w:szCs w:val="21"/>
                <w:highlight w:val="none"/>
              </w:rPr>
            </w:pPr>
            <w:r>
              <w:rPr>
                <w:rFonts w:hint="eastAsia"/>
                <w:color w:val="auto"/>
                <w:sz w:val="21"/>
                <w:szCs w:val="21"/>
                <w:highlight w:val="none"/>
              </w:rPr>
              <w:t>土壤环境质量现状保障</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；源头控制</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；过程防控</w:t>
            </w:r>
            <w:r>
              <w:rPr>
                <w:color w:val="auto"/>
                <w:sz w:val="21"/>
                <w:szCs w:val="21"/>
                <w:highlight w:val="none"/>
              </w:rPr>
              <w:fldChar w:fldCharType="begin"/>
            </w:r>
            <w:r>
              <w:rPr>
                <w:color w:val="auto"/>
                <w:sz w:val="21"/>
                <w:szCs w:val="21"/>
                <w:highlight w:val="none"/>
              </w:rPr>
              <w:instrText xml:space="preserve"> eq \o\ac(</w:instrText>
            </w:r>
            <w:r>
              <w:rPr>
                <w:color w:val="auto"/>
                <w:position w:val="-4"/>
                <w:sz w:val="31"/>
                <w:szCs w:val="21"/>
                <w:highlight w:val="none"/>
              </w:rPr>
              <w:instrText xml:space="preserve">□</w:instrText>
            </w:r>
            <w:r>
              <w:rPr>
                <w:color w:val="auto"/>
                <w:position w:val="0"/>
                <w:sz w:val="21"/>
                <w:szCs w:val="21"/>
                <w:highlight w:val="none"/>
              </w:rPr>
              <w:instrText xml:space="preserve">,√)</w:instrText>
            </w:r>
            <w:r>
              <w:rPr>
                <w:color w:val="auto"/>
                <w:sz w:val="21"/>
                <w:szCs w:val="21"/>
                <w:highlight w:val="none"/>
              </w:rPr>
              <w:fldChar w:fldCharType="end"/>
            </w:r>
            <w:r>
              <w:rPr>
                <w:rFonts w:hint="eastAsia"/>
                <w:color w:val="auto"/>
                <w:sz w:val="21"/>
                <w:szCs w:val="21"/>
                <w:highlight w:val="none"/>
              </w:rPr>
              <w:t>；其他</w:t>
            </w:r>
          </w:p>
        </w:tc>
        <w:tc>
          <w:tcPr>
            <w:tcW w:w="618" w:type="pct"/>
            <w:noWrap w:val="0"/>
            <w:vAlign w:val="center"/>
          </w:tcPr>
          <w:p w14:paraId="19721BD0">
            <w:pPr>
              <w:pStyle w:val="245"/>
              <w:spacing w:line="240" w:lineRule="auto"/>
              <w:rPr>
                <w:color w:val="auto"/>
                <w:sz w:val="21"/>
                <w:szCs w:val="21"/>
                <w:highlight w:val="none"/>
              </w:rPr>
            </w:pPr>
          </w:p>
        </w:tc>
      </w:tr>
      <w:tr w14:paraId="451643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30" w:type="pct"/>
            <w:vMerge w:val="continue"/>
            <w:noWrap w:val="0"/>
            <w:vAlign w:val="center"/>
          </w:tcPr>
          <w:p w14:paraId="4E77F72C">
            <w:pPr>
              <w:pStyle w:val="245"/>
              <w:spacing w:line="240" w:lineRule="auto"/>
              <w:rPr>
                <w:color w:val="auto"/>
                <w:sz w:val="21"/>
                <w:szCs w:val="21"/>
                <w:highlight w:val="none"/>
              </w:rPr>
            </w:pPr>
          </w:p>
        </w:tc>
        <w:tc>
          <w:tcPr>
            <w:tcW w:w="903" w:type="pct"/>
            <w:vMerge w:val="restart"/>
            <w:noWrap w:val="0"/>
            <w:vAlign w:val="center"/>
          </w:tcPr>
          <w:p w14:paraId="5BB191BD">
            <w:pPr>
              <w:pStyle w:val="245"/>
              <w:spacing w:line="240" w:lineRule="auto"/>
              <w:rPr>
                <w:color w:val="auto"/>
                <w:sz w:val="21"/>
                <w:szCs w:val="21"/>
                <w:highlight w:val="none"/>
              </w:rPr>
            </w:pPr>
            <w:r>
              <w:rPr>
                <w:rFonts w:hint="eastAsia"/>
                <w:color w:val="auto"/>
                <w:sz w:val="21"/>
                <w:szCs w:val="21"/>
                <w:highlight w:val="none"/>
              </w:rPr>
              <w:t>跟踪监测</w:t>
            </w:r>
          </w:p>
        </w:tc>
        <w:tc>
          <w:tcPr>
            <w:tcW w:w="1589" w:type="pct"/>
            <w:gridSpan w:val="2"/>
            <w:noWrap w:val="0"/>
            <w:vAlign w:val="center"/>
          </w:tcPr>
          <w:p w14:paraId="0E5D9F9F">
            <w:pPr>
              <w:pStyle w:val="245"/>
              <w:spacing w:line="240" w:lineRule="auto"/>
              <w:rPr>
                <w:color w:val="auto"/>
                <w:sz w:val="21"/>
                <w:szCs w:val="21"/>
                <w:highlight w:val="none"/>
              </w:rPr>
            </w:pPr>
            <w:r>
              <w:rPr>
                <w:rFonts w:hint="eastAsia"/>
                <w:color w:val="auto"/>
                <w:sz w:val="21"/>
                <w:szCs w:val="21"/>
                <w:highlight w:val="none"/>
              </w:rPr>
              <w:t>监测点数</w:t>
            </w:r>
          </w:p>
        </w:tc>
        <w:tc>
          <w:tcPr>
            <w:tcW w:w="875" w:type="pct"/>
            <w:noWrap w:val="0"/>
            <w:vAlign w:val="center"/>
          </w:tcPr>
          <w:p w14:paraId="2C32A40B">
            <w:pPr>
              <w:pStyle w:val="245"/>
              <w:spacing w:line="240" w:lineRule="auto"/>
              <w:rPr>
                <w:color w:val="auto"/>
                <w:sz w:val="21"/>
                <w:szCs w:val="21"/>
                <w:highlight w:val="none"/>
              </w:rPr>
            </w:pPr>
            <w:r>
              <w:rPr>
                <w:rFonts w:hint="eastAsia"/>
                <w:color w:val="auto"/>
                <w:sz w:val="21"/>
                <w:szCs w:val="21"/>
                <w:highlight w:val="none"/>
              </w:rPr>
              <w:t>监测指标</w:t>
            </w:r>
          </w:p>
        </w:tc>
        <w:tc>
          <w:tcPr>
            <w:tcW w:w="785" w:type="pct"/>
            <w:gridSpan w:val="2"/>
            <w:noWrap w:val="0"/>
            <w:vAlign w:val="center"/>
          </w:tcPr>
          <w:p w14:paraId="68C182FE">
            <w:pPr>
              <w:pStyle w:val="245"/>
              <w:spacing w:line="240" w:lineRule="auto"/>
              <w:rPr>
                <w:color w:val="auto"/>
                <w:sz w:val="21"/>
                <w:szCs w:val="21"/>
                <w:highlight w:val="none"/>
              </w:rPr>
            </w:pPr>
            <w:r>
              <w:rPr>
                <w:rFonts w:hint="eastAsia"/>
                <w:color w:val="auto"/>
                <w:sz w:val="21"/>
                <w:szCs w:val="21"/>
                <w:highlight w:val="none"/>
              </w:rPr>
              <w:t>监测频次</w:t>
            </w:r>
          </w:p>
        </w:tc>
        <w:tc>
          <w:tcPr>
            <w:tcW w:w="618" w:type="pct"/>
            <w:vMerge w:val="restart"/>
            <w:noWrap w:val="0"/>
            <w:vAlign w:val="center"/>
          </w:tcPr>
          <w:p w14:paraId="23880052">
            <w:pPr>
              <w:pStyle w:val="245"/>
              <w:spacing w:line="240" w:lineRule="auto"/>
              <w:rPr>
                <w:color w:val="auto"/>
                <w:sz w:val="21"/>
                <w:szCs w:val="21"/>
                <w:highlight w:val="none"/>
              </w:rPr>
            </w:pPr>
          </w:p>
        </w:tc>
      </w:tr>
      <w:tr w14:paraId="7415A6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9" w:hRule="atLeast"/>
          <w:jc w:val="center"/>
        </w:trPr>
        <w:tc>
          <w:tcPr>
            <w:tcW w:w="230" w:type="pct"/>
            <w:vMerge w:val="continue"/>
            <w:noWrap w:val="0"/>
            <w:vAlign w:val="center"/>
          </w:tcPr>
          <w:p w14:paraId="6165F388">
            <w:pPr>
              <w:pStyle w:val="245"/>
              <w:spacing w:line="240" w:lineRule="auto"/>
              <w:rPr>
                <w:color w:val="auto"/>
                <w:sz w:val="21"/>
                <w:szCs w:val="21"/>
                <w:highlight w:val="none"/>
              </w:rPr>
            </w:pPr>
          </w:p>
        </w:tc>
        <w:tc>
          <w:tcPr>
            <w:tcW w:w="903" w:type="pct"/>
            <w:vMerge w:val="continue"/>
            <w:noWrap w:val="0"/>
            <w:vAlign w:val="center"/>
          </w:tcPr>
          <w:p w14:paraId="3E97AA34">
            <w:pPr>
              <w:pStyle w:val="245"/>
              <w:spacing w:line="240" w:lineRule="auto"/>
              <w:rPr>
                <w:color w:val="auto"/>
                <w:sz w:val="21"/>
                <w:szCs w:val="21"/>
                <w:highlight w:val="none"/>
              </w:rPr>
            </w:pPr>
          </w:p>
        </w:tc>
        <w:tc>
          <w:tcPr>
            <w:tcW w:w="1589" w:type="pct"/>
            <w:gridSpan w:val="2"/>
            <w:noWrap w:val="0"/>
            <w:vAlign w:val="center"/>
          </w:tcPr>
          <w:p w14:paraId="204B953D">
            <w:pPr>
              <w:pStyle w:val="245"/>
              <w:spacing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1</w:t>
            </w:r>
          </w:p>
        </w:tc>
        <w:tc>
          <w:tcPr>
            <w:tcW w:w="875" w:type="pct"/>
            <w:noWrap w:val="0"/>
            <w:vAlign w:val="center"/>
          </w:tcPr>
          <w:p w14:paraId="47E3AAFA">
            <w:pPr>
              <w:pStyle w:val="245"/>
              <w:spacing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氟化物</w:t>
            </w:r>
          </w:p>
        </w:tc>
        <w:tc>
          <w:tcPr>
            <w:tcW w:w="785" w:type="pct"/>
            <w:gridSpan w:val="2"/>
            <w:noWrap w:val="0"/>
            <w:vAlign w:val="center"/>
          </w:tcPr>
          <w:p w14:paraId="123B184E">
            <w:pPr>
              <w:pStyle w:val="245"/>
              <w:spacing w:line="240" w:lineRule="auto"/>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1次/5年</w:t>
            </w:r>
          </w:p>
        </w:tc>
        <w:tc>
          <w:tcPr>
            <w:tcW w:w="618" w:type="pct"/>
            <w:vMerge w:val="continue"/>
            <w:noWrap w:val="0"/>
            <w:vAlign w:val="center"/>
          </w:tcPr>
          <w:p w14:paraId="1C7E6D83">
            <w:pPr>
              <w:pStyle w:val="245"/>
              <w:spacing w:line="240" w:lineRule="auto"/>
              <w:rPr>
                <w:color w:val="auto"/>
                <w:sz w:val="21"/>
                <w:szCs w:val="21"/>
                <w:highlight w:val="none"/>
              </w:rPr>
            </w:pPr>
          </w:p>
        </w:tc>
      </w:tr>
      <w:tr w14:paraId="7A8FAF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230" w:type="pct"/>
            <w:vMerge w:val="continue"/>
            <w:noWrap w:val="0"/>
            <w:vAlign w:val="center"/>
          </w:tcPr>
          <w:p w14:paraId="40629CC9">
            <w:pPr>
              <w:pStyle w:val="245"/>
              <w:spacing w:line="240" w:lineRule="auto"/>
              <w:rPr>
                <w:color w:val="auto"/>
                <w:sz w:val="21"/>
                <w:szCs w:val="21"/>
                <w:highlight w:val="none"/>
              </w:rPr>
            </w:pPr>
          </w:p>
        </w:tc>
        <w:tc>
          <w:tcPr>
            <w:tcW w:w="903" w:type="pct"/>
            <w:noWrap w:val="0"/>
            <w:vAlign w:val="center"/>
          </w:tcPr>
          <w:p w14:paraId="7BFECC1D">
            <w:pPr>
              <w:pStyle w:val="245"/>
              <w:spacing w:line="240" w:lineRule="auto"/>
              <w:rPr>
                <w:color w:val="auto"/>
                <w:sz w:val="21"/>
                <w:szCs w:val="21"/>
                <w:highlight w:val="none"/>
              </w:rPr>
            </w:pPr>
            <w:r>
              <w:rPr>
                <w:rFonts w:hint="eastAsia"/>
                <w:color w:val="auto"/>
                <w:sz w:val="21"/>
                <w:szCs w:val="21"/>
                <w:highlight w:val="none"/>
              </w:rPr>
              <w:t>信息公开指标</w:t>
            </w:r>
          </w:p>
        </w:tc>
        <w:tc>
          <w:tcPr>
            <w:tcW w:w="3249" w:type="pct"/>
            <w:gridSpan w:val="5"/>
            <w:noWrap w:val="0"/>
            <w:vAlign w:val="center"/>
          </w:tcPr>
          <w:p w14:paraId="53B7E907">
            <w:pPr>
              <w:pStyle w:val="245"/>
              <w:spacing w:line="240" w:lineRule="auto"/>
              <w:rPr>
                <w:color w:val="auto"/>
                <w:sz w:val="21"/>
                <w:szCs w:val="21"/>
                <w:highlight w:val="none"/>
              </w:rPr>
            </w:pPr>
            <w:r>
              <w:rPr>
                <w:rFonts w:hint="eastAsia"/>
                <w:color w:val="auto"/>
                <w:sz w:val="21"/>
                <w:szCs w:val="21"/>
                <w:highlight w:val="none"/>
              </w:rPr>
              <w:t>项目土壤监测计划</w:t>
            </w:r>
          </w:p>
        </w:tc>
        <w:tc>
          <w:tcPr>
            <w:tcW w:w="618" w:type="pct"/>
            <w:vMerge w:val="continue"/>
            <w:noWrap w:val="0"/>
            <w:vAlign w:val="center"/>
          </w:tcPr>
          <w:p w14:paraId="6581AC6B">
            <w:pPr>
              <w:pStyle w:val="245"/>
              <w:spacing w:line="240" w:lineRule="auto"/>
              <w:rPr>
                <w:color w:val="auto"/>
                <w:sz w:val="21"/>
                <w:szCs w:val="21"/>
                <w:highlight w:val="none"/>
              </w:rPr>
            </w:pPr>
          </w:p>
        </w:tc>
      </w:tr>
      <w:tr w14:paraId="51D023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1133" w:type="pct"/>
            <w:gridSpan w:val="2"/>
            <w:noWrap w:val="0"/>
            <w:vAlign w:val="center"/>
          </w:tcPr>
          <w:p w14:paraId="2E6FDCC8">
            <w:pPr>
              <w:pStyle w:val="245"/>
              <w:spacing w:line="240" w:lineRule="auto"/>
              <w:rPr>
                <w:color w:val="auto"/>
                <w:sz w:val="21"/>
                <w:szCs w:val="21"/>
                <w:highlight w:val="none"/>
              </w:rPr>
            </w:pPr>
            <w:r>
              <w:rPr>
                <w:rFonts w:hint="eastAsia"/>
                <w:color w:val="auto"/>
                <w:sz w:val="21"/>
                <w:szCs w:val="21"/>
                <w:highlight w:val="none"/>
              </w:rPr>
              <w:t>评价结论</w:t>
            </w:r>
          </w:p>
        </w:tc>
        <w:tc>
          <w:tcPr>
            <w:tcW w:w="3249" w:type="pct"/>
            <w:gridSpan w:val="5"/>
            <w:noWrap w:val="0"/>
            <w:vAlign w:val="center"/>
          </w:tcPr>
          <w:p w14:paraId="5ABD37B9">
            <w:pPr>
              <w:pStyle w:val="245"/>
              <w:spacing w:line="240" w:lineRule="auto"/>
              <w:rPr>
                <w:color w:val="auto"/>
                <w:sz w:val="21"/>
                <w:szCs w:val="21"/>
                <w:highlight w:val="none"/>
              </w:rPr>
            </w:pPr>
            <w:r>
              <w:rPr>
                <w:rFonts w:hint="eastAsia"/>
                <w:color w:val="auto"/>
                <w:sz w:val="21"/>
                <w:szCs w:val="21"/>
                <w:highlight w:val="none"/>
              </w:rPr>
              <w:t>项目建设各不同阶段对土壤影响是可接受的</w:t>
            </w:r>
          </w:p>
        </w:tc>
        <w:tc>
          <w:tcPr>
            <w:tcW w:w="618" w:type="pct"/>
            <w:noWrap w:val="0"/>
            <w:vAlign w:val="center"/>
          </w:tcPr>
          <w:p w14:paraId="1EE15334">
            <w:pPr>
              <w:pStyle w:val="245"/>
              <w:spacing w:line="240" w:lineRule="auto"/>
              <w:rPr>
                <w:color w:val="auto"/>
                <w:sz w:val="21"/>
                <w:szCs w:val="21"/>
                <w:highlight w:val="none"/>
              </w:rPr>
            </w:pPr>
          </w:p>
        </w:tc>
      </w:tr>
      <w:tr w14:paraId="0E303B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5000" w:type="pct"/>
            <w:gridSpan w:val="8"/>
            <w:noWrap w:val="0"/>
            <w:vAlign w:val="center"/>
          </w:tcPr>
          <w:p w14:paraId="46329DD9">
            <w:pPr>
              <w:pStyle w:val="245"/>
              <w:spacing w:line="240" w:lineRule="auto"/>
              <w:jc w:val="both"/>
              <w:rPr>
                <w:color w:val="auto"/>
                <w:sz w:val="21"/>
                <w:szCs w:val="21"/>
                <w:highlight w:val="none"/>
              </w:rPr>
            </w:pPr>
            <w:r>
              <w:rPr>
                <w:rFonts w:hint="eastAsia"/>
                <w:color w:val="auto"/>
                <w:sz w:val="21"/>
                <w:szCs w:val="21"/>
                <w:highlight w:val="none"/>
              </w:rPr>
              <w:t>注</w:t>
            </w:r>
            <w:r>
              <w:rPr>
                <w:color w:val="auto"/>
                <w:sz w:val="21"/>
                <w:szCs w:val="21"/>
                <w:highlight w:val="none"/>
              </w:rPr>
              <w:t xml:space="preserve"> 1</w:t>
            </w:r>
            <w:r>
              <w:rPr>
                <w:rFonts w:hint="eastAsia"/>
                <w:color w:val="auto"/>
                <w:sz w:val="21"/>
                <w:szCs w:val="21"/>
                <w:highlight w:val="none"/>
              </w:rPr>
              <w:t>：</w:t>
            </w:r>
            <w:r>
              <w:rPr>
                <w:color w:val="auto"/>
                <w:sz w:val="21"/>
                <w:szCs w:val="21"/>
                <w:highlight w:val="none"/>
              </w:rPr>
              <w:t>“</w:t>
            </w:r>
            <w:r>
              <w:rPr>
                <w:rFonts w:hint="eastAsia"/>
                <w:color w:val="auto"/>
                <w:sz w:val="21"/>
                <w:szCs w:val="21"/>
                <w:highlight w:val="none"/>
              </w:rPr>
              <w:t>□</w:t>
            </w:r>
            <w:r>
              <w:rPr>
                <w:color w:val="auto"/>
                <w:sz w:val="21"/>
                <w:szCs w:val="21"/>
                <w:highlight w:val="none"/>
              </w:rPr>
              <w:t>”</w:t>
            </w:r>
            <w:r>
              <w:rPr>
                <w:rFonts w:hint="eastAsia"/>
                <w:color w:val="auto"/>
                <w:sz w:val="21"/>
                <w:szCs w:val="21"/>
                <w:highlight w:val="none"/>
              </w:rPr>
              <w:t>为勾选项，可√；</w:t>
            </w:r>
            <w:r>
              <w:rPr>
                <w:color w:val="auto"/>
                <w:sz w:val="21"/>
                <w:szCs w:val="21"/>
                <w:highlight w:val="none"/>
              </w:rPr>
              <w:t>“</w:t>
            </w:r>
            <w:r>
              <w:rPr>
                <w:rFonts w:hint="eastAsia"/>
                <w:color w:val="auto"/>
                <w:sz w:val="21"/>
                <w:szCs w:val="21"/>
                <w:highlight w:val="none"/>
              </w:rPr>
              <w:t>（</w:t>
            </w:r>
            <w:r>
              <w:rPr>
                <w:color w:val="auto"/>
                <w:sz w:val="21"/>
                <w:szCs w:val="21"/>
                <w:highlight w:val="none"/>
              </w:rPr>
              <w:t xml:space="preserve"> </w:t>
            </w:r>
            <w:r>
              <w:rPr>
                <w:rFonts w:hint="eastAsia"/>
                <w:color w:val="auto"/>
                <w:sz w:val="21"/>
                <w:szCs w:val="21"/>
                <w:highlight w:val="none"/>
              </w:rPr>
              <w:t>）</w:t>
            </w:r>
            <w:r>
              <w:rPr>
                <w:color w:val="auto"/>
                <w:sz w:val="21"/>
                <w:szCs w:val="21"/>
                <w:highlight w:val="none"/>
              </w:rPr>
              <w:t>”</w:t>
            </w:r>
            <w:r>
              <w:rPr>
                <w:rFonts w:hint="eastAsia"/>
                <w:color w:val="auto"/>
                <w:sz w:val="21"/>
                <w:szCs w:val="21"/>
                <w:highlight w:val="none"/>
              </w:rPr>
              <w:t>为内容填写项；</w:t>
            </w:r>
            <w:r>
              <w:rPr>
                <w:color w:val="auto"/>
                <w:sz w:val="21"/>
                <w:szCs w:val="21"/>
                <w:highlight w:val="none"/>
              </w:rPr>
              <w:t>“</w:t>
            </w:r>
            <w:r>
              <w:rPr>
                <w:rFonts w:hint="eastAsia"/>
                <w:color w:val="auto"/>
                <w:sz w:val="21"/>
                <w:szCs w:val="21"/>
                <w:highlight w:val="none"/>
              </w:rPr>
              <w:t>备注</w:t>
            </w:r>
            <w:r>
              <w:rPr>
                <w:color w:val="auto"/>
                <w:sz w:val="21"/>
                <w:szCs w:val="21"/>
                <w:highlight w:val="none"/>
              </w:rPr>
              <w:t>”</w:t>
            </w:r>
            <w:r>
              <w:rPr>
                <w:rFonts w:hint="eastAsia"/>
                <w:color w:val="auto"/>
                <w:sz w:val="21"/>
                <w:szCs w:val="21"/>
                <w:highlight w:val="none"/>
              </w:rPr>
              <w:t>为其他补充内容。</w:t>
            </w:r>
          </w:p>
          <w:p w14:paraId="1C83A07F">
            <w:pPr>
              <w:pStyle w:val="245"/>
              <w:spacing w:line="240" w:lineRule="auto"/>
              <w:jc w:val="both"/>
              <w:rPr>
                <w:color w:val="auto"/>
                <w:sz w:val="21"/>
                <w:szCs w:val="21"/>
                <w:highlight w:val="none"/>
              </w:rPr>
            </w:pPr>
            <w:r>
              <w:rPr>
                <w:rFonts w:hint="eastAsia"/>
                <w:color w:val="auto"/>
                <w:sz w:val="21"/>
                <w:szCs w:val="21"/>
                <w:highlight w:val="none"/>
              </w:rPr>
              <w:t>注</w:t>
            </w:r>
            <w:r>
              <w:rPr>
                <w:color w:val="auto"/>
                <w:sz w:val="21"/>
                <w:szCs w:val="21"/>
                <w:highlight w:val="none"/>
              </w:rPr>
              <w:t xml:space="preserve"> 2</w:t>
            </w:r>
            <w:r>
              <w:rPr>
                <w:rFonts w:hint="eastAsia"/>
                <w:color w:val="auto"/>
                <w:sz w:val="21"/>
                <w:szCs w:val="21"/>
                <w:highlight w:val="none"/>
              </w:rPr>
              <w:t>：需要分别开展土壤环境影响评级工作的，分别填写自查表。</w:t>
            </w:r>
          </w:p>
        </w:tc>
      </w:tr>
    </w:tbl>
    <w:p w14:paraId="16333783">
      <w:pPr>
        <w:ind w:firstLine="480"/>
        <w:rPr>
          <w:color w:val="auto"/>
          <w:highlight w:val="none"/>
        </w:rPr>
      </w:pPr>
    </w:p>
    <w:p w14:paraId="72AA4479">
      <w:pPr>
        <w:pStyle w:val="3"/>
        <w:spacing w:before="120" w:after="120"/>
        <w:rPr>
          <w:color w:val="auto"/>
          <w:highlight w:val="none"/>
        </w:rPr>
      </w:pPr>
      <w:bookmarkStart w:id="180" w:name="_Toc24447159"/>
      <w:bookmarkStart w:id="181" w:name="_Toc58916168"/>
      <w:bookmarkStart w:id="182" w:name="_Toc24340233"/>
      <w:bookmarkStart w:id="183" w:name="_Toc24447628"/>
      <w:bookmarkStart w:id="184" w:name="_Toc21788"/>
      <w:r>
        <w:rPr>
          <w:rFonts w:hint="eastAsia"/>
          <w:color w:val="auto"/>
          <w:highlight w:val="none"/>
        </w:rPr>
        <w:t>环境风险评价</w:t>
      </w:r>
      <w:bookmarkEnd w:id="180"/>
      <w:bookmarkEnd w:id="181"/>
      <w:bookmarkEnd w:id="182"/>
      <w:bookmarkEnd w:id="183"/>
      <w:bookmarkEnd w:id="184"/>
    </w:p>
    <w:p w14:paraId="2A11E946">
      <w:pPr>
        <w:pStyle w:val="4"/>
        <w:spacing w:before="120" w:after="120"/>
        <w:rPr>
          <w:color w:val="auto"/>
          <w:highlight w:val="none"/>
        </w:rPr>
      </w:pPr>
      <w:bookmarkStart w:id="185" w:name="_Toc58916169"/>
      <w:bookmarkStart w:id="186" w:name="_Toc24340234"/>
      <w:bookmarkStart w:id="187" w:name="_Toc24447629"/>
      <w:bookmarkStart w:id="188" w:name="_Toc24447160"/>
      <w:bookmarkStart w:id="189" w:name="_Toc839"/>
      <w:r>
        <w:rPr>
          <w:rFonts w:hint="eastAsia"/>
          <w:color w:val="auto"/>
          <w:highlight w:val="none"/>
        </w:rPr>
        <w:t>风险评价目的</w:t>
      </w:r>
      <w:bookmarkEnd w:id="185"/>
      <w:bookmarkEnd w:id="186"/>
      <w:bookmarkEnd w:id="187"/>
      <w:bookmarkEnd w:id="188"/>
      <w:bookmarkEnd w:id="189"/>
    </w:p>
    <w:p w14:paraId="1B7F9A31">
      <w:pPr>
        <w:ind w:firstLine="480"/>
        <w:rPr>
          <w:rFonts w:hint="eastAsia"/>
          <w:color w:val="auto"/>
          <w:highlight w:val="none"/>
          <w:lang w:val="en-US" w:eastAsia="zh-CN"/>
        </w:rPr>
      </w:pPr>
      <w:bookmarkStart w:id="190" w:name="_Toc24340235"/>
      <w:bookmarkStart w:id="191" w:name="_Toc24447630"/>
      <w:bookmarkStart w:id="192" w:name="_Toc24447161"/>
      <w:r>
        <w:rPr>
          <w:rFonts w:hint="eastAsia"/>
          <w:color w:val="auto"/>
          <w:highlight w:val="none"/>
          <w:lang w:val="en-US" w:eastAsia="zh-CN"/>
        </w:rPr>
        <w:t>环境风险评价目的是分析和预测建设项目存在的潜在危险、有害因素，建设项目建设和营运期间可能发生的突发性事件或事故（一般不包括人为破坏和自然灾害），引起有毒有害和易燃易爆等物质泄漏，所造成的人身安全与环境影响和损害程度，提出合理可行的防范、应急与减缓措施，以使建设项目事故率、损失和环境影响达到可以接受水平。</w:t>
      </w:r>
    </w:p>
    <w:p w14:paraId="13F2A611">
      <w:pPr>
        <w:ind w:firstLine="480"/>
        <w:rPr>
          <w:rFonts w:hint="eastAsia"/>
          <w:color w:val="auto"/>
          <w:highlight w:val="none"/>
          <w:lang w:val="en-US" w:eastAsia="zh-CN"/>
        </w:rPr>
      </w:pPr>
      <w:r>
        <w:rPr>
          <w:rFonts w:hint="eastAsia"/>
          <w:color w:val="auto"/>
          <w:highlight w:val="none"/>
          <w:lang w:val="en-US" w:eastAsia="zh-CN"/>
        </w:rPr>
        <w:t>根据《建设项目环境风险评价技术导则》（HJ169-2018），该导则适用于涉及有毒有害和易燃易爆物质的生产、使用、贮运的建设项目可能发生的突发性事故（不包括认为破坏及自然灾害引发的事故）的环境风险评价。通过分析本工程主要物料的危险特性、毒理毒性及生产设施的特点进行风险识别，分析事故源项和发生概率，提出有针对性的、操作性较强的防范措施，为工程设计和环境管理提供资料和依据，以期达到规避风险，减少危害的目的。</w:t>
      </w:r>
    </w:p>
    <w:p w14:paraId="64CE4349">
      <w:pPr>
        <w:pStyle w:val="4"/>
        <w:spacing w:before="120" w:after="120"/>
        <w:rPr>
          <w:rFonts w:hint="eastAsia"/>
          <w:color w:val="auto"/>
          <w:highlight w:val="none"/>
          <w:lang w:val="en-US" w:eastAsia="zh-CN"/>
        </w:rPr>
      </w:pPr>
      <w:bookmarkStart w:id="193" w:name="_Toc27969"/>
      <w:r>
        <w:rPr>
          <w:rFonts w:hint="eastAsia"/>
          <w:color w:val="auto"/>
          <w:highlight w:val="none"/>
          <w:lang w:val="en-US" w:eastAsia="zh-CN"/>
        </w:rPr>
        <w:t>环境风险识别</w:t>
      </w:r>
      <w:bookmarkEnd w:id="193"/>
    </w:p>
    <w:p w14:paraId="7AB077CD">
      <w:pPr>
        <w:ind w:firstLine="480"/>
        <w:rPr>
          <w:rFonts w:hint="eastAsia"/>
          <w:color w:val="auto"/>
          <w:highlight w:val="none"/>
          <w:lang w:val="en-US" w:eastAsia="zh-CN"/>
        </w:rPr>
      </w:pPr>
      <w:r>
        <w:rPr>
          <w:rFonts w:hint="eastAsia"/>
          <w:color w:val="auto"/>
          <w:highlight w:val="none"/>
          <w:lang w:val="en-US" w:eastAsia="zh-CN"/>
        </w:rPr>
        <w:t>本项目为萤石选厂建设项目，主要风险物质为油类物质（废机油），主要风险场所为危废暂存间。根据《建设项目环境风险评价技术导则》（HJ169-2018），本项目涉及危险物质主要为废机油，年最大贮存量为3.0t，对照HJ169-2018附录B表B.1突发环境事件风险物质及临界量表，油类物质的危险物质临界量Q1为2500t，按照HJ169-2018附录C中C1.1危险物质数量与临界量比值（Q）的计算方法进行计算，得出Q值计算结果为Q=0.0012＜1，故本项目环境风险潜势为I。</w:t>
      </w:r>
    </w:p>
    <w:p w14:paraId="1A796C05">
      <w:pPr>
        <w:pStyle w:val="199"/>
        <w:spacing w:before="120"/>
        <w:ind w:firstLine="480"/>
        <w:rPr>
          <w:rFonts w:hint="eastAsia"/>
          <w:color w:val="auto"/>
          <w:sz w:val="24"/>
          <w:highlight w:val="none"/>
        </w:rPr>
      </w:pPr>
    </w:p>
    <w:p w14:paraId="2E0CC73B">
      <w:pPr>
        <w:pStyle w:val="199"/>
        <w:spacing w:before="120"/>
        <w:ind w:firstLine="480"/>
        <w:rPr>
          <w:rFonts w:hint="eastAsia"/>
          <w:color w:val="auto"/>
          <w:sz w:val="24"/>
          <w:highlight w:val="none"/>
        </w:rPr>
      </w:pPr>
    </w:p>
    <w:p w14:paraId="67C42CDB">
      <w:pPr>
        <w:pStyle w:val="199"/>
        <w:spacing w:before="120"/>
        <w:ind w:firstLine="480"/>
        <w:rPr>
          <w:rFonts w:hint="eastAsia"/>
          <w:color w:val="auto"/>
          <w:sz w:val="24"/>
          <w:highlight w:val="none"/>
        </w:rPr>
      </w:pPr>
    </w:p>
    <w:p w14:paraId="62CC5FC8">
      <w:pPr>
        <w:pStyle w:val="199"/>
        <w:spacing w:before="120"/>
        <w:ind w:firstLine="480"/>
        <w:rPr>
          <w:rFonts w:hint="eastAsia"/>
          <w:color w:val="auto"/>
          <w:sz w:val="24"/>
          <w:highlight w:val="none"/>
        </w:rPr>
      </w:pPr>
    </w:p>
    <w:p w14:paraId="2D38B42D">
      <w:pPr>
        <w:pStyle w:val="199"/>
        <w:spacing w:before="120"/>
        <w:ind w:firstLine="480"/>
        <w:rPr>
          <w:rFonts w:hint="eastAsia"/>
          <w:color w:val="auto"/>
          <w:sz w:val="24"/>
          <w:highlight w:val="none"/>
        </w:rPr>
      </w:pPr>
    </w:p>
    <w:p w14:paraId="62BF0639">
      <w:pPr>
        <w:pStyle w:val="199"/>
        <w:spacing w:before="120"/>
        <w:ind w:firstLine="480"/>
        <w:rPr>
          <w:rFonts w:hint="eastAsia"/>
          <w:color w:val="auto"/>
          <w:sz w:val="24"/>
          <w:highlight w:val="none"/>
        </w:rPr>
      </w:pPr>
    </w:p>
    <w:p w14:paraId="43F51AFE">
      <w:pPr>
        <w:pStyle w:val="199"/>
        <w:keepNext w:val="0"/>
        <w:keepLines w:val="0"/>
        <w:pageBreakBefore w:val="0"/>
        <w:widowControl w:val="0"/>
        <w:kinsoku/>
        <w:wordWrap/>
        <w:overflowPunct/>
        <w:topLinePunct w:val="0"/>
        <w:autoSpaceDE/>
        <w:autoSpaceDN/>
        <w:bidi w:val="0"/>
        <w:adjustRightInd/>
        <w:snapToGrid/>
        <w:spacing w:before="120"/>
        <w:ind w:firstLine="0"/>
        <w:textAlignment w:val="auto"/>
        <w:rPr>
          <w:rFonts w:hint="eastAsia"/>
          <w:color w:val="auto"/>
          <w:sz w:val="24"/>
          <w:highlight w:val="none"/>
        </w:rPr>
      </w:pPr>
      <w:r>
        <w:rPr>
          <w:rFonts w:hint="eastAsia"/>
          <w:color w:val="auto"/>
          <w:sz w:val="24"/>
          <w:highlight w:val="none"/>
        </w:rPr>
        <w:t xml:space="preserve">表6.2-1 </w:t>
      </w:r>
      <w:r>
        <w:rPr>
          <w:rFonts w:hint="eastAsia"/>
          <w:color w:val="auto"/>
          <w:sz w:val="24"/>
          <w:highlight w:val="none"/>
          <w:lang w:val="en-US" w:eastAsia="zh-CN"/>
        </w:rPr>
        <w:t xml:space="preserve">   </w:t>
      </w:r>
      <w:r>
        <w:rPr>
          <w:rFonts w:hint="eastAsia"/>
          <w:color w:val="auto"/>
          <w:sz w:val="24"/>
          <w:highlight w:val="none"/>
        </w:rPr>
        <w:t>废机油理化性质及危害特性表</w:t>
      </w:r>
    </w:p>
    <w:tbl>
      <w:tblPr>
        <w:tblStyle w:val="41"/>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Layout w:type="autofit"/>
        <w:tblCellMar>
          <w:top w:w="0" w:type="dxa"/>
          <w:left w:w="0" w:type="dxa"/>
          <w:bottom w:w="0" w:type="dxa"/>
          <w:right w:w="0" w:type="dxa"/>
        </w:tblCellMar>
      </w:tblPr>
      <w:tblGrid>
        <w:gridCol w:w="752"/>
        <w:gridCol w:w="1799"/>
        <w:gridCol w:w="5747"/>
      </w:tblGrid>
      <w:tr w14:paraId="3F77FCAA">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tcBorders>
              <w:tl2br w:val="nil"/>
              <w:tr2bl w:val="nil"/>
            </w:tcBorders>
            <w:noWrap w:val="0"/>
            <w:vAlign w:val="center"/>
          </w:tcPr>
          <w:p w14:paraId="495F865E">
            <w:pPr>
              <w:pStyle w:val="245"/>
              <w:spacing w:line="240" w:lineRule="auto"/>
              <w:jc w:val="center"/>
              <w:rPr>
                <w:rFonts w:hint="eastAsia"/>
                <w:color w:val="auto"/>
                <w:highlight w:val="none"/>
              </w:rPr>
            </w:pPr>
            <w:r>
              <w:rPr>
                <w:rFonts w:hint="eastAsia"/>
                <w:color w:val="auto"/>
                <w:highlight w:val="none"/>
              </w:rPr>
              <w:t>项目</w:t>
            </w:r>
          </w:p>
        </w:tc>
        <w:tc>
          <w:tcPr>
            <w:tcW w:w="4546" w:type="pct"/>
            <w:gridSpan w:val="2"/>
            <w:tcBorders>
              <w:tl2br w:val="nil"/>
              <w:tr2bl w:val="nil"/>
            </w:tcBorders>
            <w:noWrap w:val="0"/>
            <w:vAlign w:val="center"/>
          </w:tcPr>
          <w:p w14:paraId="2EC8A840">
            <w:pPr>
              <w:pStyle w:val="245"/>
              <w:spacing w:line="240" w:lineRule="auto"/>
              <w:jc w:val="center"/>
              <w:rPr>
                <w:rFonts w:hint="eastAsia"/>
                <w:color w:val="auto"/>
                <w:highlight w:val="none"/>
              </w:rPr>
            </w:pPr>
            <w:r>
              <w:rPr>
                <w:rFonts w:hint="eastAsia"/>
                <w:color w:val="auto"/>
                <w:highlight w:val="none"/>
              </w:rPr>
              <w:t>废机油\链烷经</w:t>
            </w:r>
          </w:p>
        </w:tc>
      </w:tr>
      <w:tr w14:paraId="42FB2B6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vMerge w:val="restart"/>
            <w:tcBorders>
              <w:tl2br w:val="nil"/>
              <w:tr2bl w:val="nil"/>
            </w:tcBorders>
            <w:noWrap w:val="0"/>
            <w:vAlign w:val="center"/>
          </w:tcPr>
          <w:p w14:paraId="409DC7D6">
            <w:pPr>
              <w:pStyle w:val="245"/>
              <w:spacing w:line="240" w:lineRule="auto"/>
              <w:jc w:val="center"/>
              <w:rPr>
                <w:rFonts w:hint="eastAsia"/>
                <w:color w:val="auto"/>
                <w:highlight w:val="none"/>
              </w:rPr>
            </w:pPr>
            <w:r>
              <w:rPr>
                <w:rFonts w:hint="eastAsia"/>
                <w:color w:val="auto"/>
                <w:highlight w:val="none"/>
              </w:rPr>
              <w:t>理化</w:t>
            </w:r>
          </w:p>
          <w:p w14:paraId="53203D36">
            <w:pPr>
              <w:pStyle w:val="245"/>
              <w:spacing w:line="240" w:lineRule="auto"/>
              <w:jc w:val="center"/>
              <w:rPr>
                <w:rFonts w:hint="eastAsia"/>
                <w:color w:val="auto"/>
                <w:highlight w:val="none"/>
              </w:rPr>
            </w:pPr>
            <w:r>
              <w:rPr>
                <w:rFonts w:hint="eastAsia"/>
                <w:color w:val="auto"/>
                <w:highlight w:val="none"/>
              </w:rPr>
              <w:t>性质</w:t>
            </w:r>
          </w:p>
        </w:tc>
        <w:tc>
          <w:tcPr>
            <w:tcW w:w="1083" w:type="pct"/>
            <w:tcBorders>
              <w:tl2br w:val="nil"/>
              <w:tr2bl w:val="nil"/>
            </w:tcBorders>
            <w:noWrap w:val="0"/>
            <w:vAlign w:val="center"/>
          </w:tcPr>
          <w:p w14:paraId="530AA64C">
            <w:pPr>
              <w:pStyle w:val="245"/>
              <w:spacing w:line="240" w:lineRule="auto"/>
              <w:jc w:val="center"/>
              <w:rPr>
                <w:rFonts w:hint="eastAsia"/>
                <w:color w:val="auto"/>
                <w:highlight w:val="none"/>
              </w:rPr>
            </w:pPr>
            <w:r>
              <w:rPr>
                <w:rFonts w:hint="eastAsia"/>
                <w:color w:val="auto"/>
                <w:highlight w:val="none"/>
              </w:rPr>
              <w:t>外观与性状</w:t>
            </w:r>
          </w:p>
        </w:tc>
        <w:tc>
          <w:tcPr>
            <w:tcW w:w="3461" w:type="pct"/>
            <w:tcBorders>
              <w:tl2br w:val="nil"/>
              <w:tr2bl w:val="nil"/>
            </w:tcBorders>
            <w:noWrap w:val="0"/>
            <w:vAlign w:val="center"/>
          </w:tcPr>
          <w:p w14:paraId="47BB3730">
            <w:pPr>
              <w:pStyle w:val="245"/>
              <w:spacing w:line="240" w:lineRule="auto"/>
              <w:jc w:val="center"/>
              <w:rPr>
                <w:rFonts w:hint="eastAsia"/>
                <w:color w:val="auto"/>
                <w:highlight w:val="none"/>
              </w:rPr>
            </w:pPr>
            <w:r>
              <w:rPr>
                <w:rFonts w:hint="eastAsia"/>
                <w:color w:val="auto"/>
                <w:highlight w:val="none"/>
              </w:rPr>
              <w:t>稍有粘性的棕色液体</w:t>
            </w:r>
          </w:p>
        </w:tc>
      </w:tr>
      <w:tr w14:paraId="16D34AA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vMerge w:val="continue"/>
            <w:tcBorders>
              <w:tl2br w:val="nil"/>
              <w:tr2bl w:val="nil"/>
            </w:tcBorders>
            <w:noWrap w:val="0"/>
            <w:vAlign w:val="center"/>
          </w:tcPr>
          <w:p w14:paraId="0D4638BB">
            <w:pPr>
              <w:pStyle w:val="245"/>
              <w:spacing w:line="240" w:lineRule="auto"/>
              <w:jc w:val="center"/>
              <w:rPr>
                <w:rFonts w:hint="eastAsia"/>
                <w:color w:val="auto"/>
                <w:highlight w:val="none"/>
              </w:rPr>
            </w:pPr>
          </w:p>
        </w:tc>
        <w:tc>
          <w:tcPr>
            <w:tcW w:w="1083" w:type="pct"/>
            <w:tcBorders>
              <w:tl2br w:val="nil"/>
              <w:tr2bl w:val="nil"/>
            </w:tcBorders>
            <w:noWrap w:val="0"/>
            <w:vAlign w:val="center"/>
          </w:tcPr>
          <w:p w14:paraId="1533D1AD">
            <w:pPr>
              <w:pStyle w:val="245"/>
              <w:spacing w:line="240" w:lineRule="auto"/>
              <w:jc w:val="center"/>
              <w:rPr>
                <w:rFonts w:hint="eastAsia"/>
                <w:color w:val="auto"/>
                <w:highlight w:val="none"/>
              </w:rPr>
            </w:pPr>
            <w:r>
              <w:rPr>
                <w:rFonts w:hint="eastAsia"/>
                <w:color w:val="auto"/>
                <w:highlight w:val="none"/>
              </w:rPr>
              <w:t>熔点/沸点</w:t>
            </w:r>
          </w:p>
        </w:tc>
        <w:tc>
          <w:tcPr>
            <w:tcW w:w="3461" w:type="pct"/>
            <w:tcBorders>
              <w:tl2br w:val="nil"/>
              <w:tr2bl w:val="nil"/>
            </w:tcBorders>
            <w:noWrap w:val="0"/>
            <w:vAlign w:val="center"/>
          </w:tcPr>
          <w:p w14:paraId="39DF817D">
            <w:pPr>
              <w:pStyle w:val="245"/>
              <w:spacing w:line="240" w:lineRule="auto"/>
              <w:jc w:val="center"/>
              <w:rPr>
                <w:rFonts w:hint="eastAsia"/>
                <w:color w:val="auto"/>
                <w:highlight w:val="none"/>
              </w:rPr>
            </w:pPr>
            <w:r>
              <w:rPr>
                <w:rFonts w:hint="eastAsia"/>
                <w:color w:val="auto"/>
                <w:highlight w:val="none"/>
              </w:rPr>
              <w:t>熔点(℃)）-95.3~-94.3/69</w:t>
            </w:r>
          </w:p>
        </w:tc>
      </w:tr>
      <w:tr w14:paraId="7D61BF3F">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vMerge w:val="continue"/>
            <w:tcBorders>
              <w:tl2br w:val="nil"/>
              <w:tr2bl w:val="nil"/>
            </w:tcBorders>
            <w:noWrap w:val="0"/>
            <w:vAlign w:val="center"/>
          </w:tcPr>
          <w:p w14:paraId="2BEF8A06">
            <w:pPr>
              <w:pStyle w:val="245"/>
              <w:spacing w:line="240" w:lineRule="auto"/>
              <w:jc w:val="center"/>
              <w:rPr>
                <w:rFonts w:hint="eastAsia"/>
                <w:color w:val="auto"/>
                <w:highlight w:val="none"/>
              </w:rPr>
            </w:pPr>
          </w:p>
        </w:tc>
        <w:tc>
          <w:tcPr>
            <w:tcW w:w="1083" w:type="pct"/>
            <w:tcBorders>
              <w:tl2br w:val="nil"/>
              <w:tr2bl w:val="nil"/>
            </w:tcBorders>
            <w:noWrap w:val="0"/>
            <w:vAlign w:val="center"/>
          </w:tcPr>
          <w:p w14:paraId="3B302120">
            <w:pPr>
              <w:pStyle w:val="245"/>
              <w:spacing w:line="240" w:lineRule="auto"/>
              <w:jc w:val="center"/>
              <w:rPr>
                <w:rFonts w:hint="eastAsia"/>
                <w:color w:val="auto"/>
                <w:highlight w:val="none"/>
              </w:rPr>
            </w:pPr>
            <w:r>
              <w:rPr>
                <w:rFonts w:hint="eastAsia"/>
                <w:color w:val="auto"/>
                <w:highlight w:val="none"/>
              </w:rPr>
              <w:t>相对密度</w:t>
            </w:r>
          </w:p>
        </w:tc>
        <w:tc>
          <w:tcPr>
            <w:tcW w:w="3461" w:type="pct"/>
            <w:tcBorders>
              <w:tl2br w:val="nil"/>
              <w:tr2bl w:val="nil"/>
            </w:tcBorders>
            <w:noWrap w:val="0"/>
            <w:vAlign w:val="center"/>
          </w:tcPr>
          <w:p w14:paraId="1BA7DB97">
            <w:pPr>
              <w:pStyle w:val="245"/>
              <w:spacing w:line="240" w:lineRule="auto"/>
              <w:jc w:val="center"/>
              <w:rPr>
                <w:rFonts w:hint="eastAsia"/>
                <w:color w:val="auto"/>
                <w:highlight w:val="none"/>
              </w:rPr>
            </w:pPr>
            <w:r>
              <w:rPr>
                <w:rFonts w:hint="eastAsia"/>
                <w:color w:val="auto"/>
                <w:highlight w:val="none"/>
              </w:rPr>
              <w:t>对水0.66</w:t>
            </w:r>
          </w:p>
        </w:tc>
      </w:tr>
      <w:tr w14:paraId="073976DB">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vMerge w:val="continue"/>
            <w:tcBorders>
              <w:tl2br w:val="nil"/>
              <w:tr2bl w:val="nil"/>
            </w:tcBorders>
            <w:noWrap w:val="0"/>
            <w:vAlign w:val="center"/>
          </w:tcPr>
          <w:p w14:paraId="0E0F4858">
            <w:pPr>
              <w:pStyle w:val="245"/>
              <w:spacing w:line="240" w:lineRule="auto"/>
              <w:jc w:val="center"/>
              <w:rPr>
                <w:rFonts w:hint="eastAsia"/>
                <w:color w:val="auto"/>
                <w:highlight w:val="none"/>
              </w:rPr>
            </w:pPr>
          </w:p>
        </w:tc>
        <w:tc>
          <w:tcPr>
            <w:tcW w:w="1083" w:type="pct"/>
            <w:tcBorders>
              <w:tl2br w:val="nil"/>
              <w:tr2bl w:val="nil"/>
            </w:tcBorders>
            <w:noWrap w:val="0"/>
            <w:vAlign w:val="center"/>
          </w:tcPr>
          <w:p w14:paraId="6C6C3A26">
            <w:pPr>
              <w:pStyle w:val="245"/>
              <w:spacing w:line="240" w:lineRule="auto"/>
              <w:jc w:val="center"/>
              <w:rPr>
                <w:rFonts w:hint="eastAsia"/>
                <w:color w:val="auto"/>
                <w:highlight w:val="none"/>
              </w:rPr>
            </w:pPr>
            <w:r>
              <w:rPr>
                <w:rFonts w:hint="eastAsia"/>
                <w:color w:val="auto"/>
                <w:highlight w:val="none"/>
              </w:rPr>
              <w:t>溶解性</w:t>
            </w:r>
          </w:p>
        </w:tc>
        <w:tc>
          <w:tcPr>
            <w:tcW w:w="3461" w:type="pct"/>
            <w:tcBorders>
              <w:tl2br w:val="nil"/>
              <w:tr2bl w:val="nil"/>
            </w:tcBorders>
            <w:noWrap w:val="0"/>
            <w:vAlign w:val="center"/>
          </w:tcPr>
          <w:p w14:paraId="2398151C">
            <w:pPr>
              <w:pStyle w:val="245"/>
              <w:spacing w:line="240" w:lineRule="auto"/>
              <w:jc w:val="center"/>
              <w:rPr>
                <w:rFonts w:hint="eastAsia"/>
                <w:color w:val="auto"/>
                <w:highlight w:val="none"/>
              </w:rPr>
            </w:pPr>
            <w:r>
              <w:rPr>
                <w:rFonts w:hint="eastAsia"/>
                <w:color w:val="auto"/>
                <w:highlight w:val="none"/>
              </w:rPr>
              <w:t>不溶于水，溶于乙醇、乙醚、丙酮、氯仿等多数有机溶剂</w:t>
            </w:r>
          </w:p>
        </w:tc>
      </w:tr>
      <w:tr w14:paraId="5743B9BE">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vMerge w:val="continue"/>
            <w:tcBorders>
              <w:tl2br w:val="nil"/>
              <w:tr2bl w:val="nil"/>
            </w:tcBorders>
            <w:noWrap w:val="0"/>
            <w:vAlign w:val="center"/>
          </w:tcPr>
          <w:p w14:paraId="374A6CDE">
            <w:pPr>
              <w:pStyle w:val="245"/>
              <w:spacing w:line="240" w:lineRule="auto"/>
              <w:jc w:val="center"/>
              <w:rPr>
                <w:rFonts w:hint="eastAsia"/>
                <w:color w:val="auto"/>
                <w:highlight w:val="none"/>
              </w:rPr>
            </w:pPr>
          </w:p>
        </w:tc>
        <w:tc>
          <w:tcPr>
            <w:tcW w:w="1083" w:type="pct"/>
            <w:tcBorders>
              <w:tl2br w:val="nil"/>
              <w:tr2bl w:val="nil"/>
            </w:tcBorders>
            <w:noWrap w:val="0"/>
            <w:vAlign w:val="center"/>
          </w:tcPr>
          <w:p w14:paraId="73307D78">
            <w:pPr>
              <w:pStyle w:val="245"/>
              <w:spacing w:line="240" w:lineRule="auto"/>
              <w:jc w:val="center"/>
              <w:rPr>
                <w:rFonts w:hint="eastAsia"/>
                <w:color w:val="auto"/>
                <w:highlight w:val="none"/>
              </w:rPr>
            </w:pPr>
            <w:r>
              <w:rPr>
                <w:rFonts w:hint="eastAsia"/>
                <w:color w:val="auto"/>
                <w:highlight w:val="none"/>
              </w:rPr>
              <w:t>闪点/引燃温度</w:t>
            </w:r>
          </w:p>
        </w:tc>
        <w:tc>
          <w:tcPr>
            <w:tcW w:w="3461" w:type="pct"/>
            <w:tcBorders>
              <w:tl2br w:val="nil"/>
              <w:tr2bl w:val="nil"/>
            </w:tcBorders>
            <w:noWrap w:val="0"/>
            <w:vAlign w:val="center"/>
          </w:tcPr>
          <w:p w14:paraId="2304580D">
            <w:pPr>
              <w:pStyle w:val="245"/>
              <w:spacing w:line="240" w:lineRule="auto"/>
              <w:jc w:val="center"/>
              <w:rPr>
                <w:rFonts w:hint="eastAsia"/>
                <w:color w:val="auto"/>
                <w:highlight w:val="none"/>
              </w:rPr>
            </w:pPr>
            <w:r>
              <w:rPr>
                <w:rFonts w:hint="eastAsia"/>
                <w:color w:val="auto"/>
                <w:highlight w:val="none"/>
              </w:rPr>
              <w:t>-22/225℃</w:t>
            </w:r>
          </w:p>
        </w:tc>
      </w:tr>
      <w:tr w14:paraId="460DA23B">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vMerge w:val="continue"/>
            <w:tcBorders>
              <w:tl2br w:val="nil"/>
              <w:tr2bl w:val="nil"/>
            </w:tcBorders>
            <w:noWrap w:val="0"/>
            <w:vAlign w:val="center"/>
          </w:tcPr>
          <w:p w14:paraId="24761BBA">
            <w:pPr>
              <w:pStyle w:val="245"/>
              <w:spacing w:line="240" w:lineRule="auto"/>
              <w:jc w:val="center"/>
              <w:rPr>
                <w:rFonts w:hint="eastAsia"/>
                <w:color w:val="auto"/>
                <w:highlight w:val="none"/>
              </w:rPr>
            </w:pPr>
          </w:p>
        </w:tc>
        <w:tc>
          <w:tcPr>
            <w:tcW w:w="1083" w:type="pct"/>
            <w:tcBorders>
              <w:tl2br w:val="nil"/>
              <w:tr2bl w:val="nil"/>
            </w:tcBorders>
            <w:noWrap w:val="0"/>
            <w:vAlign w:val="center"/>
          </w:tcPr>
          <w:p w14:paraId="661377C3">
            <w:pPr>
              <w:pStyle w:val="245"/>
              <w:spacing w:line="240" w:lineRule="auto"/>
              <w:jc w:val="center"/>
              <w:rPr>
                <w:rFonts w:hint="eastAsia"/>
                <w:color w:val="auto"/>
                <w:highlight w:val="none"/>
              </w:rPr>
            </w:pPr>
            <w:r>
              <w:rPr>
                <w:rFonts w:hint="eastAsia"/>
                <w:color w:val="auto"/>
                <w:highlight w:val="none"/>
              </w:rPr>
              <w:t>爆炸极限</w:t>
            </w:r>
          </w:p>
        </w:tc>
        <w:tc>
          <w:tcPr>
            <w:tcW w:w="3461" w:type="pct"/>
            <w:tcBorders>
              <w:tl2br w:val="nil"/>
              <w:tr2bl w:val="nil"/>
            </w:tcBorders>
            <w:noWrap w:val="0"/>
            <w:vAlign w:val="center"/>
          </w:tcPr>
          <w:p w14:paraId="70B920FC">
            <w:pPr>
              <w:pStyle w:val="245"/>
              <w:spacing w:line="240" w:lineRule="auto"/>
              <w:jc w:val="center"/>
              <w:rPr>
                <w:rFonts w:hint="eastAsia"/>
                <w:color w:val="auto"/>
                <w:highlight w:val="none"/>
              </w:rPr>
            </w:pPr>
            <w:r>
              <w:rPr>
                <w:rFonts w:hint="eastAsia"/>
                <w:color w:val="auto"/>
                <w:highlight w:val="none"/>
              </w:rPr>
              <w:t>1.1-7.5vol%</w:t>
            </w:r>
          </w:p>
        </w:tc>
      </w:tr>
      <w:tr w14:paraId="551EC65F">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1537" w:type="pct"/>
            <w:gridSpan w:val="2"/>
            <w:tcBorders>
              <w:tl2br w:val="nil"/>
              <w:tr2bl w:val="nil"/>
            </w:tcBorders>
            <w:noWrap w:val="0"/>
            <w:vAlign w:val="center"/>
          </w:tcPr>
          <w:p w14:paraId="4E1A9AE3">
            <w:pPr>
              <w:pStyle w:val="245"/>
              <w:spacing w:line="240" w:lineRule="auto"/>
              <w:jc w:val="center"/>
              <w:rPr>
                <w:rFonts w:hint="eastAsia"/>
                <w:color w:val="auto"/>
                <w:highlight w:val="none"/>
              </w:rPr>
            </w:pPr>
            <w:r>
              <w:rPr>
                <w:rFonts w:hint="eastAsia"/>
                <w:color w:val="auto"/>
                <w:highlight w:val="none"/>
              </w:rPr>
              <w:t>危险特性</w:t>
            </w:r>
          </w:p>
        </w:tc>
        <w:tc>
          <w:tcPr>
            <w:tcW w:w="3461" w:type="pct"/>
            <w:tcBorders>
              <w:tl2br w:val="nil"/>
              <w:tr2bl w:val="nil"/>
            </w:tcBorders>
            <w:noWrap w:val="0"/>
            <w:vAlign w:val="center"/>
          </w:tcPr>
          <w:p w14:paraId="7C0A351E">
            <w:pPr>
              <w:pStyle w:val="245"/>
              <w:spacing w:line="240" w:lineRule="auto"/>
              <w:jc w:val="center"/>
              <w:rPr>
                <w:rFonts w:hint="eastAsia"/>
                <w:color w:val="auto"/>
                <w:highlight w:val="none"/>
              </w:rPr>
            </w:pPr>
            <w:r>
              <w:rPr>
                <w:rFonts w:hint="eastAsia"/>
                <w:color w:val="auto"/>
                <w:highlight w:val="none"/>
              </w:rPr>
              <w:t>高闪点液体，可燃。并有腐蚀性、属于危险废物</w:t>
            </w:r>
          </w:p>
        </w:tc>
      </w:tr>
      <w:tr w14:paraId="34EFCDA8">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1537" w:type="pct"/>
            <w:gridSpan w:val="2"/>
            <w:tcBorders>
              <w:tl2br w:val="nil"/>
              <w:tr2bl w:val="nil"/>
            </w:tcBorders>
            <w:noWrap w:val="0"/>
            <w:vAlign w:val="center"/>
          </w:tcPr>
          <w:p w14:paraId="079425CD">
            <w:pPr>
              <w:pStyle w:val="245"/>
              <w:spacing w:line="240" w:lineRule="auto"/>
              <w:jc w:val="center"/>
              <w:rPr>
                <w:rFonts w:hint="eastAsia"/>
                <w:color w:val="auto"/>
                <w:highlight w:val="none"/>
              </w:rPr>
            </w:pPr>
            <w:r>
              <w:rPr>
                <w:rFonts w:hint="eastAsia"/>
                <w:color w:val="auto"/>
                <w:highlight w:val="none"/>
              </w:rPr>
              <w:t>危险特性</w:t>
            </w:r>
          </w:p>
        </w:tc>
        <w:tc>
          <w:tcPr>
            <w:tcW w:w="3461" w:type="pct"/>
            <w:tcBorders>
              <w:tl2br w:val="nil"/>
              <w:tr2bl w:val="nil"/>
            </w:tcBorders>
            <w:noWrap w:val="0"/>
            <w:vAlign w:val="center"/>
          </w:tcPr>
          <w:p w14:paraId="2D0BBE55">
            <w:pPr>
              <w:pStyle w:val="245"/>
              <w:spacing w:line="240" w:lineRule="auto"/>
              <w:jc w:val="center"/>
              <w:rPr>
                <w:rFonts w:hint="eastAsia"/>
                <w:color w:val="auto"/>
                <w:highlight w:val="none"/>
              </w:rPr>
            </w:pPr>
            <w:r>
              <w:rPr>
                <w:rFonts w:hint="eastAsia"/>
                <w:color w:val="auto"/>
                <w:highlight w:val="none"/>
              </w:rPr>
              <w:t>易燃，其蒸气与空气可形成爆炸性混合物，遇明火、高热能引起燃烧爆炸。与氧化剂接触发生化学反应，甚至引起燃烧。在火场中，受热的容器有爆炸危险。蒸气比空气重，沿地面扩散并易积存于低洼处，遇火源会着火回燃.</w:t>
            </w:r>
          </w:p>
        </w:tc>
      </w:tr>
      <w:tr w14:paraId="000E2D33">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1537" w:type="pct"/>
            <w:gridSpan w:val="2"/>
            <w:tcBorders>
              <w:tl2br w:val="nil"/>
              <w:tr2bl w:val="nil"/>
            </w:tcBorders>
            <w:noWrap w:val="0"/>
            <w:vAlign w:val="center"/>
          </w:tcPr>
          <w:p w14:paraId="4573CA4D">
            <w:pPr>
              <w:pStyle w:val="245"/>
              <w:spacing w:line="240" w:lineRule="auto"/>
              <w:jc w:val="center"/>
              <w:rPr>
                <w:rFonts w:hint="eastAsia"/>
                <w:color w:val="auto"/>
                <w:highlight w:val="none"/>
              </w:rPr>
            </w:pPr>
            <w:r>
              <w:rPr>
                <w:rFonts w:hint="eastAsia"/>
                <w:color w:val="auto"/>
                <w:highlight w:val="none"/>
              </w:rPr>
              <w:t>灭火方法</w:t>
            </w:r>
          </w:p>
        </w:tc>
        <w:tc>
          <w:tcPr>
            <w:tcW w:w="3461" w:type="pct"/>
            <w:tcBorders>
              <w:tl2br w:val="nil"/>
              <w:tr2bl w:val="nil"/>
            </w:tcBorders>
            <w:noWrap w:val="0"/>
            <w:vAlign w:val="center"/>
          </w:tcPr>
          <w:p w14:paraId="7EA01DB2">
            <w:pPr>
              <w:pStyle w:val="245"/>
              <w:spacing w:line="240" w:lineRule="auto"/>
              <w:jc w:val="center"/>
              <w:rPr>
                <w:rFonts w:hint="eastAsia"/>
                <w:color w:val="auto"/>
                <w:highlight w:val="none"/>
              </w:rPr>
            </w:pPr>
            <w:r>
              <w:rPr>
                <w:rFonts w:hint="eastAsia"/>
                <w:color w:val="auto"/>
                <w:highlight w:val="none"/>
              </w:rPr>
              <w:t>用抗溶性泡沫、干粉、二二-氧化碳、砂土灭火</w:t>
            </w:r>
          </w:p>
        </w:tc>
      </w:tr>
      <w:tr w14:paraId="74B83DFF">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vMerge w:val="restart"/>
            <w:tcBorders>
              <w:tl2br w:val="nil"/>
              <w:tr2bl w:val="nil"/>
            </w:tcBorders>
            <w:noWrap w:val="0"/>
            <w:vAlign w:val="center"/>
          </w:tcPr>
          <w:p w14:paraId="5F643AD6">
            <w:pPr>
              <w:pStyle w:val="245"/>
              <w:spacing w:line="240" w:lineRule="auto"/>
              <w:jc w:val="center"/>
              <w:rPr>
                <w:rFonts w:hint="eastAsia"/>
                <w:color w:val="auto"/>
                <w:highlight w:val="none"/>
              </w:rPr>
            </w:pPr>
            <w:r>
              <w:rPr>
                <w:rFonts w:hint="eastAsia"/>
                <w:color w:val="auto"/>
                <w:highlight w:val="none"/>
              </w:rPr>
              <w:t>毒性及健康危害</w:t>
            </w:r>
          </w:p>
        </w:tc>
        <w:tc>
          <w:tcPr>
            <w:tcW w:w="1083" w:type="pct"/>
            <w:tcBorders>
              <w:tl2br w:val="nil"/>
              <w:tr2bl w:val="nil"/>
            </w:tcBorders>
            <w:noWrap w:val="0"/>
            <w:vAlign w:val="center"/>
          </w:tcPr>
          <w:p w14:paraId="6A16041E">
            <w:pPr>
              <w:pStyle w:val="245"/>
              <w:spacing w:line="240" w:lineRule="auto"/>
              <w:jc w:val="center"/>
              <w:rPr>
                <w:rFonts w:hint="eastAsia"/>
                <w:color w:val="auto"/>
                <w:highlight w:val="none"/>
              </w:rPr>
            </w:pPr>
            <w:r>
              <w:rPr>
                <w:rFonts w:hint="eastAsia"/>
                <w:color w:val="auto"/>
                <w:highlight w:val="none"/>
              </w:rPr>
              <w:t>毒性</w:t>
            </w:r>
          </w:p>
        </w:tc>
        <w:tc>
          <w:tcPr>
            <w:tcW w:w="3461" w:type="pct"/>
            <w:tcBorders>
              <w:tl2br w:val="nil"/>
              <w:tr2bl w:val="nil"/>
            </w:tcBorders>
            <w:noWrap w:val="0"/>
            <w:vAlign w:val="center"/>
          </w:tcPr>
          <w:p w14:paraId="7E232573">
            <w:pPr>
              <w:pStyle w:val="245"/>
              <w:spacing w:line="240" w:lineRule="auto"/>
              <w:jc w:val="center"/>
              <w:rPr>
                <w:rFonts w:hint="eastAsia"/>
                <w:color w:val="auto"/>
                <w:highlight w:val="none"/>
              </w:rPr>
            </w:pPr>
            <w:r>
              <w:rPr>
                <w:rFonts w:hint="eastAsia"/>
                <w:color w:val="auto"/>
                <w:highlight w:val="none"/>
              </w:rPr>
              <w:t>具有刺激作用</w:t>
            </w:r>
          </w:p>
        </w:tc>
      </w:tr>
      <w:tr w14:paraId="1A771FD0">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453" w:type="pct"/>
            <w:vMerge w:val="continue"/>
            <w:tcBorders>
              <w:tl2br w:val="nil"/>
              <w:tr2bl w:val="nil"/>
            </w:tcBorders>
            <w:noWrap w:val="0"/>
            <w:vAlign w:val="center"/>
          </w:tcPr>
          <w:p w14:paraId="2319F746">
            <w:pPr>
              <w:pStyle w:val="245"/>
              <w:spacing w:line="240" w:lineRule="auto"/>
              <w:jc w:val="center"/>
              <w:rPr>
                <w:rFonts w:hint="eastAsia"/>
                <w:color w:val="auto"/>
                <w:highlight w:val="none"/>
              </w:rPr>
            </w:pPr>
          </w:p>
        </w:tc>
        <w:tc>
          <w:tcPr>
            <w:tcW w:w="1083" w:type="pct"/>
            <w:tcBorders>
              <w:tl2br w:val="nil"/>
              <w:tr2bl w:val="nil"/>
            </w:tcBorders>
            <w:noWrap w:val="0"/>
            <w:vAlign w:val="center"/>
          </w:tcPr>
          <w:p w14:paraId="28959D3D">
            <w:pPr>
              <w:pStyle w:val="245"/>
              <w:spacing w:line="240" w:lineRule="auto"/>
              <w:jc w:val="center"/>
              <w:rPr>
                <w:rFonts w:hint="eastAsia"/>
                <w:color w:val="auto"/>
                <w:highlight w:val="none"/>
              </w:rPr>
            </w:pPr>
            <w:r>
              <w:rPr>
                <w:rFonts w:hint="eastAsia"/>
                <w:color w:val="auto"/>
                <w:highlight w:val="none"/>
              </w:rPr>
              <w:t>健康危害</w:t>
            </w:r>
          </w:p>
        </w:tc>
        <w:tc>
          <w:tcPr>
            <w:tcW w:w="3461" w:type="pct"/>
            <w:tcBorders>
              <w:tl2br w:val="nil"/>
              <w:tr2bl w:val="nil"/>
            </w:tcBorders>
            <w:noWrap w:val="0"/>
            <w:vAlign w:val="center"/>
          </w:tcPr>
          <w:p w14:paraId="1B5588EA">
            <w:pPr>
              <w:pStyle w:val="245"/>
              <w:spacing w:line="240" w:lineRule="auto"/>
              <w:jc w:val="center"/>
              <w:rPr>
                <w:rFonts w:hint="eastAsia"/>
                <w:color w:val="auto"/>
                <w:highlight w:val="none"/>
              </w:rPr>
            </w:pPr>
            <w:r>
              <w:rPr>
                <w:rFonts w:hint="eastAsia"/>
                <w:color w:val="auto"/>
                <w:highlight w:val="none"/>
              </w:rPr>
              <w:t>健康危害（急性、慢性）:本品有麻醉和剌激作用，长期接触可致周围神经炎</w:t>
            </w:r>
          </w:p>
          <w:p w14:paraId="5E09E919">
            <w:pPr>
              <w:pStyle w:val="245"/>
              <w:spacing w:line="240" w:lineRule="auto"/>
              <w:jc w:val="center"/>
              <w:rPr>
                <w:rFonts w:hint="eastAsia"/>
                <w:color w:val="auto"/>
                <w:highlight w:val="none"/>
              </w:rPr>
            </w:pPr>
            <w:r>
              <w:rPr>
                <w:rFonts w:hint="eastAsia"/>
                <w:color w:val="auto"/>
                <w:highlight w:val="none"/>
              </w:rPr>
              <w:t>急性中毒:吸入高浓度本品出现头痛、头影，恶心等。重者引起神志丧失甚至死亡，对眼和上呼圾道有刺激性</w:t>
            </w:r>
          </w:p>
          <w:p w14:paraId="2D80236A">
            <w:pPr>
              <w:pStyle w:val="245"/>
              <w:spacing w:line="240" w:lineRule="auto"/>
              <w:jc w:val="center"/>
              <w:rPr>
                <w:rFonts w:hint="eastAsia"/>
                <w:color w:val="auto"/>
                <w:highlight w:val="none"/>
              </w:rPr>
            </w:pPr>
            <w:r>
              <w:rPr>
                <w:rFonts w:hint="eastAsia"/>
                <w:color w:val="auto"/>
                <w:highlight w:val="none"/>
              </w:rPr>
              <w:t>慢性中毒:长期接触出现头痛、头晕、乏力、胃纳减退;其后四肢远端逐渐发展成感觉异常、麻木、触、痛、震动和位置等感觉减退。</w:t>
            </w:r>
          </w:p>
        </w:tc>
      </w:tr>
      <w:tr w14:paraId="7FD8D48A">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1537" w:type="pct"/>
            <w:gridSpan w:val="2"/>
            <w:tcBorders>
              <w:tl2br w:val="nil"/>
              <w:tr2bl w:val="nil"/>
            </w:tcBorders>
            <w:noWrap w:val="0"/>
            <w:vAlign w:val="center"/>
          </w:tcPr>
          <w:p w14:paraId="5CA47CF2">
            <w:pPr>
              <w:pStyle w:val="245"/>
              <w:spacing w:line="240" w:lineRule="auto"/>
              <w:jc w:val="center"/>
              <w:rPr>
                <w:rFonts w:hint="eastAsia"/>
                <w:color w:val="auto"/>
                <w:highlight w:val="none"/>
              </w:rPr>
            </w:pPr>
            <w:r>
              <w:rPr>
                <w:rFonts w:hint="eastAsia"/>
                <w:color w:val="auto"/>
                <w:highlight w:val="none"/>
              </w:rPr>
              <w:t>急救方案</w:t>
            </w:r>
          </w:p>
        </w:tc>
        <w:tc>
          <w:tcPr>
            <w:tcW w:w="3461" w:type="pct"/>
            <w:tcBorders>
              <w:tl2br w:val="nil"/>
              <w:tr2bl w:val="nil"/>
            </w:tcBorders>
            <w:noWrap w:val="0"/>
            <w:vAlign w:val="center"/>
          </w:tcPr>
          <w:p w14:paraId="60FA3DF5">
            <w:pPr>
              <w:pStyle w:val="245"/>
              <w:spacing w:line="240" w:lineRule="auto"/>
              <w:jc w:val="center"/>
              <w:rPr>
                <w:rFonts w:hint="eastAsia"/>
                <w:color w:val="auto"/>
                <w:highlight w:val="none"/>
              </w:rPr>
            </w:pPr>
            <w:r>
              <w:rPr>
                <w:rFonts w:hint="eastAsia"/>
                <w:color w:val="auto"/>
                <w:highlight w:val="none"/>
              </w:rPr>
              <w:t>皮肤接触立即脱去被污染的衣服，用肥皂水及清水彻底冲洗。眼睛接触后立即翻开上下眼睑，用流动清水清洗10分钟，或用生理盐水冲洗至少15分钟。不慎吸入后应迅速脱离现场至新鲜空气出，呼吸困难时给氧。</w:t>
            </w:r>
          </w:p>
        </w:tc>
      </w:tr>
      <w:tr w14:paraId="3A8314C5">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1537" w:type="pct"/>
            <w:gridSpan w:val="2"/>
            <w:tcBorders>
              <w:tl2br w:val="nil"/>
              <w:tr2bl w:val="nil"/>
            </w:tcBorders>
            <w:noWrap w:val="0"/>
            <w:vAlign w:val="center"/>
          </w:tcPr>
          <w:p w14:paraId="61438B55">
            <w:pPr>
              <w:pStyle w:val="245"/>
              <w:spacing w:line="240" w:lineRule="auto"/>
              <w:jc w:val="center"/>
              <w:rPr>
                <w:rFonts w:hint="eastAsia"/>
                <w:color w:val="auto"/>
                <w:highlight w:val="none"/>
              </w:rPr>
            </w:pPr>
            <w:r>
              <w:rPr>
                <w:rFonts w:hint="eastAsia"/>
                <w:color w:val="auto"/>
                <w:highlight w:val="none"/>
              </w:rPr>
              <w:t>防护措施</w:t>
            </w:r>
          </w:p>
        </w:tc>
        <w:tc>
          <w:tcPr>
            <w:tcW w:w="3461" w:type="pct"/>
            <w:tcBorders>
              <w:tl2br w:val="nil"/>
              <w:tr2bl w:val="nil"/>
            </w:tcBorders>
            <w:noWrap w:val="0"/>
            <w:vAlign w:val="center"/>
          </w:tcPr>
          <w:p w14:paraId="02E1B045">
            <w:pPr>
              <w:pStyle w:val="245"/>
              <w:spacing w:line="240" w:lineRule="auto"/>
              <w:jc w:val="center"/>
              <w:rPr>
                <w:rFonts w:hint="eastAsia"/>
                <w:color w:val="auto"/>
                <w:highlight w:val="none"/>
              </w:rPr>
            </w:pPr>
            <w:r>
              <w:rPr>
                <w:rFonts w:hint="eastAsia"/>
                <w:color w:val="auto"/>
                <w:highlight w:val="none"/>
              </w:rPr>
              <w:t>密闭操作、注意通风；一般不需要特殊防护，建议特殊情况下佩戴防毒面具，必要时戴安全防护眼镜和防护手套，穿工作服。</w:t>
            </w:r>
          </w:p>
        </w:tc>
      </w:tr>
      <w:tr w14:paraId="339A468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340" w:hRule="atLeast"/>
          <w:jc w:val="center"/>
        </w:trPr>
        <w:tc>
          <w:tcPr>
            <w:tcW w:w="1537" w:type="pct"/>
            <w:gridSpan w:val="2"/>
            <w:tcBorders>
              <w:tl2br w:val="nil"/>
              <w:tr2bl w:val="nil"/>
            </w:tcBorders>
            <w:noWrap w:val="0"/>
            <w:vAlign w:val="center"/>
          </w:tcPr>
          <w:p w14:paraId="5850BCD3">
            <w:pPr>
              <w:pStyle w:val="245"/>
              <w:spacing w:line="240" w:lineRule="auto"/>
              <w:jc w:val="center"/>
              <w:rPr>
                <w:rFonts w:hint="eastAsia"/>
                <w:color w:val="auto"/>
                <w:highlight w:val="none"/>
              </w:rPr>
            </w:pPr>
            <w:r>
              <w:rPr>
                <w:rFonts w:hint="eastAsia"/>
                <w:color w:val="auto"/>
                <w:highlight w:val="none"/>
              </w:rPr>
              <w:t>泄漏处理</w:t>
            </w:r>
          </w:p>
        </w:tc>
        <w:tc>
          <w:tcPr>
            <w:tcW w:w="3461" w:type="pct"/>
            <w:tcBorders>
              <w:tl2br w:val="nil"/>
              <w:tr2bl w:val="nil"/>
            </w:tcBorders>
            <w:noWrap w:val="0"/>
            <w:vAlign w:val="center"/>
          </w:tcPr>
          <w:p w14:paraId="14C2362C">
            <w:pPr>
              <w:pStyle w:val="245"/>
              <w:spacing w:line="240" w:lineRule="auto"/>
              <w:jc w:val="center"/>
              <w:rPr>
                <w:rFonts w:hint="eastAsia"/>
                <w:color w:val="auto"/>
                <w:highlight w:val="none"/>
              </w:rPr>
            </w:pPr>
            <w:r>
              <w:rPr>
                <w:rFonts w:hint="eastAsia"/>
                <w:color w:val="auto"/>
                <w:highlight w:val="none"/>
              </w:rPr>
              <w:t>消除所有点火源.根据液体流动和蒸气扩散的影响区域划定警戒区。无关人员从侧风、上风向撒离至安全区。建议应急处理人员戴正压自给式呼吸器，穿防静电服。作业时使用的所有设备应接地，禁止接触或跨越泄漏物，尽可能切断泄漏源，防止泄漏物进入水体、下水道、地下室。少量泄漏，用砂土或其他不燃材料吸收。使用活净的秃灭花靖冥收集吸收材料。</w:t>
            </w:r>
          </w:p>
        </w:tc>
      </w:tr>
    </w:tbl>
    <w:p w14:paraId="17E50BCE">
      <w:pPr>
        <w:pStyle w:val="4"/>
        <w:spacing w:before="120" w:after="120"/>
        <w:rPr>
          <w:rFonts w:hint="eastAsia"/>
          <w:color w:val="auto"/>
          <w:highlight w:val="none"/>
          <w:lang w:val="en-US" w:eastAsia="zh-CN"/>
        </w:rPr>
      </w:pPr>
      <w:bookmarkStart w:id="194" w:name="_Toc15508"/>
      <w:r>
        <w:rPr>
          <w:rFonts w:hint="eastAsia"/>
          <w:color w:val="auto"/>
          <w:highlight w:val="none"/>
          <w:lang w:val="en-US" w:eastAsia="zh-CN"/>
        </w:rPr>
        <w:t>环境敏感目标调查</w:t>
      </w:r>
      <w:bookmarkEnd w:id="194"/>
    </w:p>
    <w:p w14:paraId="1EA689AF">
      <w:pPr>
        <w:ind w:firstLine="480"/>
        <w:rPr>
          <w:rFonts w:hint="eastAsia"/>
          <w:color w:val="auto"/>
          <w:highlight w:val="none"/>
          <w:lang w:val="en-US" w:eastAsia="zh-CN"/>
        </w:rPr>
      </w:pPr>
      <w:r>
        <w:rPr>
          <w:rFonts w:hint="eastAsia"/>
          <w:color w:val="auto"/>
          <w:highlight w:val="none"/>
          <w:lang w:val="en-US" w:eastAsia="zh-CN"/>
        </w:rPr>
        <w:t>根据本项目风向、地下水流向，结合周围环境保护目标，调查确定5km和500m范围内的居民为环境风险敏感目标。</w:t>
      </w:r>
    </w:p>
    <w:p w14:paraId="428376C0">
      <w:pPr>
        <w:pStyle w:val="199"/>
        <w:spacing w:before="120"/>
        <w:ind w:firstLine="480"/>
        <w:rPr>
          <w:rFonts w:hint="eastAsia"/>
          <w:color w:val="auto"/>
          <w:sz w:val="24"/>
          <w:highlight w:val="none"/>
        </w:rPr>
      </w:pPr>
    </w:p>
    <w:p w14:paraId="74FBA2F2">
      <w:pPr>
        <w:pStyle w:val="199"/>
        <w:spacing w:before="120"/>
        <w:ind w:firstLine="480"/>
        <w:rPr>
          <w:rFonts w:hint="eastAsia"/>
          <w:color w:val="auto"/>
          <w:sz w:val="24"/>
          <w:highlight w:val="none"/>
        </w:rPr>
      </w:pPr>
    </w:p>
    <w:p w14:paraId="5313FE8B">
      <w:pPr>
        <w:pStyle w:val="199"/>
        <w:spacing w:before="120"/>
        <w:ind w:firstLine="480"/>
        <w:rPr>
          <w:rFonts w:hint="eastAsia"/>
          <w:color w:val="auto"/>
          <w:sz w:val="24"/>
          <w:highlight w:val="none"/>
        </w:rPr>
      </w:pPr>
    </w:p>
    <w:p w14:paraId="250EE420">
      <w:pPr>
        <w:pStyle w:val="199"/>
        <w:keepNext w:val="0"/>
        <w:keepLines w:val="0"/>
        <w:pageBreakBefore w:val="0"/>
        <w:widowControl w:val="0"/>
        <w:kinsoku/>
        <w:wordWrap/>
        <w:overflowPunct/>
        <w:topLinePunct w:val="0"/>
        <w:autoSpaceDE/>
        <w:autoSpaceDN/>
        <w:bidi w:val="0"/>
        <w:adjustRightInd/>
        <w:snapToGrid/>
        <w:spacing w:before="120"/>
        <w:ind w:firstLine="0"/>
        <w:textAlignment w:val="auto"/>
        <w:rPr>
          <w:rFonts w:hint="eastAsia"/>
          <w:color w:val="auto"/>
          <w:sz w:val="24"/>
          <w:highlight w:val="none"/>
        </w:rPr>
      </w:pPr>
      <w:r>
        <w:rPr>
          <w:rFonts w:hint="eastAsia"/>
          <w:color w:val="auto"/>
          <w:sz w:val="24"/>
          <w:highlight w:val="none"/>
        </w:rPr>
        <w:t>表6.</w:t>
      </w:r>
      <w:r>
        <w:rPr>
          <w:rFonts w:hint="eastAsia"/>
          <w:color w:val="auto"/>
          <w:sz w:val="24"/>
          <w:highlight w:val="none"/>
          <w:lang w:val="en-US" w:eastAsia="zh-CN"/>
        </w:rPr>
        <w:t>3-1</w:t>
      </w:r>
      <w:r>
        <w:rPr>
          <w:rFonts w:hint="eastAsia"/>
          <w:color w:val="auto"/>
          <w:sz w:val="24"/>
          <w:highlight w:val="none"/>
        </w:rPr>
        <w:t xml:space="preserve">       </w:t>
      </w:r>
      <w:r>
        <w:rPr>
          <w:rFonts w:hint="eastAsia"/>
          <w:color w:val="auto"/>
          <w:sz w:val="24"/>
          <w:highlight w:val="none"/>
          <w:lang w:val="en-US" w:eastAsia="zh-CN"/>
        </w:rPr>
        <w:t>本</w:t>
      </w:r>
      <w:r>
        <w:rPr>
          <w:rFonts w:hint="eastAsia"/>
          <w:color w:val="auto"/>
          <w:sz w:val="24"/>
          <w:highlight w:val="none"/>
        </w:rPr>
        <w:t>项目周围敏感目标</w:t>
      </w:r>
    </w:p>
    <w:tbl>
      <w:tblPr>
        <w:tblStyle w:val="41"/>
        <w:tblW w:w="500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699"/>
        <w:gridCol w:w="487"/>
        <w:gridCol w:w="1666"/>
        <w:gridCol w:w="1042"/>
        <w:gridCol w:w="835"/>
        <w:gridCol w:w="1771"/>
        <w:gridCol w:w="1811"/>
      </w:tblGrid>
      <w:tr w14:paraId="17A434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tcBorders>
              <w:tl2br w:val="nil"/>
              <w:tr2bl w:val="nil"/>
            </w:tcBorders>
            <w:noWrap w:val="0"/>
            <w:vAlign w:val="center"/>
          </w:tcPr>
          <w:p w14:paraId="15B8580B">
            <w:pPr>
              <w:pStyle w:val="245"/>
              <w:spacing w:line="240" w:lineRule="auto"/>
              <w:jc w:val="center"/>
              <w:rPr>
                <w:rFonts w:hint="eastAsia"/>
                <w:color w:val="auto"/>
                <w:highlight w:val="none"/>
              </w:rPr>
            </w:pPr>
            <w:r>
              <w:rPr>
                <w:rFonts w:hint="eastAsia"/>
                <w:color w:val="auto"/>
                <w:highlight w:val="none"/>
              </w:rPr>
              <w:t>类别</w:t>
            </w:r>
          </w:p>
        </w:tc>
        <w:tc>
          <w:tcPr>
            <w:tcW w:w="4578" w:type="pct"/>
            <w:gridSpan w:val="6"/>
            <w:tcBorders>
              <w:tl2br w:val="nil"/>
              <w:tr2bl w:val="nil"/>
            </w:tcBorders>
            <w:noWrap w:val="0"/>
            <w:vAlign w:val="center"/>
          </w:tcPr>
          <w:p w14:paraId="4165F8E3">
            <w:pPr>
              <w:pStyle w:val="245"/>
              <w:spacing w:line="240" w:lineRule="auto"/>
              <w:jc w:val="center"/>
              <w:rPr>
                <w:rFonts w:hint="eastAsia"/>
                <w:color w:val="auto"/>
                <w:highlight w:val="none"/>
              </w:rPr>
            </w:pPr>
            <w:r>
              <w:rPr>
                <w:rFonts w:hint="eastAsia"/>
                <w:color w:val="auto"/>
                <w:highlight w:val="none"/>
              </w:rPr>
              <w:t>环境敏感特征</w:t>
            </w:r>
          </w:p>
        </w:tc>
      </w:tr>
      <w:tr w14:paraId="1851C0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restart"/>
            <w:tcBorders>
              <w:tl2br w:val="nil"/>
              <w:tr2bl w:val="nil"/>
            </w:tcBorders>
            <w:noWrap w:val="0"/>
            <w:vAlign w:val="center"/>
          </w:tcPr>
          <w:p w14:paraId="59827FB4">
            <w:pPr>
              <w:pStyle w:val="245"/>
              <w:spacing w:line="240" w:lineRule="auto"/>
              <w:jc w:val="center"/>
              <w:rPr>
                <w:rFonts w:hint="eastAsia"/>
                <w:color w:val="auto"/>
                <w:highlight w:val="none"/>
              </w:rPr>
            </w:pPr>
            <w:r>
              <w:rPr>
                <w:rFonts w:hint="eastAsia"/>
                <w:color w:val="auto"/>
                <w:highlight w:val="none"/>
              </w:rPr>
              <w:t>环境</w:t>
            </w:r>
          </w:p>
          <w:p w14:paraId="423EA801">
            <w:pPr>
              <w:pStyle w:val="245"/>
              <w:spacing w:line="240" w:lineRule="auto"/>
              <w:jc w:val="center"/>
              <w:rPr>
                <w:rFonts w:hint="eastAsia"/>
                <w:color w:val="auto"/>
                <w:highlight w:val="none"/>
              </w:rPr>
            </w:pPr>
            <w:r>
              <w:rPr>
                <w:rFonts w:hint="eastAsia"/>
                <w:color w:val="auto"/>
                <w:highlight w:val="none"/>
              </w:rPr>
              <w:t>空气</w:t>
            </w:r>
          </w:p>
        </w:tc>
        <w:tc>
          <w:tcPr>
            <w:tcW w:w="4578" w:type="pct"/>
            <w:gridSpan w:val="6"/>
            <w:tcBorders>
              <w:tl2br w:val="nil"/>
              <w:tr2bl w:val="nil"/>
            </w:tcBorders>
            <w:noWrap w:val="0"/>
            <w:vAlign w:val="center"/>
          </w:tcPr>
          <w:p w14:paraId="63A5F9A4">
            <w:pPr>
              <w:pStyle w:val="245"/>
              <w:spacing w:line="240" w:lineRule="auto"/>
              <w:jc w:val="center"/>
              <w:rPr>
                <w:rFonts w:hint="eastAsia"/>
                <w:color w:val="auto"/>
                <w:highlight w:val="none"/>
              </w:rPr>
            </w:pPr>
            <w:r>
              <w:rPr>
                <w:rFonts w:hint="eastAsia"/>
                <w:color w:val="auto"/>
                <w:highlight w:val="none"/>
              </w:rPr>
              <w:t>厂址周边5km范围内</w:t>
            </w:r>
          </w:p>
        </w:tc>
      </w:tr>
      <w:tr w14:paraId="627098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7C5B86E8">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7CA16731">
            <w:pPr>
              <w:pStyle w:val="245"/>
              <w:spacing w:line="240" w:lineRule="auto"/>
              <w:jc w:val="center"/>
              <w:rPr>
                <w:rFonts w:hint="eastAsia"/>
                <w:color w:val="auto"/>
                <w:highlight w:val="none"/>
              </w:rPr>
            </w:pPr>
            <w:r>
              <w:rPr>
                <w:rFonts w:hint="eastAsia"/>
                <w:color w:val="auto"/>
                <w:highlight w:val="none"/>
              </w:rPr>
              <w:t>序号</w:t>
            </w:r>
          </w:p>
        </w:tc>
        <w:tc>
          <w:tcPr>
            <w:tcW w:w="1002" w:type="pct"/>
            <w:tcBorders>
              <w:tl2br w:val="nil"/>
              <w:tr2bl w:val="nil"/>
            </w:tcBorders>
            <w:noWrap w:val="0"/>
            <w:vAlign w:val="center"/>
          </w:tcPr>
          <w:p w14:paraId="7AF44D10">
            <w:pPr>
              <w:pStyle w:val="245"/>
              <w:spacing w:line="240" w:lineRule="auto"/>
              <w:jc w:val="center"/>
              <w:rPr>
                <w:rFonts w:hint="eastAsia"/>
                <w:color w:val="auto"/>
                <w:highlight w:val="none"/>
              </w:rPr>
            </w:pPr>
            <w:r>
              <w:rPr>
                <w:rFonts w:hint="eastAsia"/>
                <w:color w:val="auto"/>
                <w:highlight w:val="none"/>
              </w:rPr>
              <w:t>敏感目标名称</w:t>
            </w:r>
          </w:p>
        </w:tc>
        <w:tc>
          <w:tcPr>
            <w:tcW w:w="627" w:type="pct"/>
            <w:tcBorders>
              <w:tl2br w:val="nil"/>
              <w:tr2bl w:val="nil"/>
            </w:tcBorders>
            <w:noWrap w:val="0"/>
            <w:vAlign w:val="center"/>
          </w:tcPr>
          <w:p w14:paraId="471EC0E7">
            <w:pPr>
              <w:pStyle w:val="245"/>
              <w:spacing w:line="240" w:lineRule="auto"/>
              <w:jc w:val="center"/>
              <w:rPr>
                <w:rFonts w:hint="eastAsia"/>
                <w:color w:val="auto"/>
                <w:highlight w:val="none"/>
              </w:rPr>
            </w:pPr>
            <w:r>
              <w:rPr>
                <w:rFonts w:hint="eastAsia"/>
                <w:color w:val="auto"/>
                <w:highlight w:val="none"/>
              </w:rPr>
              <w:t>相对方位</w:t>
            </w:r>
          </w:p>
        </w:tc>
        <w:tc>
          <w:tcPr>
            <w:tcW w:w="502" w:type="pct"/>
            <w:tcBorders>
              <w:tl2br w:val="nil"/>
              <w:tr2bl w:val="nil"/>
            </w:tcBorders>
            <w:noWrap w:val="0"/>
            <w:vAlign w:val="center"/>
          </w:tcPr>
          <w:p w14:paraId="1574C0C1">
            <w:pPr>
              <w:pStyle w:val="245"/>
              <w:spacing w:line="240" w:lineRule="auto"/>
              <w:jc w:val="center"/>
              <w:rPr>
                <w:rFonts w:hint="eastAsia"/>
                <w:color w:val="auto"/>
                <w:highlight w:val="none"/>
              </w:rPr>
            </w:pPr>
            <w:r>
              <w:rPr>
                <w:rFonts w:hint="eastAsia"/>
                <w:color w:val="auto"/>
                <w:highlight w:val="none"/>
              </w:rPr>
              <w:t>距离/km</w:t>
            </w:r>
          </w:p>
        </w:tc>
        <w:tc>
          <w:tcPr>
            <w:tcW w:w="1064" w:type="pct"/>
            <w:tcBorders>
              <w:tl2br w:val="nil"/>
              <w:tr2bl w:val="nil"/>
            </w:tcBorders>
            <w:noWrap w:val="0"/>
            <w:vAlign w:val="center"/>
          </w:tcPr>
          <w:p w14:paraId="45E0C6AA">
            <w:pPr>
              <w:pStyle w:val="245"/>
              <w:spacing w:line="240" w:lineRule="auto"/>
              <w:jc w:val="center"/>
              <w:rPr>
                <w:rFonts w:hint="eastAsia"/>
                <w:color w:val="auto"/>
                <w:highlight w:val="none"/>
              </w:rPr>
            </w:pPr>
            <w:r>
              <w:rPr>
                <w:rFonts w:hint="eastAsia"/>
                <w:color w:val="auto"/>
                <w:highlight w:val="none"/>
              </w:rPr>
              <w:t>属性</w:t>
            </w:r>
          </w:p>
        </w:tc>
        <w:tc>
          <w:tcPr>
            <w:tcW w:w="1088" w:type="pct"/>
            <w:tcBorders>
              <w:tl2br w:val="nil"/>
              <w:tr2bl w:val="nil"/>
            </w:tcBorders>
            <w:noWrap w:val="0"/>
            <w:vAlign w:val="center"/>
          </w:tcPr>
          <w:p w14:paraId="32D24483">
            <w:pPr>
              <w:pStyle w:val="245"/>
              <w:spacing w:line="240" w:lineRule="auto"/>
              <w:jc w:val="center"/>
              <w:rPr>
                <w:rFonts w:hint="eastAsia"/>
                <w:color w:val="auto"/>
                <w:highlight w:val="none"/>
              </w:rPr>
            </w:pPr>
            <w:r>
              <w:rPr>
                <w:rFonts w:hint="eastAsia"/>
                <w:color w:val="auto"/>
                <w:highlight w:val="none"/>
              </w:rPr>
              <w:t>人口数（人）</w:t>
            </w:r>
          </w:p>
        </w:tc>
      </w:tr>
      <w:tr w14:paraId="3DC08B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111CBF33">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0F78C574">
            <w:pPr>
              <w:pStyle w:val="245"/>
              <w:spacing w:line="240" w:lineRule="auto"/>
              <w:jc w:val="center"/>
              <w:rPr>
                <w:rFonts w:hint="eastAsia" w:eastAsia="宋体"/>
                <w:color w:val="auto"/>
                <w:highlight w:val="none"/>
                <w:lang w:eastAsia="zh-CN"/>
              </w:rPr>
            </w:pPr>
            <w:r>
              <w:rPr>
                <w:rFonts w:hint="eastAsia"/>
                <w:color w:val="auto"/>
                <w:highlight w:val="none"/>
                <w:lang w:val="en-US" w:eastAsia="zh-CN"/>
              </w:rPr>
              <w:t>1</w:t>
            </w:r>
          </w:p>
        </w:tc>
        <w:tc>
          <w:tcPr>
            <w:tcW w:w="1002" w:type="pct"/>
            <w:tcBorders>
              <w:tl2br w:val="nil"/>
              <w:tr2bl w:val="nil"/>
            </w:tcBorders>
            <w:noWrap w:val="0"/>
            <w:vAlign w:val="center"/>
          </w:tcPr>
          <w:p w14:paraId="2A75D0E7">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小羊场</w:t>
            </w:r>
          </w:p>
        </w:tc>
        <w:tc>
          <w:tcPr>
            <w:tcW w:w="627" w:type="pct"/>
            <w:tcBorders>
              <w:tl2br w:val="nil"/>
              <w:tr2bl w:val="nil"/>
            </w:tcBorders>
            <w:noWrap w:val="0"/>
            <w:vAlign w:val="center"/>
          </w:tcPr>
          <w:p w14:paraId="2870DA09">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NW</w:t>
            </w:r>
          </w:p>
        </w:tc>
        <w:tc>
          <w:tcPr>
            <w:tcW w:w="502" w:type="pct"/>
            <w:tcBorders>
              <w:tl2br w:val="nil"/>
              <w:tr2bl w:val="nil"/>
            </w:tcBorders>
            <w:noWrap w:val="0"/>
            <w:vAlign w:val="center"/>
          </w:tcPr>
          <w:p w14:paraId="1D47EF39">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3.63</w:t>
            </w:r>
          </w:p>
        </w:tc>
        <w:tc>
          <w:tcPr>
            <w:tcW w:w="1064" w:type="pct"/>
            <w:tcBorders>
              <w:tl2br w:val="nil"/>
              <w:tr2bl w:val="nil"/>
            </w:tcBorders>
            <w:noWrap w:val="0"/>
            <w:vAlign w:val="center"/>
          </w:tcPr>
          <w:p w14:paraId="62EE46B4">
            <w:pPr>
              <w:pStyle w:val="245"/>
              <w:spacing w:line="240" w:lineRule="auto"/>
              <w:jc w:val="center"/>
              <w:rPr>
                <w:rFonts w:hint="eastAsia"/>
                <w:color w:val="auto"/>
                <w:highlight w:val="none"/>
              </w:rPr>
            </w:pPr>
            <w:r>
              <w:rPr>
                <w:rFonts w:hint="eastAsia"/>
                <w:color w:val="auto"/>
                <w:highlight w:val="none"/>
              </w:rPr>
              <w:t>居住区</w:t>
            </w:r>
          </w:p>
        </w:tc>
        <w:tc>
          <w:tcPr>
            <w:tcW w:w="1088" w:type="pct"/>
            <w:tcBorders>
              <w:tl2br w:val="nil"/>
              <w:tr2bl w:val="nil"/>
            </w:tcBorders>
            <w:noWrap w:val="0"/>
            <w:vAlign w:val="center"/>
          </w:tcPr>
          <w:p w14:paraId="19887E11">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105</w:t>
            </w:r>
          </w:p>
        </w:tc>
      </w:tr>
      <w:tr w14:paraId="3497E7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0B100005">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21D74A94">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2</w:t>
            </w:r>
          </w:p>
        </w:tc>
        <w:tc>
          <w:tcPr>
            <w:tcW w:w="1002" w:type="pct"/>
            <w:tcBorders>
              <w:tl2br w:val="nil"/>
              <w:tr2bl w:val="nil"/>
            </w:tcBorders>
            <w:noWrap w:val="0"/>
            <w:vAlign w:val="top"/>
          </w:tcPr>
          <w:p w14:paraId="0B443690">
            <w:pPr>
              <w:pStyle w:val="318"/>
              <w:spacing w:before="169" w:line="220" w:lineRule="auto"/>
              <w:ind w:left="154" w:leftChars="0" w:firstLine="416" w:firstLineChars="200"/>
              <w:rPr>
                <w:rFonts w:hint="eastAsia" w:ascii="宋体" w:hAnsi="宋体" w:eastAsia="宋体" w:cs="宋体"/>
                <w:color w:val="auto"/>
                <w:kern w:val="2"/>
                <w:sz w:val="21"/>
                <w:szCs w:val="21"/>
                <w:highlight w:val="none"/>
                <w:lang w:val="en-US" w:eastAsia="en-US" w:bidi="ar-SA"/>
              </w:rPr>
            </w:pPr>
            <w:r>
              <w:rPr>
                <w:color w:val="auto"/>
                <w:spacing w:val="-1"/>
                <w:highlight w:val="none"/>
              </w:rPr>
              <w:t>干泡子</w:t>
            </w:r>
          </w:p>
        </w:tc>
        <w:tc>
          <w:tcPr>
            <w:tcW w:w="627" w:type="pct"/>
            <w:tcBorders>
              <w:tl2br w:val="nil"/>
              <w:tr2bl w:val="nil"/>
            </w:tcBorders>
            <w:noWrap w:val="0"/>
            <w:vAlign w:val="center"/>
          </w:tcPr>
          <w:p w14:paraId="1B8920C1">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w:t>
            </w:r>
          </w:p>
        </w:tc>
        <w:tc>
          <w:tcPr>
            <w:tcW w:w="502" w:type="pct"/>
            <w:tcBorders>
              <w:tl2br w:val="nil"/>
              <w:tr2bl w:val="nil"/>
            </w:tcBorders>
            <w:noWrap w:val="0"/>
            <w:vAlign w:val="center"/>
          </w:tcPr>
          <w:p w14:paraId="62229153">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4.29</w:t>
            </w:r>
          </w:p>
        </w:tc>
        <w:tc>
          <w:tcPr>
            <w:tcW w:w="1064" w:type="pct"/>
            <w:tcBorders>
              <w:tl2br w:val="nil"/>
              <w:tr2bl w:val="nil"/>
            </w:tcBorders>
            <w:noWrap w:val="0"/>
            <w:vAlign w:val="center"/>
          </w:tcPr>
          <w:p w14:paraId="26096B75">
            <w:pPr>
              <w:pStyle w:val="245"/>
              <w:spacing w:line="240" w:lineRule="auto"/>
              <w:jc w:val="center"/>
              <w:rPr>
                <w:rFonts w:hint="default" w:eastAsia="宋体"/>
                <w:color w:val="auto"/>
                <w:highlight w:val="none"/>
                <w:lang w:val="en-US" w:eastAsia="zh-CN"/>
              </w:rPr>
            </w:pPr>
            <w:r>
              <w:rPr>
                <w:rFonts w:hint="eastAsia"/>
                <w:color w:val="auto"/>
                <w:highlight w:val="none"/>
              </w:rPr>
              <w:t>居住区</w:t>
            </w:r>
          </w:p>
        </w:tc>
        <w:tc>
          <w:tcPr>
            <w:tcW w:w="1088" w:type="pct"/>
            <w:tcBorders>
              <w:tl2br w:val="nil"/>
              <w:tr2bl w:val="nil"/>
            </w:tcBorders>
            <w:noWrap w:val="0"/>
            <w:vAlign w:val="center"/>
          </w:tcPr>
          <w:p w14:paraId="01AF3BA1">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15</w:t>
            </w:r>
          </w:p>
        </w:tc>
      </w:tr>
      <w:tr w14:paraId="293A43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30ADEC0A">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768A628C">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3</w:t>
            </w:r>
          </w:p>
        </w:tc>
        <w:tc>
          <w:tcPr>
            <w:tcW w:w="1002" w:type="pct"/>
            <w:tcBorders>
              <w:tl2br w:val="nil"/>
              <w:tr2bl w:val="nil"/>
            </w:tcBorders>
            <w:noWrap w:val="0"/>
            <w:vAlign w:val="top"/>
          </w:tcPr>
          <w:p w14:paraId="47C55E26">
            <w:pPr>
              <w:pStyle w:val="318"/>
              <w:spacing w:before="169" w:line="228" w:lineRule="auto"/>
              <w:ind w:left="260" w:leftChars="0" w:firstLine="412" w:firstLineChars="200"/>
              <w:rPr>
                <w:rFonts w:hint="eastAsia" w:ascii="宋体" w:hAnsi="宋体" w:eastAsia="宋体" w:cs="宋体"/>
                <w:color w:val="auto"/>
                <w:kern w:val="2"/>
                <w:sz w:val="21"/>
                <w:szCs w:val="21"/>
                <w:highlight w:val="none"/>
                <w:lang w:val="en-US" w:eastAsia="en-US" w:bidi="ar-SA"/>
              </w:rPr>
            </w:pPr>
            <w:r>
              <w:rPr>
                <w:color w:val="auto"/>
                <w:spacing w:val="-2"/>
                <w:highlight w:val="none"/>
              </w:rPr>
              <w:t>澄口</w:t>
            </w:r>
          </w:p>
        </w:tc>
        <w:tc>
          <w:tcPr>
            <w:tcW w:w="627" w:type="pct"/>
            <w:tcBorders>
              <w:tl2br w:val="nil"/>
              <w:tr2bl w:val="nil"/>
            </w:tcBorders>
            <w:noWrap w:val="0"/>
            <w:vAlign w:val="center"/>
          </w:tcPr>
          <w:p w14:paraId="1496DFF5">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w:t>
            </w:r>
          </w:p>
        </w:tc>
        <w:tc>
          <w:tcPr>
            <w:tcW w:w="502" w:type="pct"/>
            <w:tcBorders>
              <w:tl2br w:val="nil"/>
              <w:tr2bl w:val="nil"/>
            </w:tcBorders>
            <w:noWrap w:val="0"/>
            <w:vAlign w:val="center"/>
          </w:tcPr>
          <w:p w14:paraId="6853283E">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4.77</w:t>
            </w:r>
          </w:p>
        </w:tc>
        <w:tc>
          <w:tcPr>
            <w:tcW w:w="1064" w:type="pct"/>
            <w:tcBorders>
              <w:tl2br w:val="nil"/>
              <w:tr2bl w:val="nil"/>
            </w:tcBorders>
            <w:noWrap w:val="0"/>
            <w:vAlign w:val="center"/>
          </w:tcPr>
          <w:p w14:paraId="490DD190">
            <w:pPr>
              <w:pStyle w:val="245"/>
              <w:spacing w:line="240" w:lineRule="auto"/>
              <w:jc w:val="center"/>
              <w:rPr>
                <w:rFonts w:hint="eastAsia"/>
                <w:color w:val="auto"/>
                <w:highlight w:val="none"/>
              </w:rPr>
            </w:pPr>
            <w:r>
              <w:rPr>
                <w:rFonts w:hint="eastAsia"/>
                <w:color w:val="auto"/>
                <w:highlight w:val="none"/>
              </w:rPr>
              <w:t>居住区</w:t>
            </w:r>
          </w:p>
        </w:tc>
        <w:tc>
          <w:tcPr>
            <w:tcW w:w="1088" w:type="pct"/>
            <w:tcBorders>
              <w:tl2br w:val="nil"/>
              <w:tr2bl w:val="nil"/>
            </w:tcBorders>
            <w:noWrap w:val="0"/>
            <w:vAlign w:val="center"/>
          </w:tcPr>
          <w:p w14:paraId="09EB8D6C">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153</w:t>
            </w:r>
          </w:p>
        </w:tc>
      </w:tr>
      <w:tr w14:paraId="5429E5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25F4B9C0">
            <w:pPr>
              <w:pStyle w:val="245"/>
              <w:spacing w:line="240" w:lineRule="auto"/>
              <w:jc w:val="center"/>
              <w:rPr>
                <w:rFonts w:hint="eastAsia"/>
                <w:color w:val="auto"/>
                <w:highlight w:val="none"/>
              </w:rPr>
            </w:pPr>
          </w:p>
        </w:tc>
        <w:tc>
          <w:tcPr>
            <w:tcW w:w="3489" w:type="pct"/>
            <w:gridSpan w:val="5"/>
            <w:tcBorders>
              <w:tl2br w:val="nil"/>
              <w:tr2bl w:val="nil"/>
            </w:tcBorders>
            <w:noWrap w:val="0"/>
            <w:vAlign w:val="center"/>
          </w:tcPr>
          <w:p w14:paraId="22C3F48E">
            <w:pPr>
              <w:pStyle w:val="245"/>
              <w:spacing w:line="240" w:lineRule="auto"/>
              <w:jc w:val="center"/>
              <w:rPr>
                <w:rFonts w:hint="eastAsia"/>
                <w:color w:val="auto"/>
                <w:highlight w:val="none"/>
              </w:rPr>
            </w:pPr>
            <w:r>
              <w:rPr>
                <w:rFonts w:hint="eastAsia"/>
                <w:color w:val="auto"/>
                <w:highlight w:val="none"/>
              </w:rPr>
              <w:t>厂址周边500m范围内人口数小计</w:t>
            </w:r>
          </w:p>
        </w:tc>
        <w:tc>
          <w:tcPr>
            <w:tcW w:w="1088" w:type="pct"/>
            <w:tcBorders>
              <w:tl2br w:val="nil"/>
              <w:tr2bl w:val="nil"/>
            </w:tcBorders>
            <w:noWrap w:val="0"/>
            <w:vAlign w:val="center"/>
          </w:tcPr>
          <w:p w14:paraId="0962CFF5">
            <w:pPr>
              <w:pStyle w:val="245"/>
              <w:spacing w:line="240" w:lineRule="auto"/>
              <w:jc w:val="center"/>
              <w:rPr>
                <w:rFonts w:hint="eastAsia"/>
                <w:color w:val="auto"/>
                <w:highlight w:val="none"/>
              </w:rPr>
            </w:pPr>
            <w:r>
              <w:rPr>
                <w:rFonts w:hint="eastAsia"/>
                <w:color w:val="auto"/>
                <w:highlight w:val="none"/>
              </w:rPr>
              <w:t>0人</w:t>
            </w:r>
          </w:p>
        </w:tc>
      </w:tr>
      <w:tr w14:paraId="3BCB9C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23907604">
            <w:pPr>
              <w:pStyle w:val="245"/>
              <w:spacing w:line="240" w:lineRule="auto"/>
              <w:jc w:val="center"/>
              <w:rPr>
                <w:rFonts w:hint="eastAsia"/>
                <w:color w:val="auto"/>
                <w:highlight w:val="none"/>
              </w:rPr>
            </w:pPr>
          </w:p>
        </w:tc>
        <w:tc>
          <w:tcPr>
            <w:tcW w:w="3489" w:type="pct"/>
            <w:gridSpan w:val="5"/>
            <w:tcBorders>
              <w:tl2br w:val="nil"/>
              <w:tr2bl w:val="nil"/>
            </w:tcBorders>
            <w:noWrap w:val="0"/>
            <w:vAlign w:val="center"/>
          </w:tcPr>
          <w:p w14:paraId="7BC86E43">
            <w:pPr>
              <w:pStyle w:val="245"/>
              <w:spacing w:line="240" w:lineRule="auto"/>
              <w:jc w:val="center"/>
              <w:rPr>
                <w:rFonts w:hint="eastAsia"/>
                <w:color w:val="auto"/>
                <w:highlight w:val="none"/>
              </w:rPr>
            </w:pPr>
            <w:r>
              <w:rPr>
                <w:rFonts w:hint="eastAsia"/>
                <w:color w:val="auto"/>
                <w:highlight w:val="none"/>
              </w:rPr>
              <w:t>厂址周边5km范围内人口数小计</w:t>
            </w:r>
          </w:p>
        </w:tc>
        <w:tc>
          <w:tcPr>
            <w:tcW w:w="1088" w:type="pct"/>
            <w:tcBorders>
              <w:tl2br w:val="nil"/>
              <w:tr2bl w:val="nil"/>
            </w:tcBorders>
            <w:noWrap w:val="0"/>
            <w:vAlign w:val="center"/>
          </w:tcPr>
          <w:p w14:paraId="74CA7A25">
            <w:pPr>
              <w:pStyle w:val="245"/>
              <w:spacing w:line="240" w:lineRule="auto"/>
              <w:jc w:val="center"/>
              <w:rPr>
                <w:rFonts w:hint="eastAsia"/>
                <w:color w:val="auto"/>
                <w:highlight w:val="none"/>
              </w:rPr>
            </w:pPr>
            <w:r>
              <w:rPr>
                <w:rFonts w:hint="eastAsia"/>
                <w:color w:val="auto"/>
                <w:highlight w:val="none"/>
                <w:lang w:val="en-US" w:eastAsia="zh-CN"/>
              </w:rPr>
              <w:t>273</w:t>
            </w:r>
            <w:r>
              <w:rPr>
                <w:rFonts w:hint="eastAsia"/>
                <w:color w:val="auto"/>
                <w:highlight w:val="none"/>
              </w:rPr>
              <w:t>人</w:t>
            </w:r>
          </w:p>
        </w:tc>
      </w:tr>
      <w:tr w14:paraId="73567D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50137180">
            <w:pPr>
              <w:pStyle w:val="245"/>
              <w:spacing w:line="240" w:lineRule="auto"/>
              <w:jc w:val="center"/>
              <w:rPr>
                <w:rFonts w:hint="eastAsia"/>
                <w:color w:val="auto"/>
                <w:highlight w:val="none"/>
              </w:rPr>
            </w:pPr>
          </w:p>
        </w:tc>
        <w:tc>
          <w:tcPr>
            <w:tcW w:w="4578" w:type="pct"/>
            <w:gridSpan w:val="6"/>
            <w:tcBorders>
              <w:tl2br w:val="nil"/>
              <w:tr2bl w:val="nil"/>
            </w:tcBorders>
            <w:noWrap w:val="0"/>
            <w:vAlign w:val="center"/>
          </w:tcPr>
          <w:p w14:paraId="507E7BFA">
            <w:pPr>
              <w:pStyle w:val="245"/>
              <w:spacing w:line="240" w:lineRule="auto"/>
              <w:jc w:val="center"/>
              <w:rPr>
                <w:rFonts w:hint="eastAsia"/>
                <w:color w:val="auto"/>
                <w:highlight w:val="none"/>
              </w:rPr>
            </w:pPr>
            <w:r>
              <w:rPr>
                <w:rFonts w:hint="eastAsia"/>
                <w:color w:val="auto"/>
                <w:highlight w:val="none"/>
              </w:rPr>
              <w:t>管段周边200m范围内</w:t>
            </w:r>
          </w:p>
        </w:tc>
      </w:tr>
      <w:tr w14:paraId="3161FB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77B03D7B">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2968A4D7">
            <w:pPr>
              <w:pStyle w:val="245"/>
              <w:spacing w:line="240" w:lineRule="auto"/>
              <w:jc w:val="center"/>
              <w:rPr>
                <w:rFonts w:hint="eastAsia"/>
                <w:color w:val="auto"/>
                <w:highlight w:val="none"/>
              </w:rPr>
            </w:pPr>
            <w:r>
              <w:rPr>
                <w:rFonts w:hint="eastAsia"/>
                <w:color w:val="auto"/>
                <w:highlight w:val="none"/>
              </w:rPr>
              <w:t>序号</w:t>
            </w:r>
          </w:p>
        </w:tc>
        <w:tc>
          <w:tcPr>
            <w:tcW w:w="1002" w:type="pct"/>
            <w:tcBorders>
              <w:tl2br w:val="nil"/>
              <w:tr2bl w:val="nil"/>
            </w:tcBorders>
            <w:noWrap w:val="0"/>
            <w:vAlign w:val="center"/>
          </w:tcPr>
          <w:p w14:paraId="17E6181C">
            <w:pPr>
              <w:pStyle w:val="245"/>
              <w:spacing w:line="240" w:lineRule="auto"/>
              <w:jc w:val="center"/>
              <w:rPr>
                <w:rFonts w:hint="eastAsia"/>
                <w:color w:val="auto"/>
                <w:highlight w:val="none"/>
              </w:rPr>
            </w:pPr>
            <w:r>
              <w:rPr>
                <w:rFonts w:hint="eastAsia"/>
                <w:color w:val="auto"/>
                <w:highlight w:val="none"/>
              </w:rPr>
              <w:t>敏感目标名称</w:t>
            </w:r>
          </w:p>
        </w:tc>
        <w:tc>
          <w:tcPr>
            <w:tcW w:w="627" w:type="pct"/>
            <w:tcBorders>
              <w:tl2br w:val="nil"/>
              <w:tr2bl w:val="nil"/>
            </w:tcBorders>
            <w:noWrap w:val="0"/>
            <w:vAlign w:val="center"/>
          </w:tcPr>
          <w:p w14:paraId="4325DDA9">
            <w:pPr>
              <w:pStyle w:val="245"/>
              <w:spacing w:line="240" w:lineRule="auto"/>
              <w:jc w:val="center"/>
              <w:rPr>
                <w:rFonts w:hint="eastAsia"/>
                <w:color w:val="auto"/>
                <w:highlight w:val="none"/>
              </w:rPr>
            </w:pPr>
            <w:r>
              <w:rPr>
                <w:rFonts w:hint="eastAsia"/>
                <w:color w:val="auto"/>
                <w:highlight w:val="none"/>
              </w:rPr>
              <w:t>相对方位</w:t>
            </w:r>
          </w:p>
        </w:tc>
        <w:tc>
          <w:tcPr>
            <w:tcW w:w="502" w:type="pct"/>
            <w:tcBorders>
              <w:tl2br w:val="nil"/>
              <w:tr2bl w:val="nil"/>
            </w:tcBorders>
            <w:noWrap w:val="0"/>
            <w:vAlign w:val="center"/>
          </w:tcPr>
          <w:p w14:paraId="0920ECD8">
            <w:pPr>
              <w:pStyle w:val="245"/>
              <w:spacing w:line="240" w:lineRule="auto"/>
              <w:jc w:val="center"/>
              <w:rPr>
                <w:rFonts w:hint="eastAsia"/>
                <w:color w:val="auto"/>
                <w:highlight w:val="none"/>
              </w:rPr>
            </w:pPr>
            <w:r>
              <w:rPr>
                <w:rFonts w:hint="eastAsia"/>
                <w:color w:val="auto"/>
                <w:highlight w:val="none"/>
              </w:rPr>
              <w:t>距离/m</w:t>
            </w:r>
          </w:p>
        </w:tc>
        <w:tc>
          <w:tcPr>
            <w:tcW w:w="1064" w:type="pct"/>
            <w:tcBorders>
              <w:tl2br w:val="nil"/>
              <w:tr2bl w:val="nil"/>
            </w:tcBorders>
            <w:noWrap w:val="0"/>
            <w:vAlign w:val="center"/>
          </w:tcPr>
          <w:p w14:paraId="42850465">
            <w:pPr>
              <w:pStyle w:val="245"/>
              <w:spacing w:line="240" w:lineRule="auto"/>
              <w:jc w:val="center"/>
              <w:rPr>
                <w:rFonts w:hint="eastAsia"/>
                <w:color w:val="auto"/>
                <w:highlight w:val="none"/>
              </w:rPr>
            </w:pPr>
            <w:r>
              <w:rPr>
                <w:rFonts w:hint="eastAsia"/>
                <w:color w:val="auto"/>
                <w:highlight w:val="none"/>
              </w:rPr>
              <w:t>属性</w:t>
            </w:r>
          </w:p>
        </w:tc>
        <w:tc>
          <w:tcPr>
            <w:tcW w:w="1088" w:type="pct"/>
            <w:tcBorders>
              <w:tl2br w:val="nil"/>
              <w:tr2bl w:val="nil"/>
            </w:tcBorders>
            <w:noWrap w:val="0"/>
            <w:vAlign w:val="center"/>
          </w:tcPr>
          <w:p w14:paraId="5BE5F107">
            <w:pPr>
              <w:pStyle w:val="245"/>
              <w:spacing w:line="240" w:lineRule="auto"/>
              <w:jc w:val="center"/>
              <w:rPr>
                <w:rFonts w:hint="eastAsia"/>
                <w:color w:val="auto"/>
                <w:highlight w:val="none"/>
              </w:rPr>
            </w:pPr>
            <w:r>
              <w:rPr>
                <w:rFonts w:hint="eastAsia"/>
                <w:color w:val="auto"/>
                <w:highlight w:val="none"/>
              </w:rPr>
              <w:t>人口数（人）</w:t>
            </w:r>
          </w:p>
        </w:tc>
      </w:tr>
      <w:tr w14:paraId="182BE9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17EF86CB">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4A962A57">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1</w:t>
            </w:r>
          </w:p>
        </w:tc>
        <w:tc>
          <w:tcPr>
            <w:tcW w:w="1002" w:type="pct"/>
            <w:tcBorders>
              <w:tl2br w:val="nil"/>
              <w:tr2bl w:val="nil"/>
            </w:tcBorders>
            <w:noWrap w:val="0"/>
            <w:vAlign w:val="center"/>
          </w:tcPr>
          <w:p w14:paraId="677475D5">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c>
          <w:tcPr>
            <w:tcW w:w="627" w:type="pct"/>
            <w:tcBorders>
              <w:tl2br w:val="nil"/>
              <w:tr2bl w:val="nil"/>
            </w:tcBorders>
            <w:noWrap w:val="0"/>
            <w:vAlign w:val="center"/>
          </w:tcPr>
          <w:p w14:paraId="7BD3A4FF">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c>
          <w:tcPr>
            <w:tcW w:w="502" w:type="pct"/>
            <w:tcBorders>
              <w:tl2br w:val="nil"/>
              <w:tr2bl w:val="nil"/>
            </w:tcBorders>
            <w:noWrap w:val="0"/>
            <w:vAlign w:val="center"/>
          </w:tcPr>
          <w:p w14:paraId="43138C79">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c>
          <w:tcPr>
            <w:tcW w:w="1064" w:type="pct"/>
            <w:tcBorders>
              <w:tl2br w:val="nil"/>
              <w:tr2bl w:val="nil"/>
            </w:tcBorders>
            <w:noWrap w:val="0"/>
            <w:vAlign w:val="center"/>
          </w:tcPr>
          <w:p w14:paraId="23B3C5DA">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c>
          <w:tcPr>
            <w:tcW w:w="1088" w:type="pct"/>
            <w:tcBorders>
              <w:tl2br w:val="nil"/>
              <w:tr2bl w:val="nil"/>
            </w:tcBorders>
            <w:noWrap w:val="0"/>
            <w:vAlign w:val="center"/>
          </w:tcPr>
          <w:p w14:paraId="2F48C110">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r>
      <w:tr w14:paraId="68F516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29C8BCC6">
            <w:pPr>
              <w:pStyle w:val="245"/>
              <w:spacing w:line="240" w:lineRule="auto"/>
              <w:jc w:val="center"/>
              <w:rPr>
                <w:rFonts w:hint="eastAsia"/>
                <w:color w:val="auto"/>
                <w:highlight w:val="none"/>
              </w:rPr>
            </w:pPr>
          </w:p>
        </w:tc>
        <w:tc>
          <w:tcPr>
            <w:tcW w:w="3489" w:type="pct"/>
            <w:gridSpan w:val="5"/>
            <w:tcBorders>
              <w:tl2br w:val="nil"/>
              <w:tr2bl w:val="nil"/>
            </w:tcBorders>
            <w:noWrap w:val="0"/>
            <w:vAlign w:val="center"/>
          </w:tcPr>
          <w:p w14:paraId="7912B875">
            <w:pPr>
              <w:pStyle w:val="245"/>
              <w:spacing w:line="240" w:lineRule="auto"/>
              <w:jc w:val="center"/>
              <w:rPr>
                <w:rFonts w:hint="eastAsia"/>
                <w:color w:val="auto"/>
                <w:highlight w:val="none"/>
              </w:rPr>
            </w:pPr>
            <w:r>
              <w:rPr>
                <w:rFonts w:hint="eastAsia"/>
                <w:color w:val="auto"/>
                <w:highlight w:val="none"/>
              </w:rPr>
              <w:t>大气环境敏感程度E值</w:t>
            </w:r>
          </w:p>
        </w:tc>
        <w:tc>
          <w:tcPr>
            <w:tcW w:w="1088" w:type="pct"/>
            <w:tcBorders>
              <w:tl2br w:val="nil"/>
              <w:tr2bl w:val="nil"/>
            </w:tcBorders>
            <w:noWrap w:val="0"/>
            <w:vAlign w:val="center"/>
          </w:tcPr>
          <w:p w14:paraId="0EA4DFFB">
            <w:pPr>
              <w:pStyle w:val="245"/>
              <w:spacing w:line="240" w:lineRule="auto"/>
              <w:jc w:val="center"/>
              <w:rPr>
                <w:rFonts w:hint="eastAsia"/>
                <w:color w:val="auto"/>
                <w:highlight w:val="none"/>
              </w:rPr>
            </w:pPr>
            <w:r>
              <w:rPr>
                <w:rFonts w:hint="eastAsia"/>
                <w:color w:val="auto"/>
                <w:highlight w:val="none"/>
              </w:rPr>
              <w:t>E3</w:t>
            </w:r>
          </w:p>
        </w:tc>
      </w:tr>
      <w:tr w14:paraId="3B445B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restart"/>
            <w:tcBorders>
              <w:tl2br w:val="nil"/>
              <w:tr2bl w:val="nil"/>
            </w:tcBorders>
            <w:noWrap w:val="0"/>
            <w:vAlign w:val="center"/>
          </w:tcPr>
          <w:p w14:paraId="632AEF96">
            <w:pPr>
              <w:pStyle w:val="245"/>
              <w:spacing w:line="240" w:lineRule="auto"/>
              <w:jc w:val="center"/>
              <w:rPr>
                <w:rFonts w:hint="eastAsia"/>
                <w:color w:val="auto"/>
                <w:highlight w:val="none"/>
              </w:rPr>
            </w:pPr>
            <w:r>
              <w:rPr>
                <w:rFonts w:hint="eastAsia"/>
                <w:color w:val="auto"/>
                <w:highlight w:val="none"/>
              </w:rPr>
              <w:t>地表水</w:t>
            </w:r>
          </w:p>
        </w:tc>
        <w:tc>
          <w:tcPr>
            <w:tcW w:w="4578" w:type="pct"/>
            <w:gridSpan w:val="6"/>
            <w:tcBorders>
              <w:tl2br w:val="nil"/>
              <w:tr2bl w:val="nil"/>
            </w:tcBorders>
            <w:noWrap w:val="0"/>
            <w:vAlign w:val="center"/>
          </w:tcPr>
          <w:p w14:paraId="38BD4DA7">
            <w:pPr>
              <w:pStyle w:val="245"/>
              <w:spacing w:line="240" w:lineRule="auto"/>
              <w:jc w:val="center"/>
              <w:rPr>
                <w:rFonts w:hint="eastAsia"/>
                <w:color w:val="auto"/>
                <w:highlight w:val="none"/>
              </w:rPr>
            </w:pPr>
            <w:r>
              <w:rPr>
                <w:rFonts w:hint="eastAsia"/>
                <w:color w:val="auto"/>
                <w:highlight w:val="none"/>
              </w:rPr>
              <w:t>受纳水体</w:t>
            </w:r>
          </w:p>
        </w:tc>
      </w:tr>
      <w:tr w14:paraId="141CF1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6438746F">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7D277DF9">
            <w:pPr>
              <w:pStyle w:val="245"/>
              <w:spacing w:line="240" w:lineRule="auto"/>
              <w:jc w:val="center"/>
              <w:rPr>
                <w:rFonts w:hint="eastAsia"/>
                <w:color w:val="auto"/>
                <w:highlight w:val="none"/>
              </w:rPr>
            </w:pPr>
            <w:r>
              <w:rPr>
                <w:rFonts w:hint="eastAsia"/>
                <w:color w:val="auto"/>
                <w:highlight w:val="none"/>
              </w:rPr>
              <w:t>序号</w:t>
            </w:r>
          </w:p>
        </w:tc>
        <w:tc>
          <w:tcPr>
            <w:tcW w:w="1629" w:type="pct"/>
            <w:gridSpan w:val="2"/>
            <w:tcBorders>
              <w:tl2br w:val="nil"/>
              <w:tr2bl w:val="nil"/>
            </w:tcBorders>
            <w:noWrap w:val="0"/>
            <w:vAlign w:val="center"/>
          </w:tcPr>
          <w:p w14:paraId="091DF8F8">
            <w:pPr>
              <w:pStyle w:val="245"/>
              <w:spacing w:line="240" w:lineRule="auto"/>
              <w:jc w:val="center"/>
              <w:rPr>
                <w:rFonts w:hint="eastAsia"/>
                <w:color w:val="auto"/>
                <w:highlight w:val="none"/>
              </w:rPr>
            </w:pPr>
            <w:r>
              <w:rPr>
                <w:rFonts w:hint="eastAsia"/>
                <w:color w:val="auto"/>
                <w:highlight w:val="none"/>
              </w:rPr>
              <w:t>受纳水体名称</w:t>
            </w:r>
          </w:p>
        </w:tc>
        <w:tc>
          <w:tcPr>
            <w:tcW w:w="1566" w:type="pct"/>
            <w:gridSpan w:val="2"/>
            <w:tcBorders>
              <w:tl2br w:val="nil"/>
              <w:tr2bl w:val="nil"/>
            </w:tcBorders>
            <w:noWrap w:val="0"/>
            <w:vAlign w:val="center"/>
          </w:tcPr>
          <w:p w14:paraId="0512D011">
            <w:pPr>
              <w:pStyle w:val="245"/>
              <w:spacing w:line="240" w:lineRule="auto"/>
              <w:jc w:val="center"/>
              <w:rPr>
                <w:rFonts w:hint="eastAsia"/>
                <w:color w:val="auto"/>
                <w:highlight w:val="none"/>
              </w:rPr>
            </w:pPr>
            <w:r>
              <w:rPr>
                <w:rFonts w:hint="eastAsia"/>
                <w:color w:val="auto"/>
                <w:highlight w:val="none"/>
              </w:rPr>
              <w:t>排放点水域环境功能</w:t>
            </w:r>
          </w:p>
        </w:tc>
        <w:tc>
          <w:tcPr>
            <w:tcW w:w="1088" w:type="pct"/>
            <w:tcBorders>
              <w:tl2br w:val="nil"/>
              <w:tr2bl w:val="nil"/>
            </w:tcBorders>
            <w:noWrap w:val="0"/>
            <w:vAlign w:val="center"/>
          </w:tcPr>
          <w:p w14:paraId="46AB028B">
            <w:pPr>
              <w:pStyle w:val="245"/>
              <w:spacing w:line="240" w:lineRule="auto"/>
              <w:jc w:val="center"/>
              <w:rPr>
                <w:rFonts w:hint="eastAsia"/>
                <w:color w:val="auto"/>
                <w:highlight w:val="none"/>
              </w:rPr>
            </w:pPr>
            <w:r>
              <w:rPr>
                <w:rFonts w:hint="eastAsia"/>
                <w:color w:val="auto"/>
                <w:highlight w:val="none"/>
              </w:rPr>
              <w:t>24h内流经范围/km</w:t>
            </w:r>
          </w:p>
        </w:tc>
      </w:tr>
      <w:tr w14:paraId="15575A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190D9A9D">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278B9C1E">
            <w:pPr>
              <w:pStyle w:val="245"/>
              <w:spacing w:line="240" w:lineRule="auto"/>
              <w:jc w:val="center"/>
              <w:rPr>
                <w:rFonts w:hint="eastAsia"/>
                <w:color w:val="auto"/>
                <w:highlight w:val="none"/>
              </w:rPr>
            </w:pPr>
            <w:r>
              <w:rPr>
                <w:rFonts w:hint="eastAsia"/>
                <w:color w:val="auto"/>
                <w:highlight w:val="none"/>
              </w:rPr>
              <w:t>1</w:t>
            </w:r>
          </w:p>
        </w:tc>
        <w:tc>
          <w:tcPr>
            <w:tcW w:w="1629" w:type="pct"/>
            <w:gridSpan w:val="2"/>
            <w:tcBorders>
              <w:tl2br w:val="nil"/>
              <w:tr2bl w:val="nil"/>
            </w:tcBorders>
            <w:noWrap w:val="0"/>
            <w:vAlign w:val="center"/>
          </w:tcPr>
          <w:p w14:paraId="05E0AE87">
            <w:pPr>
              <w:pStyle w:val="245"/>
              <w:spacing w:line="240" w:lineRule="auto"/>
              <w:jc w:val="center"/>
              <w:rPr>
                <w:rFonts w:hint="eastAsia"/>
                <w:color w:val="auto"/>
                <w:highlight w:val="none"/>
              </w:rPr>
            </w:pPr>
            <w:r>
              <w:rPr>
                <w:rFonts w:hint="eastAsia"/>
                <w:color w:val="auto"/>
                <w:highlight w:val="none"/>
              </w:rPr>
              <w:t>/</w:t>
            </w:r>
          </w:p>
        </w:tc>
        <w:tc>
          <w:tcPr>
            <w:tcW w:w="1566" w:type="pct"/>
            <w:gridSpan w:val="2"/>
            <w:tcBorders>
              <w:tl2br w:val="nil"/>
              <w:tr2bl w:val="nil"/>
            </w:tcBorders>
            <w:noWrap w:val="0"/>
            <w:vAlign w:val="center"/>
          </w:tcPr>
          <w:p w14:paraId="61F73520">
            <w:pPr>
              <w:pStyle w:val="245"/>
              <w:spacing w:line="240" w:lineRule="auto"/>
              <w:jc w:val="center"/>
              <w:rPr>
                <w:rFonts w:hint="eastAsia"/>
                <w:color w:val="auto"/>
                <w:highlight w:val="none"/>
              </w:rPr>
            </w:pPr>
            <w:r>
              <w:rPr>
                <w:rFonts w:hint="eastAsia"/>
                <w:color w:val="auto"/>
                <w:highlight w:val="none"/>
              </w:rPr>
              <w:t>/</w:t>
            </w:r>
          </w:p>
        </w:tc>
        <w:tc>
          <w:tcPr>
            <w:tcW w:w="1088" w:type="pct"/>
            <w:tcBorders>
              <w:tl2br w:val="nil"/>
              <w:tr2bl w:val="nil"/>
            </w:tcBorders>
            <w:noWrap w:val="0"/>
            <w:vAlign w:val="center"/>
          </w:tcPr>
          <w:p w14:paraId="43207D70">
            <w:pPr>
              <w:pStyle w:val="245"/>
              <w:spacing w:line="240" w:lineRule="auto"/>
              <w:jc w:val="center"/>
              <w:rPr>
                <w:rFonts w:hint="eastAsia"/>
                <w:color w:val="auto"/>
                <w:highlight w:val="none"/>
              </w:rPr>
            </w:pPr>
            <w:r>
              <w:rPr>
                <w:rFonts w:hint="eastAsia"/>
                <w:color w:val="auto"/>
                <w:highlight w:val="none"/>
              </w:rPr>
              <w:t>/</w:t>
            </w:r>
          </w:p>
        </w:tc>
      </w:tr>
      <w:tr w14:paraId="3EA8FA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69C1F8AE">
            <w:pPr>
              <w:pStyle w:val="245"/>
              <w:spacing w:line="240" w:lineRule="auto"/>
              <w:jc w:val="center"/>
              <w:rPr>
                <w:rFonts w:hint="eastAsia"/>
                <w:color w:val="auto"/>
                <w:highlight w:val="none"/>
              </w:rPr>
            </w:pPr>
          </w:p>
        </w:tc>
        <w:tc>
          <w:tcPr>
            <w:tcW w:w="3489" w:type="pct"/>
            <w:gridSpan w:val="5"/>
            <w:tcBorders>
              <w:tl2br w:val="nil"/>
              <w:tr2bl w:val="nil"/>
            </w:tcBorders>
            <w:noWrap w:val="0"/>
            <w:vAlign w:val="center"/>
          </w:tcPr>
          <w:p w14:paraId="05FF4741">
            <w:pPr>
              <w:pStyle w:val="245"/>
              <w:spacing w:line="240" w:lineRule="auto"/>
              <w:jc w:val="center"/>
              <w:rPr>
                <w:rFonts w:hint="eastAsia"/>
                <w:color w:val="auto"/>
                <w:highlight w:val="none"/>
              </w:rPr>
            </w:pPr>
            <w:r>
              <w:rPr>
                <w:rFonts w:hint="eastAsia"/>
                <w:color w:val="auto"/>
                <w:highlight w:val="none"/>
              </w:rPr>
              <w:t>地表水环境敏感程度E值</w:t>
            </w:r>
          </w:p>
        </w:tc>
        <w:tc>
          <w:tcPr>
            <w:tcW w:w="1088" w:type="pct"/>
            <w:tcBorders>
              <w:tl2br w:val="nil"/>
              <w:tr2bl w:val="nil"/>
            </w:tcBorders>
            <w:noWrap w:val="0"/>
            <w:vAlign w:val="center"/>
          </w:tcPr>
          <w:p w14:paraId="050B6729">
            <w:pPr>
              <w:pStyle w:val="245"/>
              <w:spacing w:line="240" w:lineRule="auto"/>
              <w:jc w:val="center"/>
              <w:rPr>
                <w:rFonts w:hint="eastAsia"/>
                <w:color w:val="auto"/>
                <w:highlight w:val="none"/>
              </w:rPr>
            </w:pPr>
            <w:r>
              <w:rPr>
                <w:rFonts w:hint="eastAsia"/>
                <w:color w:val="auto"/>
                <w:highlight w:val="none"/>
              </w:rPr>
              <w:t>E3</w:t>
            </w:r>
          </w:p>
        </w:tc>
      </w:tr>
      <w:tr w14:paraId="40A7E5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restart"/>
            <w:tcBorders>
              <w:tl2br w:val="nil"/>
              <w:tr2bl w:val="nil"/>
            </w:tcBorders>
            <w:noWrap w:val="0"/>
            <w:vAlign w:val="center"/>
          </w:tcPr>
          <w:p w14:paraId="3F192FEC">
            <w:pPr>
              <w:pStyle w:val="245"/>
              <w:spacing w:line="240" w:lineRule="auto"/>
              <w:jc w:val="center"/>
              <w:rPr>
                <w:rFonts w:hint="eastAsia"/>
                <w:color w:val="auto"/>
                <w:highlight w:val="none"/>
              </w:rPr>
            </w:pPr>
            <w:r>
              <w:rPr>
                <w:rFonts w:hint="eastAsia"/>
                <w:color w:val="auto"/>
                <w:highlight w:val="none"/>
              </w:rPr>
              <w:t>地下水</w:t>
            </w:r>
          </w:p>
        </w:tc>
        <w:tc>
          <w:tcPr>
            <w:tcW w:w="293" w:type="pct"/>
            <w:tcBorders>
              <w:tl2br w:val="nil"/>
              <w:tr2bl w:val="nil"/>
            </w:tcBorders>
            <w:noWrap w:val="0"/>
            <w:vAlign w:val="center"/>
          </w:tcPr>
          <w:p w14:paraId="6BB92C1B">
            <w:pPr>
              <w:pStyle w:val="245"/>
              <w:spacing w:line="240" w:lineRule="auto"/>
              <w:jc w:val="center"/>
              <w:rPr>
                <w:rFonts w:hint="eastAsia"/>
                <w:color w:val="auto"/>
                <w:highlight w:val="none"/>
              </w:rPr>
            </w:pPr>
            <w:r>
              <w:rPr>
                <w:rFonts w:hint="eastAsia"/>
                <w:color w:val="auto"/>
                <w:highlight w:val="none"/>
              </w:rPr>
              <w:t>序号</w:t>
            </w:r>
          </w:p>
        </w:tc>
        <w:tc>
          <w:tcPr>
            <w:tcW w:w="1002" w:type="pct"/>
            <w:tcBorders>
              <w:tl2br w:val="nil"/>
              <w:tr2bl w:val="nil"/>
            </w:tcBorders>
            <w:noWrap w:val="0"/>
            <w:vAlign w:val="center"/>
          </w:tcPr>
          <w:p w14:paraId="21D4C91B">
            <w:pPr>
              <w:pStyle w:val="245"/>
              <w:spacing w:line="240" w:lineRule="auto"/>
              <w:jc w:val="center"/>
              <w:rPr>
                <w:rFonts w:hint="eastAsia"/>
                <w:color w:val="auto"/>
                <w:highlight w:val="none"/>
              </w:rPr>
            </w:pPr>
            <w:r>
              <w:rPr>
                <w:rFonts w:hint="eastAsia"/>
                <w:color w:val="auto"/>
                <w:highlight w:val="none"/>
              </w:rPr>
              <w:t>环境敏感区名称</w:t>
            </w:r>
          </w:p>
        </w:tc>
        <w:tc>
          <w:tcPr>
            <w:tcW w:w="627" w:type="pct"/>
            <w:tcBorders>
              <w:tl2br w:val="nil"/>
              <w:tr2bl w:val="nil"/>
            </w:tcBorders>
            <w:noWrap w:val="0"/>
            <w:vAlign w:val="center"/>
          </w:tcPr>
          <w:p w14:paraId="32735AC1">
            <w:pPr>
              <w:pStyle w:val="245"/>
              <w:spacing w:line="240" w:lineRule="auto"/>
              <w:jc w:val="center"/>
              <w:rPr>
                <w:rFonts w:hint="eastAsia"/>
                <w:color w:val="auto"/>
                <w:highlight w:val="none"/>
              </w:rPr>
            </w:pPr>
            <w:r>
              <w:rPr>
                <w:rFonts w:hint="eastAsia"/>
                <w:color w:val="auto"/>
                <w:highlight w:val="none"/>
              </w:rPr>
              <w:t>环境敏感特征</w:t>
            </w:r>
          </w:p>
        </w:tc>
        <w:tc>
          <w:tcPr>
            <w:tcW w:w="502" w:type="pct"/>
            <w:tcBorders>
              <w:tl2br w:val="nil"/>
              <w:tr2bl w:val="nil"/>
            </w:tcBorders>
            <w:noWrap w:val="0"/>
            <w:vAlign w:val="center"/>
          </w:tcPr>
          <w:p w14:paraId="7C8BFFEF">
            <w:pPr>
              <w:pStyle w:val="245"/>
              <w:spacing w:line="240" w:lineRule="auto"/>
              <w:jc w:val="center"/>
              <w:rPr>
                <w:rFonts w:hint="eastAsia"/>
                <w:color w:val="auto"/>
                <w:highlight w:val="none"/>
              </w:rPr>
            </w:pPr>
            <w:r>
              <w:rPr>
                <w:rFonts w:hint="eastAsia"/>
                <w:color w:val="auto"/>
                <w:highlight w:val="none"/>
              </w:rPr>
              <w:t>水质目标</w:t>
            </w:r>
          </w:p>
        </w:tc>
        <w:tc>
          <w:tcPr>
            <w:tcW w:w="1064" w:type="pct"/>
            <w:tcBorders>
              <w:tl2br w:val="nil"/>
              <w:tr2bl w:val="nil"/>
            </w:tcBorders>
            <w:noWrap w:val="0"/>
            <w:vAlign w:val="center"/>
          </w:tcPr>
          <w:p w14:paraId="643BCF36">
            <w:pPr>
              <w:pStyle w:val="245"/>
              <w:spacing w:line="240" w:lineRule="auto"/>
              <w:jc w:val="center"/>
              <w:rPr>
                <w:rFonts w:hint="eastAsia"/>
                <w:color w:val="auto"/>
                <w:highlight w:val="none"/>
              </w:rPr>
            </w:pPr>
            <w:r>
              <w:rPr>
                <w:rFonts w:hint="eastAsia"/>
                <w:color w:val="auto"/>
                <w:highlight w:val="none"/>
              </w:rPr>
              <w:t>包气带防污性能</w:t>
            </w:r>
          </w:p>
        </w:tc>
        <w:tc>
          <w:tcPr>
            <w:tcW w:w="1088" w:type="pct"/>
            <w:tcBorders>
              <w:tl2br w:val="nil"/>
              <w:tr2bl w:val="nil"/>
            </w:tcBorders>
            <w:noWrap w:val="0"/>
            <w:vAlign w:val="center"/>
          </w:tcPr>
          <w:p w14:paraId="1B7E9D64">
            <w:pPr>
              <w:pStyle w:val="245"/>
              <w:spacing w:line="240" w:lineRule="auto"/>
              <w:jc w:val="center"/>
              <w:rPr>
                <w:rFonts w:hint="eastAsia"/>
                <w:color w:val="auto"/>
                <w:highlight w:val="none"/>
              </w:rPr>
            </w:pPr>
            <w:r>
              <w:rPr>
                <w:rFonts w:hint="eastAsia"/>
                <w:color w:val="auto"/>
                <w:highlight w:val="none"/>
              </w:rPr>
              <w:t>与下游厂界距离/m</w:t>
            </w:r>
          </w:p>
        </w:tc>
      </w:tr>
      <w:tr w14:paraId="7FE94C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069F38FA">
            <w:pPr>
              <w:pStyle w:val="245"/>
              <w:spacing w:line="240" w:lineRule="auto"/>
              <w:jc w:val="center"/>
              <w:rPr>
                <w:rFonts w:hint="eastAsia"/>
                <w:color w:val="auto"/>
                <w:highlight w:val="none"/>
              </w:rPr>
            </w:pPr>
          </w:p>
        </w:tc>
        <w:tc>
          <w:tcPr>
            <w:tcW w:w="293" w:type="pct"/>
            <w:tcBorders>
              <w:tl2br w:val="nil"/>
              <w:tr2bl w:val="nil"/>
            </w:tcBorders>
            <w:noWrap w:val="0"/>
            <w:vAlign w:val="center"/>
          </w:tcPr>
          <w:p w14:paraId="15ED66D7">
            <w:pPr>
              <w:pStyle w:val="245"/>
              <w:spacing w:line="240" w:lineRule="auto"/>
              <w:jc w:val="center"/>
              <w:rPr>
                <w:rFonts w:hint="eastAsia"/>
                <w:color w:val="auto"/>
                <w:highlight w:val="none"/>
              </w:rPr>
            </w:pPr>
            <w:r>
              <w:rPr>
                <w:rFonts w:hint="eastAsia"/>
                <w:color w:val="auto"/>
                <w:highlight w:val="none"/>
              </w:rPr>
              <w:t>1</w:t>
            </w:r>
          </w:p>
        </w:tc>
        <w:tc>
          <w:tcPr>
            <w:tcW w:w="1002" w:type="pct"/>
            <w:tcBorders>
              <w:tl2br w:val="nil"/>
              <w:tr2bl w:val="nil"/>
            </w:tcBorders>
            <w:noWrap w:val="0"/>
            <w:vAlign w:val="center"/>
          </w:tcPr>
          <w:p w14:paraId="44C4A5A8">
            <w:pPr>
              <w:pStyle w:val="245"/>
              <w:spacing w:line="240" w:lineRule="auto"/>
              <w:jc w:val="center"/>
              <w:rPr>
                <w:rFonts w:hint="eastAsia"/>
                <w:color w:val="auto"/>
                <w:highlight w:val="none"/>
              </w:rPr>
            </w:pPr>
            <w:r>
              <w:rPr>
                <w:rFonts w:hint="eastAsia"/>
                <w:color w:val="auto"/>
                <w:highlight w:val="none"/>
              </w:rPr>
              <w:t>区域地下水</w:t>
            </w:r>
          </w:p>
        </w:tc>
        <w:tc>
          <w:tcPr>
            <w:tcW w:w="627" w:type="pct"/>
            <w:tcBorders>
              <w:tl2br w:val="nil"/>
              <w:tr2bl w:val="nil"/>
            </w:tcBorders>
            <w:noWrap w:val="0"/>
            <w:vAlign w:val="center"/>
          </w:tcPr>
          <w:p w14:paraId="76AE5A65">
            <w:pPr>
              <w:pStyle w:val="245"/>
              <w:spacing w:line="240" w:lineRule="auto"/>
              <w:jc w:val="center"/>
              <w:rPr>
                <w:rFonts w:hint="eastAsia" w:eastAsia="宋体"/>
                <w:color w:val="auto"/>
                <w:highlight w:val="none"/>
                <w:lang w:eastAsia="zh-CN"/>
              </w:rPr>
            </w:pPr>
            <w:r>
              <w:rPr>
                <w:rFonts w:hint="eastAsia"/>
                <w:color w:val="auto"/>
                <w:highlight w:val="none"/>
              </w:rPr>
              <w:t>G</w:t>
            </w:r>
            <w:r>
              <w:rPr>
                <w:rFonts w:hint="eastAsia"/>
                <w:color w:val="auto"/>
                <w:highlight w:val="none"/>
                <w:lang w:val="en-US" w:eastAsia="zh-CN"/>
              </w:rPr>
              <w:t>2</w:t>
            </w:r>
          </w:p>
        </w:tc>
        <w:tc>
          <w:tcPr>
            <w:tcW w:w="502" w:type="pct"/>
            <w:tcBorders>
              <w:tl2br w:val="nil"/>
              <w:tr2bl w:val="nil"/>
            </w:tcBorders>
            <w:noWrap w:val="0"/>
            <w:vAlign w:val="center"/>
          </w:tcPr>
          <w:p w14:paraId="648B9D43">
            <w:pPr>
              <w:pStyle w:val="245"/>
              <w:spacing w:line="240" w:lineRule="auto"/>
              <w:jc w:val="center"/>
              <w:rPr>
                <w:rFonts w:hint="eastAsia"/>
                <w:color w:val="auto"/>
                <w:highlight w:val="none"/>
              </w:rPr>
            </w:pPr>
            <w:r>
              <w:rPr>
                <w:rFonts w:hint="eastAsia"/>
                <w:color w:val="auto"/>
                <w:highlight w:val="none"/>
              </w:rPr>
              <w:t>/</w:t>
            </w:r>
          </w:p>
        </w:tc>
        <w:tc>
          <w:tcPr>
            <w:tcW w:w="1064" w:type="pct"/>
            <w:tcBorders>
              <w:tl2br w:val="nil"/>
              <w:tr2bl w:val="nil"/>
            </w:tcBorders>
            <w:noWrap w:val="0"/>
            <w:vAlign w:val="center"/>
          </w:tcPr>
          <w:p w14:paraId="6D29AD3C">
            <w:pPr>
              <w:pStyle w:val="245"/>
              <w:spacing w:line="240" w:lineRule="auto"/>
              <w:jc w:val="center"/>
              <w:rPr>
                <w:rFonts w:hint="eastAsia"/>
                <w:color w:val="auto"/>
                <w:highlight w:val="none"/>
              </w:rPr>
            </w:pPr>
            <w:r>
              <w:rPr>
                <w:rFonts w:hint="eastAsia"/>
                <w:color w:val="auto"/>
                <w:highlight w:val="none"/>
              </w:rPr>
              <w:t>D1</w:t>
            </w:r>
          </w:p>
        </w:tc>
        <w:tc>
          <w:tcPr>
            <w:tcW w:w="1088" w:type="pct"/>
            <w:tcBorders>
              <w:tl2br w:val="nil"/>
              <w:tr2bl w:val="nil"/>
            </w:tcBorders>
            <w:noWrap w:val="0"/>
            <w:vAlign w:val="center"/>
          </w:tcPr>
          <w:p w14:paraId="1C0AC098">
            <w:pPr>
              <w:pStyle w:val="245"/>
              <w:spacing w:line="240" w:lineRule="auto"/>
              <w:jc w:val="center"/>
              <w:rPr>
                <w:rFonts w:hint="eastAsia"/>
                <w:color w:val="auto"/>
                <w:highlight w:val="none"/>
              </w:rPr>
            </w:pPr>
            <w:r>
              <w:rPr>
                <w:rFonts w:hint="eastAsia"/>
                <w:color w:val="auto"/>
                <w:highlight w:val="none"/>
              </w:rPr>
              <w:t>/</w:t>
            </w:r>
          </w:p>
        </w:tc>
      </w:tr>
      <w:tr w14:paraId="122181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21" w:type="pct"/>
            <w:vMerge w:val="continue"/>
            <w:tcBorders>
              <w:tl2br w:val="nil"/>
              <w:tr2bl w:val="nil"/>
            </w:tcBorders>
            <w:noWrap w:val="0"/>
            <w:vAlign w:val="center"/>
          </w:tcPr>
          <w:p w14:paraId="79D79500">
            <w:pPr>
              <w:pStyle w:val="245"/>
              <w:spacing w:line="240" w:lineRule="auto"/>
              <w:jc w:val="center"/>
              <w:rPr>
                <w:rFonts w:hint="eastAsia"/>
                <w:color w:val="auto"/>
                <w:highlight w:val="none"/>
              </w:rPr>
            </w:pPr>
          </w:p>
        </w:tc>
        <w:tc>
          <w:tcPr>
            <w:tcW w:w="3489" w:type="pct"/>
            <w:gridSpan w:val="5"/>
            <w:tcBorders>
              <w:tl2br w:val="nil"/>
              <w:tr2bl w:val="nil"/>
            </w:tcBorders>
            <w:noWrap w:val="0"/>
            <w:vAlign w:val="center"/>
          </w:tcPr>
          <w:p w14:paraId="5B9FC4A5">
            <w:pPr>
              <w:pStyle w:val="245"/>
              <w:spacing w:line="240" w:lineRule="auto"/>
              <w:jc w:val="center"/>
              <w:rPr>
                <w:rFonts w:hint="eastAsia"/>
                <w:color w:val="auto"/>
                <w:highlight w:val="none"/>
              </w:rPr>
            </w:pPr>
            <w:r>
              <w:rPr>
                <w:rFonts w:hint="eastAsia"/>
                <w:color w:val="auto"/>
                <w:highlight w:val="none"/>
              </w:rPr>
              <w:t>地下水环境敏感程度E值</w:t>
            </w:r>
          </w:p>
        </w:tc>
        <w:tc>
          <w:tcPr>
            <w:tcW w:w="1088" w:type="pct"/>
            <w:tcBorders>
              <w:tl2br w:val="nil"/>
              <w:tr2bl w:val="nil"/>
            </w:tcBorders>
            <w:noWrap w:val="0"/>
            <w:vAlign w:val="center"/>
          </w:tcPr>
          <w:p w14:paraId="28D0F798">
            <w:pPr>
              <w:pStyle w:val="245"/>
              <w:spacing w:line="240" w:lineRule="auto"/>
              <w:jc w:val="center"/>
              <w:rPr>
                <w:rFonts w:hint="eastAsia" w:eastAsia="宋体"/>
                <w:color w:val="auto"/>
                <w:highlight w:val="none"/>
                <w:lang w:eastAsia="zh-CN"/>
              </w:rPr>
            </w:pPr>
            <w:r>
              <w:rPr>
                <w:rFonts w:hint="eastAsia"/>
                <w:color w:val="auto"/>
                <w:highlight w:val="none"/>
              </w:rPr>
              <w:t>E</w:t>
            </w:r>
            <w:r>
              <w:rPr>
                <w:rFonts w:hint="eastAsia"/>
                <w:color w:val="auto"/>
                <w:highlight w:val="none"/>
                <w:lang w:val="en-US" w:eastAsia="zh-CN"/>
              </w:rPr>
              <w:t>1</w:t>
            </w:r>
          </w:p>
        </w:tc>
      </w:tr>
    </w:tbl>
    <w:p w14:paraId="59B9E1E0">
      <w:pPr>
        <w:pStyle w:val="4"/>
        <w:spacing w:before="120" w:after="120"/>
        <w:rPr>
          <w:rFonts w:hint="eastAsia"/>
          <w:color w:val="auto"/>
          <w:highlight w:val="none"/>
          <w:lang w:val="en-US" w:eastAsia="zh-CN"/>
        </w:rPr>
      </w:pPr>
      <w:bookmarkStart w:id="195" w:name="_Toc9933"/>
      <w:r>
        <w:rPr>
          <w:rFonts w:hint="eastAsia"/>
          <w:color w:val="auto"/>
          <w:highlight w:val="none"/>
          <w:lang w:val="en-US" w:eastAsia="zh-CN"/>
        </w:rPr>
        <w:t>环境风险评价等级的确定</w:t>
      </w:r>
      <w:bookmarkEnd w:id="195"/>
    </w:p>
    <w:p w14:paraId="152F8293">
      <w:pPr>
        <w:ind w:firstLine="480"/>
        <w:rPr>
          <w:rFonts w:hint="eastAsia"/>
          <w:color w:val="auto"/>
          <w:highlight w:val="none"/>
          <w:lang w:val="en-US" w:eastAsia="zh-CN"/>
        </w:rPr>
      </w:pPr>
      <w:r>
        <w:rPr>
          <w:rFonts w:hint="eastAsia"/>
          <w:color w:val="auto"/>
          <w:highlight w:val="none"/>
          <w:lang w:val="en-US" w:eastAsia="zh-CN"/>
        </w:rPr>
        <w:t>根据“2.4.6章节-环境风险评价等级”，确定本项目环境风险等级为简单分析。根据HJ169-2018的要求，环境风险简单分析的主要内容包括：定性描述危险物质、环境影响途径、环境危害后果以及风险防范措施等。</w:t>
      </w:r>
    </w:p>
    <w:p w14:paraId="33C2A503">
      <w:pPr>
        <w:pStyle w:val="4"/>
        <w:spacing w:before="120" w:after="120"/>
        <w:rPr>
          <w:rFonts w:hint="eastAsia"/>
          <w:color w:val="auto"/>
          <w:highlight w:val="none"/>
          <w:lang w:val="en-US" w:eastAsia="zh-CN"/>
        </w:rPr>
      </w:pPr>
      <w:bookmarkStart w:id="196" w:name="_Toc8122"/>
      <w:r>
        <w:rPr>
          <w:rFonts w:hint="eastAsia"/>
          <w:color w:val="auto"/>
          <w:highlight w:val="none"/>
          <w:lang w:val="en-US" w:eastAsia="zh-CN"/>
        </w:rPr>
        <w:t>环境风险分析</w:t>
      </w:r>
      <w:bookmarkEnd w:id="196"/>
    </w:p>
    <w:p w14:paraId="08E1494B">
      <w:pPr>
        <w:ind w:firstLine="480"/>
        <w:rPr>
          <w:rFonts w:hint="eastAsia"/>
          <w:color w:val="auto"/>
          <w:highlight w:val="none"/>
          <w:lang w:val="en-US" w:eastAsia="zh-CN"/>
        </w:rPr>
      </w:pPr>
      <w:r>
        <w:rPr>
          <w:rFonts w:hint="eastAsia"/>
          <w:color w:val="auto"/>
          <w:highlight w:val="none"/>
          <w:lang w:val="en-US" w:eastAsia="zh-CN"/>
        </w:rPr>
        <w:t>油类物质泄漏事故以及油类物质发生火灾、爆炸危害事故，进而引发的次生污染物的排放，造成的环境污染事故：</w:t>
      </w:r>
    </w:p>
    <w:p w14:paraId="48367822">
      <w:pPr>
        <w:ind w:firstLine="480"/>
        <w:rPr>
          <w:rFonts w:hint="eastAsia"/>
          <w:color w:val="auto"/>
          <w:highlight w:val="none"/>
          <w:lang w:val="en-US" w:eastAsia="zh-CN"/>
        </w:rPr>
      </w:pPr>
      <w:r>
        <w:rPr>
          <w:rFonts w:hint="eastAsia"/>
          <w:color w:val="auto"/>
          <w:highlight w:val="none"/>
          <w:lang w:val="en-US" w:eastAsia="zh-CN"/>
        </w:rPr>
        <w:t>当本项目油类物质发生泄漏遗撒事故时，预计事故在未及时采取对策措施的情况下，对区域水及土壤环境可能造成影响。项目采取设置危废暂存间对废机油进行贮存，委托有资质单位处理的废物处置方。油桶位于库房内，当油类物质发生泄漏时，及时对油污进行收集，采用吸油物质围堵、吸附油类物质同时设置专门的收集装置进行收集并交由资质单位处理。</w:t>
      </w:r>
    </w:p>
    <w:p w14:paraId="1AB91EA4">
      <w:pPr>
        <w:pStyle w:val="4"/>
        <w:spacing w:before="120" w:after="120"/>
        <w:rPr>
          <w:rFonts w:hint="eastAsia"/>
          <w:color w:val="auto"/>
          <w:highlight w:val="none"/>
          <w:lang w:val="en-US" w:eastAsia="zh-CN"/>
        </w:rPr>
      </w:pPr>
      <w:bookmarkStart w:id="197" w:name="_Toc3480"/>
      <w:r>
        <w:rPr>
          <w:rFonts w:hint="eastAsia"/>
          <w:color w:val="auto"/>
          <w:highlight w:val="none"/>
          <w:lang w:val="en-US" w:eastAsia="zh-CN"/>
        </w:rPr>
        <w:t>环境风险防范措施及应急要求</w:t>
      </w:r>
      <w:bookmarkEnd w:id="197"/>
    </w:p>
    <w:p w14:paraId="2825897E">
      <w:pPr>
        <w:pStyle w:val="5"/>
        <w:rPr>
          <w:rFonts w:hint="eastAsia"/>
          <w:color w:val="auto"/>
          <w:highlight w:val="none"/>
          <w:lang w:val="en-US" w:eastAsia="zh-CN"/>
        </w:rPr>
      </w:pPr>
      <w:r>
        <w:rPr>
          <w:rFonts w:hint="eastAsia"/>
          <w:color w:val="auto"/>
          <w:highlight w:val="none"/>
          <w:lang w:val="en-US" w:eastAsia="zh-CN"/>
        </w:rPr>
        <w:t>风险源风险防范</w:t>
      </w:r>
    </w:p>
    <w:p w14:paraId="552906D8">
      <w:pPr>
        <w:ind w:firstLine="480"/>
        <w:rPr>
          <w:rFonts w:hint="eastAsia"/>
          <w:color w:val="auto"/>
          <w:highlight w:val="none"/>
          <w:lang w:val="en-US" w:eastAsia="zh-CN"/>
        </w:rPr>
      </w:pPr>
      <w:r>
        <w:rPr>
          <w:rFonts w:hint="eastAsia"/>
          <w:color w:val="auto"/>
          <w:highlight w:val="none"/>
          <w:lang w:val="en-US" w:eastAsia="zh-CN"/>
        </w:rPr>
        <w:t>按照《危险废物贮存污染控制标准》（GB18597-2023）、《危险废物收集、贮存、运输技术规范》（HJ2025-2012）、《危险废物识别标志设置技术规范》（HJ 1276-2022）等相关规范、标准的要求，建设合规的危险废物贮存间，对项目产生的危险废物进行暂存。</w:t>
      </w:r>
    </w:p>
    <w:p w14:paraId="7E047761">
      <w:pPr>
        <w:ind w:firstLine="480"/>
        <w:rPr>
          <w:rFonts w:hint="eastAsia"/>
          <w:color w:val="auto"/>
          <w:highlight w:val="none"/>
          <w:lang w:val="en-US" w:eastAsia="zh-CN"/>
        </w:rPr>
      </w:pPr>
      <w:r>
        <w:rPr>
          <w:rFonts w:hint="eastAsia"/>
          <w:color w:val="auto"/>
          <w:highlight w:val="none"/>
          <w:lang w:val="en-US" w:eastAsia="zh-CN"/>
        </w:rPr>
        <w:t>危险废物贮存间内安装监控设施，方便实时了解贮存间的状况；同时定期安排专人巡检，进一步降低环境风险事故情形；</w:t>
      </w:r>
    </w:p>
    <w:p w14:paraId="3DC03EC1">
      <w:pPr>
        <w:ind w:firstLine="480"/>
        <w:rPr>
          <w:rFonts w:hint="eastAsia"/>
          <w:color w:val="auto"/>
          <w:highlight w:val="none"/>
          <w:lang w:val="en-US" w:eastAsia="zh-CN"/>
        </w:rPr>
      </w:pPr>
      <w:r>
        <w:rPr>
          <w:rFonts w:hint="eastAsia"/>
          <w:color w:val="auto"/>
          <w:highlight w:val="none"/>
          <w:lang w:val="en-US" w:eastAsia="zh-CN"/>
        </w:rPr>
        <w:t>使用危险品、管理危险品的相关人员，必须经过专业知识培训，熟悉所使用物品的特性、事故处理办法和防护知识，持证上岗，同时，必须配备有关的个人防护用品；</w:t>
      </w:r>
    </w:p>
    <w:p w14:paraId="76243D47">
      <w:pPr>
        <w:ind w:firstLine="480"/>
        <w:rPr>
          <w:rFonts w:hint="eastAsia"/>
          <w:color w:val="auto"/>
          <w:highlight w:val="none"/>
          <w:lang w:val="en-US" w:eastAsia="zh-CN"/>
        </w:rPr>
      </w:pPr>
      <w:r>
        <w:rPr>
          <w:rFonts w:hint="eastAsia"/>
          <w:color w:val="auto"/>
          <w:highlight w:val="none"/>
          <w:lang w:val="en-US" w:eastAsia="zh-CN"/>
        </w:rPr>
        <w:t>定期组织专门人员对泄露物质的可能存在区进行巡查，一旦发现疑似残留现象或其它异常现象的应及时上报，防患于未然；</w:t>
      </w:r>
    </w:p>
    <w:p w14:paraId="527F95DF">
      <w:pPr>
        <w:ind w:firstLine="480"/>
        <w:rPr>
          <w:rFonts w:hint="eastAsia"/>
          <w:color w:val="auto"/>
          <w:highlight w:val="none"/>
          <w:lang w:val="en-US" w:eastAsia="zh-CN"/>
        </w:rPr>
      </w:pPr>
      <w:r>
        <w:rPr>
          <w:rFonts w:hint="eastAsia"/>
          <w:color w:val="auto"/>
          <w:highlight w:val="none"/>
          <w:lang w:val="en-US" w:eastAsia="zh-CN"/>
        </w:rPr>
        <w:t>按照章程、规定办事，严格执行《危险化学品安全管理条例》、《危险化学品管理办法》、等有关法律、法规的要求。</w:t>
      </w:r>
    </w:p>
    <w:p w14:paraId="01160A0A">
      <w:pPr>
        <w:pStyle w:val="5"/>
        <w:rPr>
          <w:rFonts w:hint="eastAsia"/>
          <w:color w:val="auto"/>
          <w:highlight w:val="none"/>
          <w:lang w:val="en-US" w:eastAsia="zh-CN"/>
        </w:rPr>
      </w:pPr>
      <w:r>
        <w:rPr>
          <w:rFonts w:hint="eastAsia"/>
          <w:color w:val="auto"/>
          <w:highlight w:val="none"/>
          <w:lang w:val="en-US" w:eastAsia="zh-CN"/>
        </w:rPr>
        <w:t>环境影响途径风险防范</w:t>
      </w:r>
    </w:p>
    <w:p w14:paraId="6978449A">
      <w:pPr>
        <w:ind w:firstLine="480"/>
        <w:rPr>
          <w:rFonts w:hint="eastAsia"/>
          <w:color w:val="auto"/>
          <w:highlight w:val="none"/>
          <w:lang w:val="en-US" w:eastAsia="zh-CN"/>
        </w:rPr>
      </w:pPr>
      <w:r>
        <w:rPr>
          <w:rFonts w:hint="eastAsia"/>
          <w:color w:val="auto"/>
          <w:highlight w:val="none"/>
          <w:lang w:val="en-US" w:eastAsia="zh-CN"/>
        </w:rPr>
        <w:t>制定合规的操作规程和维修规程，减少操作人员与有害物质直接接触的机会；作业操作人员必须经过严格培训，经过考核后持证上岗；装置和班组设有专职或兼职的人员，负责日常的环境管理监督工作；</w:t>
      </w:r>
    </w:p>
    <w:p w14:paraId="69C52039">
      <w:pPr>
        <w:ind w:firstLine="480"/>
        <w:rPr>
          <w:rFonts w:hint="eastAsia"/>
          <w:color w:val="auto"/>
          <w:highlight w:val="none"/>
          <w:lang w:val="en-US" w:eastAsia="zh-CN"/>
        </w:rPr>
      </w:pPr>
      <w:r>
        <w:rPr>
          <w:rFonts w:hint="eastAsia"/>
          <w:color w:val="auto"/>
          <w:highlight w:val="none"/>
          <w:lang w:val="en-US" w:eastAsia="zh-CN"/>
        </w:rPr>
        <w:t>加大对运输过程的管理，用有运输危险物品资质的单位组织运输；</w:t>
      </w:r>
    </w:p>
    <w:p w14:paraId="4AB20011">
      <w:pPr>
        <w:ind w:firstLine="480"/>
        <w:rPr>
          <w:rFonts w:hint="eastAsia"/>
          <w:color w:val="auto"/>
          <w:highlight w:val="none"/>
          <w:lang w:val="en-US" w:eastAsia="zh-CN"/>
        </w:rPr>
      </w:pPr>
      <w:r>
        <w:rPr>
          <w:rFonts w:hint="eastAsia"/>
          <w:color w:val="auto"/>
          <w:highlight w:val="none"/>
          <w:lang w:val="en-US" w:eastAsia="zh-CN"/>
        </w:rPr>
        <w:t>根据生产过程中物质危害程度进行分类、分区设置，各区按其危害程度采取相应的环境风险防范措施进行管理；合理组织人流和货流，适当结合安全、交通、消防的需要，在装置区周围设置环形通道，以满足工艺流程、厂内外运输、检修及生产等过程的环境风险管理要求；</w:t>
      </w:r>
    </w:p>
    <w:p w14:paraId="2898A4AB">
      <w:pPr>
        <w:ind w:firstLine="480"/>
        <w:rPr>
          <w:rFonts w:hint="eastAsia"/>
          <w:color w:val="auto"/>
          <w:highlight w:val="none"/>
          <w:lang w:val="en-US" w:eastAsia="zh-CN"/>
        </w:rPr>
      </w:pPr>
      <w:r>
        <w:rPr>
          <w:rFonts w:hint="eastAsia"/>
          <w:color w:val="auto"/>
          <w:highlight w:val="none"/>
          <w:lang w:val="en-US" w:eastAsia="zh-CN"/>
        </w:rPr>
        <w:t>提高工作人员环境风险意识，制定各项环保制度；对从业人员进行岗位职工教育与培训，使他们均具备危险意识及如何应对危险的知识，并进行相关泄露事故的教育；设立应急事故专门记录，建立档案和报告制度，由专门部门或人员负责管理；</w:t>
      </w:r>
    </w:p>
    <w:p w14:paraId="5E0EB07D">
      <w:pPr>
        <w:ind w:firstLine="480"/>
        <w:rPr>
          <w:rFonts w:hint="eastAsia"/>
          <w:color w:val="auto"/>
          <w:highlight w:val="none"/>
          <w:lang w:val="en-US" w:eastAsia="zh-CN"/>
        </w:rPr>
      </w:pPr>
      <w:r>
        <w:rPr>
          <w:rFonts w:hint="eastAsia"/>
          <w:color w:val="auto"/>
          <w:highlight w:val="none"/>
          <w:lang w:val="en-US" w:eastAsia="zh-CN"/>
        </w:rPr>
        <w:t>执行环境风险事故报告制度，一经发现风险事故，立即向企业负责人报告，并由负责人按照事故程度，决定是否上报当地政府或上级有关部门报告，并且不瞒报、漏报，及时组织进行处置。具体负责人员或部门统一指挥对事故现场的应急救援，并立即查明原因，提出对策，及时组织各方面力量处理泄露事故，控制事故的蔓延和扩大；</w:t>
      </w:r>
    </w:p>
    <w:p w14:paraId="12B65C03">
      <w:pPr>
        <w:ind w:firstLine="480"/>
        <w:rPr>
          <w:rFonts w:hint="eastAsia"/>
          <w:color w:val="auto"/>
          <w:highlight w:val="none"/>
          <w:lang w:val="en-US" w:eastAsia="zh-CN"/>
        </w:rPr>
      </w:pPr>
      <w:r>
        <w:rPr>
          <w:rFonts w:hint="eastAsia"/>
          <w:color w:val="auto"/>
          <w:highlight w:val="none"/>
          <w:lang w:val="en-US" w:eastAsia="zh-CN"/>
        </w:rPr>
        <w:t>项目应成立本厂的突发环境事件应急小组指挥部，责任到人，确保应急小组分工明确，以有效应对突发事件的发生，同时，应依据《中华人民共和国突发事件应对法》、《企业事业单位突发环境事件应急预案备案管理办法》（试行）的相关要求，进行《突发环境事件应急预案》的编制及备案工作。</w:t>
      </w:r>
    </w:p>
    <w:p w14:paraId="0AD02A1D">
      <w:pPr>
        <w:pStyle w:val="5"/>
        <w:rPr>
          <w:rFonts w:hint="eastAsia"/>
          <w:color w:val="auto"/>
          <w:highlight w:val="none"/>
          <w:lang w:val="en-US" w:eastAsia="zh-CN"/>
        </w:rPr>
      </w:pPr>
      <w:r>
        <w:rPr>
          <w:rFonts w:hint="eastAsia"/>
          <w:color w:val="auto"/>
          <w:highlight w:val="none"/>
          <w:lang w:val="en-US" w:eastAsia="zh-CN"/>
        </w:rPr>
        <w:t>环境风险敏感目标风险防范</w:t>
      </w:r>
    </w:p>
    <w:p w14:paraId="0A82A46C">
      <w:pPr>
        <w:ind w:firstLine="480"/>
        <w:rPr>
          <w:rFonts w:hint="eastAsia"/>
          <w:color w:val="auto"/>
          <w:highlight w:val="none"/>
          <w:lang w:val="en-US" w:eastAsia="zh-CN"/>
        </w:rPr>
      </w:pPr>
      <w:r>
        <w:rPr>
          <w:rFonts w:hint="eastAsia"/>
          <w:color w:val="auto"/>
          <w:highlight w:val="none"/>
          <w:lang w:val="en-US" w:eastAsia="zh-CN"/>
        </w:rPr>
        <w:t>对临近区域的公众开展环境风险事故预防教育、应急知识培训，定期发布相关信息。</w:t>
      </w:r>
    </w:p>
    <w:p w14:paraId="69C449EB">
      <w:pPr>
        <w:pStyle w:val="4"/>
        <w:spacing w:before="120" w:after="120"/>
        <w:rPr>
          <w:rFonts w:hint="eastAsia"/>
          <w:color w:val="auto"/>
          <w:highlight w:val="none"/>
          <w:lang w:val="en-US" w:eastAsia="zh-CN"/>
        </w:rPr>
      </w:pPr>
      <w:bookmarkStart w:id="198" w:name="_Toc31678"/>
      <w:r>
        <w:rPr>
          <w:rFonts w:hint="eastAsia"/>
          <w:color w:val="auto"/>
          <w:highlight w:val="none"/>
          <w:lang w:val="en-US" w:eastAsia="zh-CN"/>
        </w:rPr>
        <w:t>环境风险分析结论</w:t>
      </w:r>
      <w:bookmarkEnd w:id="198"/>
    </w:p>
    <w:p w14:paraId="66206687">
      <w:pPr>
        <w:ind w:firstLine="480"/>
        <w:rPr>
          <w:rFonts w:hint="eastAsia"/>
          <w:color w:val="auto"/>
          <w:highlight w:val="none"/>
          <w:lang w:val="en-US" w:eastAsia="zh-CN"/>
        </w:rPr>
      </w:pPr>
      <w:r>
        <w:rPr>
          <w:rFonts w:hint="eastAsia"/>
          <w:color w:val="auto"/>
          <w:highlight w:val="none"/>
          <w:lang w:val="en-US" w:eastAsia="zh-CN"/>
        </w:rPr>
        <w:t>综合以上分析，本项目具有潜在的事故风险，但风险概率较小。为了防范事故和减少危害，制定废机油泄漏事故的应急预案。当出现事故时，要采取紧急的工程应急措施，如必要，要采取社会应急措施，以控制事故和减少对环境造成的危害。企业通过风险源、环境影响途径及环境敏感目标三个方面有效的对风险事故进行了防范，合理，有效，故本项目产生的环境风险可接受。</w:t>
      </w:r>
    </w:p>
    <w:p w14:paraId="2CC6E583">
      <w:pPr>
        <w:widowControl/>
        <w:spacing w:line="360" w:lineRule="auto"/>
        <w:ind w:firstLine="480" w:firstLineChars="200"/>
        <w:rPr>
          <w:bCs/>
          <w:color w:val="auto"/>
          <w:sz w:val="24"/>
          <w:szCs w:val="24"/>
          <w:highlight w:val="none"/>
        </w:rPr>
      </w:pPr>
      <w:r>
        <w:rPr>
          <w:rFonts w:hint="eastAsia" w:ascii="宋体" w:hAnsi="宋体" w:cs="宋体"/>
          <w:bCs/>
          <w:color w:val="auto"/>
          <w:sz w:val="24"/>
          <w:szCs w:val="24"/>
          <w:highlight w:val="none"/>
          <w:lang w:val="en-US" w:eastAsia="zh-CN" w:bidi="ar"/>
        </w:rPr>
        <w:t>本</w:t>
      </w:r>
      <w:r>
        <w:rPr>
          <w:rFonts w:hint="eastAsia" w:ascii="宋体" w:hAnsi="宋体" w:cs="宋体"/>
          <w:bCs/>
          <w:color w:val="auto"/>
          <w:sz w:val="24"/>
          <w:szCs w:val="24"/>
          <w:highlight w:val="none"/>
          <w:lang w:bidi="ar"/>
        </w:rPr>
        <w:t>项目环境风险评价自查表见表</w:t>
      </w:r>
      <w:r>
        <w:rPr>
          <w:bCs/>
          <w:color w:val="auto"/>
          <w:sz w:val="24"/>
          <w:szCs w:val="24"/>
          <w:highlight w:val="none"/>
          <w:lang w:bidi="ar"/>
        </w:rPr>
        <w:t>6.</w:t>
      </w:r>
      <w:r>
        <w:rPr>
          <w:rFonts w:hint="eastAsia"/>
          <w:bCs/>
          <w:color w:val="auto"/>
          <w:sz w:val="24"/>
          <w:szCs w:val="24"/>
          <w:highlight w:val="none"/>
          <w:lang w:val="en-US" w:eastAsia="zh-CN" w:bidi="ar"/>
        </w:rPr>
        <w:t>7-1</w:t>
      </w:r>
      <w:r>
        <w:rPr>
          <w:rFonts w:hint="eastAsia" w:ascii="宋体" w:hAnsi="宋体" w:cs="宋体"/>
          <w:bCs/>
          <w:color w:val="auto"/>
          <w:sz w:val="24"/>
          <w:szCs w:val="24"/>
          <w:highlight w:val="none"/>
          <w:lang w:bidi="ar"/>
        </w:rPr>
        <w:t>。</w:t>
      </w:r>
    </w:p>
    <w:p w14:paraId="0D83FE6A">
      <w:pPr>
        <w:pStyle w:val="199"/>
        <w:spacing w:before="120"/>
        <w:ind w:firstLine="480"/>
        <w:rPr>
          <w:rFonts w:hint="eastAsia"/>
          <w:color w:val="auto"/>
          <w:sz w:val="24"/>
          <w:highlight w:val="none"/>
        </w:rPr>
      </w:pPr>
    </w:p>
    <w:p w14:paraId="7D492CEE">
      <w:pPr>
        <w:pStyle w:val="199"/>
        <w:spacing w:before="120"/>
        <w:ind w:firstLine="480"/>
        <w:rPr>
          <w:rFonts w:hint="eastAsia"/>
          <w:color w:val="auto"/>
          <w:sz w:val="24"/>
          <w:highlight w:val="none"/>
        </w:rPr>
      </w:pPr>
    </w:p>
    <w:p w14:paraId="7014367F">
      <w:pPr>
        <w:pStyle w:val="199"/>
        <w:spacing w:before="120"/>
        <w:ind w:firstLine="480"/>
        <w:rPr>
          <w:rFonts w:hint="eastAsia"/>
          <w:color w:val="auto"/>
          <w:sz w:val="24"/>
          <w:highlight w:val="none"/>
        </w:rPr>
      </w:pPr>
    </w:p>
    <w:p w14:paraId="111F99AB">
      <w:pPr>
        <w:pStyle w:val="199"/>
        <w:spacing w:before="120"/>
        <w:ind w:firstLine="480"/>
        <w:rPr>
          <w:rFonts w:hint="eastAsia"/>
          <w:color w:val="auto"/>
          <w:sz w:val="24"/>
          <w:highlight w:val="none"/>
        </w:rPr>
      </w:pPr>
    </w:p>
    <w:p w14:paraId="11FF70A8">
      <w:pPr>
        <w:pStyle w:val="199"/>
        <w:spacing w:before="120"/>
        <w:ind w:firstLine="480"/>
        <w:rPr>
          <w:rFonts w:hint="eastAsia"/>
          <w:color w:val="auto"/>
          <w:sz w:val="24"/>
          <w:highlight w:val="none"/>
        </w:rPr>
      </w:pPr>
    </w:p>
    <w:p w14:paraId="0BDD0AF1">
      <w:pPr>
        <w:pStyle w:val="199"/>
        <w:spacing w:before="120"/>
        <w:ind w:firstLine="480"/>
        <w:rPr>
          <w:rFonts w:hint="eastAsia"/>
          <w:color w:val="auto"/>
          <w:sz w:val="24"/>
          <w:highlight w:val="none"/>
        </w:rPr>
      </w:pPr>
    </w:p>
    <w:p w14:paraId="12A68FF8">
      <w:pPr>
        <w:pStyle w:val="199"/>
        <w:spacing w:before="120"/>
        <w:ind w:firstLine="480"/>
        <w:rPr>
          <w:rFonts w:hint="eastAsia"/>
          <w:color w:val="auto"/>
          <w:sz w:val="24"/>
          <w:highlight w:val="none"/>
        </w:rPr>
      </w:pPr>
    </w:p>
    <w:p w14:paraId="1D98A3DC">
      <w:pPr>
        <w:pStyle w:val="199"/>
        <w:spacing w:before="120"/>
        <w:ind w:firstLine="480"/>
        <w:rPr>
          <w:rFonts w:hint="eastAsia"/>
          <w:color w:val="auto"/>
          <w:sz w:val="24"/>
          <w:highlight w:val="none"/>
        </w:rPr>
      </w:pPr>
    </w:p>
    <w:p w14:paraId="63FB4344">
      <w:pPr>
        <w:pStyle w:val="199"/>
        <w:spacing w:before="120"/>
        <w:ind w:firstLine="480"/>
        <w:rPr>
          <w:rFonts w:hint="eastAsia"/>
          <w:color w:val="auto"/>
          <w:sz w:val="24"/>
          <w:highlight w:val="none"/>
        </w:rPr>
      </w:pPr>
    </w:p>
    <w:p w14:paraId="08E78F6E">
      <w:pPr>
        <w:pStyle w:val="199"/>
        <w:keepNext w:val="0"/>
        <w:keepLines w:val="0"/>
        <w:pageBreakBefore w:val="0"/>
        <w:widowControl w:val="0"/>
        <w:kinsoku/>
        <w:wordWrap/>
        <w:overflowPunct/>
        <w:topLinePunct w:val="0"/>
        <w:autoSpaceDE/>
        <w:autoSpaceDN/>
        <w:bidi w:val="0"/>
        <w:adjustRightInd/>
        <w:snapToGrid/>
        <w:spacing w:before="120"/>
        <w:ind w:firstLine="0"/>
        <w:textAlignment w:val="auto"/>
        <w:rPr>
          <w:rFonts w:hint="eastAsia"/>
          <w:color w:val="auto"/>
          <w:sz w:val="24"/>
          <w:highlight w:val="none"/>
        </w:rPr>
      </w:pPr>
      <w:r>
        <w:rPr>
          <w:rFonts w:hint="eastAsia"/>
          <w:color w:val="auto"/>
          <w:sz w:val="24"/>
          <w:highlight w:val="none"/>
        </w:rPr>
        <w:t>表6.</w:t>
      </w:r>
      <w:r>
        <w:rPr>
          <w:rFonts w:hint="eastAsia"/>
          <w:color w:val="auto"/>
          <w:sz w:val="24"/>
          <w:highlight w:val="none"/>
          <w:lang w:val="en-US" w:eastAsia="zh-CN"/>
        </w:rPr>
        <w:t>7-1</w:t>
      </w:r>
      <w:r>
        <w:rPr>
          <w:rFonts w:hint="eastAsia"/>
          <w:color w:val="auto"/>
          <w:sz w:val="24"/>
          <w:highlight w:val="none"/>
        </w:rPr>
        <w:t xml:space="preserve">    </w:t>
      </w:r>
      <w:r>
        <w:rPr>
          <w:rFonts w:hint="eastAsia"/>
          <w:color w:val="auto"/>
          <w:sz w:val="24"/>
          <w:highlight w:val="none"/>
          <w:lang w:val="en-US" w:eastAsia="zh-CN"/>
        </w:rPr>
        <w:t>本项目</w:t>
      </w:r>
      <w:r>
        <w:rPr>
          <w:rFonts w:hint="eastAsia"/>
          <w:color w:val="auto"/>
          <w:sz w:val="24"/>
          <w:highlight w:val="none"/>
        </w:rPr>
        <w:t>环境风险</w:t>
      </w:r>
      <w:r>
        <w:rPr>
          <w:rFonts w:hint="eastAsia"/>
          <w:color w:val="auto"/>
          <w:sz w:val="24"/>
          <w:highlight w:val="none"/>
          <w:lang w:val="en-US" w:eastAsia="zh-CN"/>
        </w:rPr>
        <w:t>分析评价</w:t>
      </w:r>
      <w:r>
        <w:rPr>
          <w:rFonts w:hint="eastAsia"/>
          <w:color w:val="auto"/>
          <w:sz w:val="24"/>
          <w:highlight w:val="none"/>
        </w:rPr>
        <w:t>自查表</w:t>
      </w:r>
    </w:p>
    <w:tbl>
      <w:tblPr>
        <w:tblStyle w:val="41"/>
        <w:tblW w:w="4998" w:type="pct"/>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163"/>
        <w:gridCol w:w="1035"/>
        <w:gridCol w:w="1734"/>
        <w:gridCol w:w="1266"/>
        <w:gridCol w:w="508"/>
        <w:gridCol w:w="722"/>
        <w:gridCol w:w="1471"/>
      </w:tblGrid>
      <w:tr w14:paraId="1A0F88D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tcBorders>
              <w:top w:val="single" w:color="000000" w:sz="12" w:space="0"/>
              <w:left w:val="nil"/>
              <w:bottom w:val="single" w:color="000000" w:sz="4" w:space="0"/>
              <w:right w:val="single" w:color="000000" w:sz="4" w:space="0"/>
            </w:tcBorders>
            <w:noWrap w:val="0"/>
            <w:vAlign w:val="center"/>
          </w:tcPr>
          <w:p w14:paraId="72625781">
            <w:pPr>
              <w:pStyle w:val="245"/>
              <w:spacing w:line="240" w:lineRule="auto"/>
              <w:jc w:val="center"/>
              <w:rPr>
                <w:rFonts w:hint="eastAsia"/>
                <w:color w:val="auto"/>
                <w:highlight w:val="none"/>
              </w:rPr>
            </w:pPr>
            <w:r>
              <w:rPr>
                <w:rFonts w:hint="eastAsia"/>
                <w:color w:val="auto"/>
                <w:highlight w:val="none"/>
              </w:rPr>
              <w:t>工作内容</w:t>
            </w:r>
          </w:p>
        </w:tc>
        <w:tc>
          <w:tcPr>
            <w:tcW w:w="6745" w:type="dxa"/>
            <w:gridSpan w:val="6"/>
            <w:tcBorders>
              <w:top w:val="single" w:color="000000" w:sz="12" w:space="0"/>
              <w:left w:val="single" w:color="000000" w:sz="4" w:space="0"/>
              <w:bottom w:val="single" w:color="000000" w:sz="4" w:space="0"/>
              <w:right w:val="nil"/>
            </w:tcBorders>
            <w:noWrap w:val="0"/>
            <w:vAlign w:val="center"/>
          </w:tcPr>
          <w:p w14:paraId="4EFA7C66">
            <w:pPr>
              <w:pStyle w:val="245"/>
              <w:spacing w:line="240" w:lineRule="auto"/>
              <w:jc w:val="center"/>
              <w:rPr>
                <w:rFonts w:hint="eastAsia"/>
                <w:color w:val="auto"/>
                <w:highlight w:val="none"/>
              </w:rPr>
            </w:pPr>
            <w:r>
              <w:rPr>
                <w:rFonts w:hint="eastAsia"/>
                <w:color w:val="auto"/>
                <w:highlight w:val="none"/>
              </w:rPr>
              <w:t>完成情况</w:t>
            </w:r>
          </w:p>
        </w:tc>
      </w:tr>
      <w:tr w14:paraId="75006C8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restart"/>
            <w:tcBorders>
              <w:top w:val="single" w:color="000000" w:sz="4" w:space="0"/>
              <w:left w:val="nil"/>
              <w:bottom w:val="single" w:color="000000" w:sz="4" w:space="0"/>
              <w:right w:val="single" w:color="000000" w:sz="4" w:space="0"/>
            </w:tcBorders>
            <w:noWrap w:val="0"/>
            <w:vAlign w:val="center"/>
          </w:tcPr>
          <w:p w14:paraId="4227564D">
            <w:pPr>
              <w:pStyle w:val="245"/>
              <w:spacing w:line="240" w:lineRule="auto"/>
              <w:jc w:val="center"/>
              <w:rPr>
                <w:rFonts w:hint="eastAsia"/>
                <w:color w:val="auto"/>
                <w:highlight w:val="none"/>
              </w:rPr>
            </w:pPr>
            <w:r>
              <w:rPr>
                <w:rFonts w:hint="eastAsia"/>
                <w:color w:val="auto"/>
                <w:highlight w:val="none"/>
              </w:rPr>
              <w:t>风险调查</w:t>
            </w:r>
          </w:p>
        </w:tc>
        <w:tc>
          <w:tcPr>
            <w:tcW w:w="11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6FBB03E">
            <w:pPr>
              <w:pStyle w:val="245"/>
              <w:spacing w:line="240" w:lineRule="auto"/>
              <w:jc w:val="center"/>
              <w:rPr>
                <w:rFonts w:hint="eastAsia"/>
                <w:color w:val="auto"/>
                <w:highlight w:val="none"/>
              </w:rPr>
            </w:pPr>
          </w:p>
          <w:p w14:paraId="6C711C4B">
            <w:pPr>
              <w:pStyle w:val="245"/>
              <w:spacing w:line="240" w:lineRule="auto"/>
              <w:jc w:val="center"/>
              <w:rPr>
                <w:rFonts w:hint="eastAsia"/>
                <w:color w:val="auto"/>
                <w:highlight w:val="none"/>
              </w:rPr>
            </w:pPr>
            <w:r>
              <w:rPr>
                <w:rFonts w:hint="eastAsia"/>
                <w:color w:val="auto"/>
                <w:highlight w:val="none"/>
              </w:rPr>
              <w:t>危险物质</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7CC96192">
            <w:pPr>
              <w:pStyle w:val="245"/>
              <w:spacing w:line="240" w:lineRule="auto"/>
              <w:jc w:val="center"/>
              <w:rPr>
                <w:rFonts w:hint="eastAsia"/>
                <w:color w:val="auto"/>
                <w:highlight w:val="none"/>
              </w:rPr>
            </w:pPr>
            <w:r>
              <w:rPr>
                <w:rFonts w:hint="eastAsia"/>
                <w:color w:val="auto"/>
                <w:highlight w:val="none"/>
              </w:rPr>
              <w:t>名称</w:t>
            </w:r>
          </w:p>
        </w:tc>
        <w:tc>
          <w:tcPr>
            <w:tcW w:w="5709" w:type="dxa"/>
            <w:gridSpan w:val="5"/>
            <w:tcBorders>
              <w:top w:val="single" w:color="000000" w:sz="4" w:space="0"/>
              <w:left w:val="single" w:color="000000" w:sz="4" w:space="0"/>
              <w:bottom w:val="single" w:color="000000" w:sz="4" w:space="0"/>
              <w:right w:val="nil"/>
            </w:tcBorders>
            <w:noWrap w:val="0"/>
            <w:vAlign w:val="center"/>
          </w:tcPr>
          <w:p w14:paraId="1B28707E">
            <w:pPr>
              <w:pStyle w:val="245"/>
              <w:spacing w:line="240" w:lineRule="auto"/>
              <w:jc w:val="center"/>
              <w:rPr>
                <w:rFonts w:hint="eastAsia"/>
                <w:color w:val="auto"/>
                <w:highlight w:val="none"/>
              </w:rPr>
            </w:pPr>
            <w:r>
              <w:rPr>
                <w:rFonts w:hint="eastAsia"/>
                <w:color w:val="auto"/>
                <w:highlight w:val="none"/>
              </w:rPr>
              <w:t>废机油</w:t>
            </w:r>
          </w:p>
        </w:tc>
      </w:tr>
      <w:tr w14:paraId="4EE32A9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37CD2482">
            <w:pPr>
              <w:pStyle w:val="245"/>
              <w:spacing w:line="240" w:lineRule="auto"/>
              <w:jc w:val="center"/>
              <w:rPr>
                <w:rFonts w:hint="eastAsia"/>
                <w:color w:val="auto"/>
                <w:highlight w:val="none"/>
              </w:rPr>
            </w:pPr>
          </w:p>
        </w:tc>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7BFE85">
            <w:pPr>
              <w:pStyle w:val="245"/>
              <w:spacing w:line="240" w:lineRule="auto"/>
              <w:jc w:val="center"/>
              <w:rPr>
                <w:rFonts w:hint="eastAsia"/>
                <w:color w:val="auto"/>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352839C7">
            <w:pPr>
              <w:pStyle w:val="245"/>
              <w:spacing w:line="240" w:lineRule="auto"/>
              <w:jc w:val="center"/>
              <w:rPr>
                <w:rFonts w:hint="eastAsia"/>
                <w:color w:val="auto"/>
                <w:highlight w:val="none"/>
              </w:rPr>
            </w:pPr>
            <w:r>
              <w:rPr>
                <w:rFonts w:hint="eastAsia"/>
                <w:color w:val="auto"/>
                <w:highlight w:val="none"/>
              </w:rPr>
              <w:t>存在总量/t</w:t>
            </w:r>
          </w:p>
        </w:tc>
        <w:tc>
          <w:tcPr>
            <w:tcW w:w="5709" w:type="dxa"/>
            <w:gridSpan w:val="5"/>
            <w:tcBorders>
              <w:top w:val="single" w:color="000000" w:sz="4" w:space="0"/>
              <w:left w:val="single" w:color="000000" w:sz="4" w:space="0"/>
              <w:bottom w:val="single" w:color="000000" w:sz="4" w:space="0"/>
              <w:right w:val="nil"/>
            </w:tcBorders>
            <w:noWrap w:val="0"/>
            <w:vAlign w:val="center"/>
          </w:tcPr>
          <w:p w14:paraId="780D836D">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3.0</w:t>
            </w:r>
          </w:p>
        </w:tc>
      </w:tr>
      <w:tr w14:paraId="5480601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50410DBA">
            <w:pPr>
              <w:pStyle w:val="245"/>
              <w:spacing w:line="240" w:lineRule="auto"/>
              <w:jc w:val="center"/>
              <w:rPr>
                <w:rFonts w:hint="eastAsia"/>
                <w:color w:val="auto"/>
                <w:highlight w:val="none"/>
              </w:rPr>
            </w:pPr>
          </w:p>
        </w:tc>
        <w:tc>
          <w:tcPr>
            <w:tcW w:w="1164" w:type="dxa"/>
            <w:vMerge w:val="restart"/>
            <w:tcBorders>
              <w:top w:val="single" w:color="000000" w:sz="4" w:space="0"/>
              <w:left w:val="single" w:color="000000" w:sz="4" w:space="0"/>
              <w:bottom w:val="single" w:color="000000" w:sz="4" w:space="0"/>
              <w:right w:val="single" w:color="000000" w:sz="4" w:space="0"/>
            </w:tcBorders>
            <w:noWrap w:val="0"/>
            <w:vAlign w:val="center"/>
          </w:tcPr>
          <w:p w14:paraId="771C57AF">
            <w:pPr>
              <w:pStyle w:val="245"/>
              <w:spacing w:line="240" w:lineRule="auto"/>
              <w:jc w:val="center"/>
              <w:rPr>
                <w:rFonts w:hint="eastAsia"/>
                <w:color w:val="auto"/>
                <w:highlight w:val="none"/>
              </w:rPr>
            </w:pPr>
            <w:r>
              <w:rPr>
                <w:rFonts w:hint="eastAsia"/>
                <w:color w:val="auto"/>
                <w:highlight w:val="none"/>
              </w:rPr>
              <w:t>环境敏感性</w:t>
            </w:r>
          </w:p>
        </w:tc>
        <w:tc>
          <w:tcPr>
            <w:tcW w:w="1036" w:type="dxa"/>
            <w:vMerge w:val="restart"/>
            <w:tcBorders>
              <w:top w:val="single" w:color="000000" w:sz="4" w:space="0"/>
              <w:left w:val="single" w:color="000000" w:sz="4" w:space="0"/>
              <w:bottom w:val="single" w:color="000000" w:sz="4" w:space="0"/>
              <w:right w:val="single" w:color="000000" w:sz="4" w:space="0"/>
            </w:tcBorders>
            <w:noWrap w:val="0"/>
            <w:vAlign w:val="center"/>
          </w:tcPr>
          <w:p w14:paraId="03780639">
            <w:pPr>
              <w:pStyle w:val="245"/>
              <w:spacing w:line="240" w:lineRule="auto"/>
              <w:jc w:val="center"/>
              <w:rPr>
                <w:rFonts w:hint="eastAsia"/>
                <w:color w:val="auto"/>
                <w:highlight w:val="none"/>
              </w:rPr>
            </w:pPr>
            <w:r>
              <w:rPr>
                <w:rFonts w:hint="eastAsia"/>
                <w:color w:val="auto"/>
                <w:highlight w:val="none"/>
              </w:rPr>
              <w:t>大气</w:t>
            </w:r>
          </w:p>
        </w:tc>
        <w:tc>
          <w:tcPr>
            <w:tcW w:w="3005" w:type="dxa"/>
            <w:gridSpan w:val="2"/>
            <w:tcBorders>
              <w:top w:val="single" w:color="000000" w:sz="4" w:space="0"/>
              <w:left w:val="single" w:color="000000" w:sz="4" w:space="0"/>
              <w:bottom w:val="single" w:color="000000" w:sz="4" w:space="0"/>
              <w:right w:val="single" w:color="000000" w:sz="4" w:space="0"/>
            </w:tcBorders>
            <w:noWrap w:val="0"/>
            <w:vAlign w:val="center"/>
          </w:tcPr>
          <w:p w14:paraId="489145C5">
            <w:pPr>
              <w:pStyle w:val="245"/>
              <w:spacing w:line="240" w:lineRule="auto"/>
              <w:jc w:val="center"/>
              <w:rPr>
                <w:rFonts w:hint="eastAsia"/>
                <w:color w:val="auto"/>
                <w:highlight w:val="none"/>
              </w:rPr>
            </w:pPr>
            <w:r>
              <w:rPr>
                <w:rFonts w:hint="eastAsia"/>
                <w:color w:val="auto"/>
                <w:highlight w:val="none"/>
              </w:rPr>
              <w:t>500m范围内人口数0人</w:t>
            </w:r>
          </w:p>
        </w:tc>
        <w:tc>
          <w:tcPr>
            <w:tcW w:w="2704" w:type="dxa"/>
            <w:gridSpan w:val="3"/>
            <w:tcBorders>
              <w:top w:val="single" w:color="000000" w:sz="4" w:space="0"/>
              <w:left w:val="single" w:color="000000" w:sz="4" w:space="0"/>
              <w:bottom w:val="single" w:color="000000" w:sz="4" w:space="0"/>
              <w:right w:val="nil"/>
            </w:tcBorders>
            <w:noWrap w:val="0"/>
            <w:vAlign w:val="center"/>
          </w:tcPr>
          <w:p w14:paraId="5223B0CF">
            <w:pPr>
              <w:pStyle w:val="245"/>
              <w:spacing w:line="240" w:lineRule="auto"/>
              <w:jc w:val="center"/>
              <w:rPr>
                <w:rFonts w:hint="eastAsia"/>
                <w:color w:val="auto"/>
                <w:highlight w:val="none"/>
              </w:rPr>
            </w:pPr>
            <w:r>
              <w:rPr>
                <w:rFonts w:hint="eastAsia"/>
                <w:color w:val="auto"/>
                <w:highlight w:val="none"/>
              </w:rPr>
              <w:t>5km范围内人口数</w:t>
            </w:r>
            <w:r>
              <w:rPr>
                <w:rFonts w:hint="eastAsia"/>
                <w:color w:val="auto"/>
                <w:highlight w:val="none"/>
                <w:lang w:val="en-US" w:eastAsia="zh-CN"/>
              </w:rPr>
              <w:t>27</w:t>
            </w:r>
            <w:r>
              <w:rPr>
                <w:rFonts w:hint="eastAsia"/>
                <w:color w:val="auto"/>
                <w:highlight w:val="none"/>
              </w:rPr>
              <w:t>3人</w:t>
            </w:r>
          </w:p>
        </w:tc>
      </w:tr>
      <w:tr w14:paraId="4CA4793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3CBEFAED">
            <w:pPr>
              <w:pStyle w:val="245"/>
              <w:spacing w:line="240" w:lineRule="auto"/>
              <w:jc w:val="center"/>
              <w:rPr>
                <w:rFonts w:hint="eastAsia"/>
                <w:color w:val="auto"/>
                <w:highlight w:val="none"/>
              </w:rPr>
            </w:pPr>
          </w:p>
        </w:tc>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FBE7B6">
            <w:pPr>
              <w:pStyle w:val="245"/>
              <w:spacing w:line="240" w:lineRule="auto"/>
              <w:jc w:val="center"/>
              <w:rPr>
                <w:rFonts w:hint="eastAsia"/>
                <w:color w:val="auto"/>
                <w:highlight w:val="none"/>
              </w:rPr>
            </w:pPr>
          </w:p>
        </w:tc>
        <w:tc>
          <w:tcPr>
            <w:tcW w:w="10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F94D2C">
            <w:pPr>
              <w:pStyle w:val="245"/>
              <w:spacing w:line="240" w:lineRule="auto"/>
              <w:jc w:val="center"/>
              <w:rPr>
                <w:rFonts w:hint="eastAsia"/>
                <w:color w:val="auto"/>
                <w:highlight w:val="none"/>
              </w:rPr>
            </w:pPr>
          </w:p>
        </w:tc>
        <w:tc>
          <w:tcPr>
            <w:tcW w:w="4236" w:type="dxa"/>
            <w:gridSpan w:val="4"/>
            <w:tcBorders>
              <w:top w:val="single" w:color="000000" w:sz="4" w:space="0"/>
              <w:left w:val="single" w:color="000000" w:sz="4" w:space="0"/>
              <w:bottom w:val="single" w:color="000000" w:sz="4" w:space="0"/>
              <w:right w:val="single" w:color="000000" w:sz="4" w:space="0"/>
            </w:tcBorders>
            <w:noWrap w:val="0"/>
            <w:vAlign w:val="center"/>
          </w:tcPr>
          <w:p w14:paraId="5C54CDA7">
            <w:pPr>
              <w:pStyle w:val="245"/>
              <w:spacing w:line="240" w:lineRule="auto"/>
              <w:jc w:val="center"/>
              <w:rPr>
                <w:rFonts w:hint="eastAsia"/>
                <w:color w:val="auto"/>
                <w:highlight w:val="none"/>
              </w:rPr>
            </w:pPr>
            <w:r>
              <w:rPr>
                <w:rFonts w:hint="eastAsia"/>
                <w:color w:val="auto"/>
                <w:highlight w:val="none"/>
              </w:rPr>
              <w:t>每公里管段周边200m 范围内人口数（最大）</w:t>
            </w:r>
          </w:p>
        </w:tc>
        <w:tc>
          <w:tcPr>
            <w:tcW w:w="1473" w:type="dxa"/>
            <w:tcBorders>
              <w:top w:val="single" w:color="000000" w:sz="4" w:space="0"/>
              <w:left w:val="single" w:color="000000" w:sz="4" w:space="0"/>
              <w:bottom w:val="single" w:color="000000" w:sz="4" w:space="0"/>
              <w:right w:val="nil"/>
            </w:tcBorders>
            <w:noWrap w:val="0"/>
            <w:vAlign w:val="center"/>
          </w:tcPr>
          <w:p w14:paraId="44DB2A08">
            <w:pPr>
              <w:pStyle w:val="245"/>
              <w:spacing w:line="240" w:lineRule="auto"/>
              <w:jc w:val="center"/>
              <w:rPr>
                <w:rFonts w:hint="eastAsia"/>
                <w:color w:val="auto"/>
                <w:highlight w:val="none"/>
              </w:rPr>
            </w:pPr>
            <w:r>
              <w:rPr>
                <w:rFonts w:hint="eastAsia"/>
                <w:color w:val="auto"/>
                <w:highlight w:val="none"/>
              </w:rPr>
              <w:t>人</w:t>
            </w:r>
          </w:p>
        </w:tc>
      </w:tr>
      <w:tr w14:paraId="1367F4F7">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666CE1F7">
            <w:pPr>
              <w:pStyle w:val="245"/>
              <w:spacing w:line="240" w:lineRule="auto"/>
              <w:jc w:val="center"/>
              <w:rPr>
                <w:rFonts w:hint="eastAsia"/>
                <w:color w:val="auto"/>
                <w:highlight w:val="none"/>
              </w:rPr>
            </w:pPr>
          </w:p>
        </w:tc>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A6B341">
            <w:pPr>
              <w:pStyle w:val="245"/>
              <w:spacing w:line="240" w:lineRule="auto"/>
              <w:jc w:val="center"/>
              <w:rPr>
                <w:rFonts w:hint="eastAsia"/>
                <w:color w:val="auto"/>
                <w:highlight w:val="none"/>
              </w:rPr>
            </w:pPr>
          </w:p>
        </w:tc>
        <w:tc>
          <w:tcPr>
            <w:tcW w:w="1036"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EC196">
            <w:pPr>
              <w:pStyle w:val="245"/>
              <w:spacing w:line="240" w:lineRule="auto"/>
              <w:jc w:val="center"/>
              <w:rPr>
                <w:rFonts w:hint="eastAsia"/>
                <w:color w:val="auto"/>
                <w:highlight w:val="none"/>
              </w:rPr>
            </w:pPr>
            <w:r>
              <w:rPr>
                <w:rFonts w:hint="eastAsia"/>
                <w:color w:val="auto"/>
                <w:highlight w:val="none"/>
              </w:rPr>
              <w:t>地表水</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370ED747">
            <w:pPr>
              <w:pStyle w:val="245"/>
              <w:spacing w:line="240" w:lineRule="auto"/>
              <w:jc w:val="center"/>
              <w:rPr>
                <w:rFonts w:hint="eastAsia"/>
                <w:color w:val="auto"/>
                <w:highlight w:val="none"/>
              </w:rPr>
            </w:pPr>
            <w:r>
              <w:rPr>
                <w:rFonts w:hint="eastAsia"/>
                <w:color w:val="auto"/>
                <w:highlight w:val="none"/>
              </w:rPr>
              <w:t>地表水功能敏感性</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062EDA3E">
            <w:pPr>
              <w:pStyle w:val="245"/>
              <w:spacing w:line="240" w:lineRule="auto"/>
              <w:jc w:val="center"/>
              <w:rPr>
                <w:rFonts w:hint="eastAsia"/>
                <w:color w:val="auto"/>
                <w:highlight w:val="none"/>
              </w:rPr>
            </w:pPr>
            <w:r>
              <w:rPr>
                <w:rFonts w:hint="eastAsia"/>
                <w:color w:val="auto"/>
                <w:highlight w:val="none"/>
              </w:rPr>
              <w:t>F1□</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3D3F3B19">
            <w:pPr>
              <w:pStyle w:val="245"/>
              <w:spacing w:line="240" w:lineRule="auto"/>
              <w:jc w:val="center"/>
              <w:rPr>
                <w:rFonts w:hint="eastAsia"/>
                <w:color w:val="auto"/>
                <w:highlight w:val="none"/>
              </w:rPr>
            </w:pPr>
            <w:r>
              <w:rPr>
                <w:rFonts w:hint="eastAsia"/>
                <w:color w:val="auto"/>
                <w:highlight w:val="none"/>
              </w:rPr>
              <w:t>F2□</w:t>
            </w:r>
          </w:p>
        </w:tc>
        <w:tc>
          <w:tcPr>
            <w:tcW w:w="1473" w:type="dxa"/>
            <w:tcBorders>
              <w:top w:val="single" w:color="000000" w:sz="4" w:space="0"/>
              <w:left w:val="single" w:color="000000" w:sz="4" w:space="0"/>
              <w:bottom w:val="single" w:color="000000" w:sz="4" w:space="0"/>
              <w:right w:val="nil"/>
            </w:tcBorders>
            <w:noWrap w:val="0"/>
            <w:vAlign w:val="center"/>
          </w:tcPr>
          <w:p w14:paraId="732E3A26">
            <w:pPr>
              <w:pStyle w:val="245"/>
              <w:spacing w:line="240" w:lineRule="auto"/>
              <w:jc w:val="center"/>
              <w:rPr>
                <w:rFonts w:hint="eastAsia" w:eastAsia="宋体"/>
                <w:color w:val="auto"/>
                <w:highlight w:val="none"/>
                <w:lang w:eastAsia="zh-CN"/>
              </w:rPr>
            </w:pPr>
            <w:r>
              <w:rPr>
                <w:rFonts w:hint="eastAsia"/>
                <w:color w:val="auto"/>
                <w:highlight w:val="none"/>
              </w:rPr>
              <w:t>F3</w:t>
            </w:r>
            <w:r>
              <w:rPr>
                <w:rFonts w:hint="eastAsia"/>
                <w:color w:val="auto"/>
                <w:highlight w:val="none"/>
                <w:lang w:eastAsia="zh-CN"/>
              </w:rPr>
              <w:t>☑</w:t>
            </w:r>
          </w:p>
        </w:tc>
      </w:tr>
      <w:tr w14:paraId="5606399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231413A6">
            <w:pPr>
              <w:pStyle w:val="245"/>
              <w:spacing w:line="240" w:lineRule="auto"/>
              <w:jc w:val="center"/>
              <w:rPr>
                <w:rFonts w:hint="eastAsia"/>
                <w:color w:val="auto"/>
                <w:highlight w:val="none"/>
              </w:rPr>
            </w:pPr>
          </w:p>
        </w:tc>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829EF2">
            <w:pPr>
              <w:pStyle w:val="245"/>
              <w:spacing w:line="240" w:lineRule="auto"/>
              <w:jc w:val="center"/>
              <w:rPr>
                <w:rFonts w:hint="eastAsia"/>
                <w:color w:val="auto"/>
                <w:highlight w:val="none"/>
              </w:rPr>
            </w:pPr>
          </w:p>
        </w:tc>
        <w:tc>
          <w:tcPr>
            <w:tcW w:w="10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D1B59D">
            <w:pPr>
              <w:pStyle w:val="245"/>
              <w:spacing w:line="240" w:lineRule="auto"/>
              <w:jc w:val="center"/>
              <w:rPr>
                <w:rFonts w:hint="eastAsia"/>
                <w:color w:val="auto"/>
                <w:highlight w:val="none"/>
              </w:rPr>
            </w:pP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197862CC">
            <w:pPr>
              <w:pStyle w:val="245"/>
              <w:spacing w:line="240" w:lineRule="auto"/>
              <w:jc w:val="center"/>
              <w:rPr>
                <w:rFonts w:hint="eastAsia"/>
                <w:color w:val="auto"/>
                <w:highlight w:val="none"/>
              </w:rPr>
            </w:pPr>
            <w:r>
              <w:rPr>
                <w:rFonts w:hint="eastAsia"/>
                <w:color w:val="auto"/>
                <w:highlight w:val="none"/>
              </w:rPr>
              <w:t>环境敏感目标分级</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7112667D">
            <w:pPr>
              <w:pStyle w:val="245"/>
              <w:spacing w:line="240" w:lineRule="auto"/>
              <w:jc w:val="center"/>
              <w:rPr>
                <w:rFonts w:hint="eastAsia"/>
                <w:color w:val="auto"/>
                <w:highlight w:val="none"/>
              </w:rPr>
            </w:pPr>
            <w:r>
              <w:rPr>
                <w:rFonts w:hint="eastAsia"/>
                <w:color w:val="auto"/>
                <w:highlight w:val="none"/>
              </w:rPr>
              <w:t>S1□</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4B332BF9">
            <w:pPr>
              <w:pStyle w:val="245"/>
              <w:spacing w:line="240" w:lineRule="auto"/>
              <w:jc w:val="center"/>
              <w:rPr>
                <w:rFonts w:hint="eastAsia"/>
                <w:color w:val="auto"/>
                <w:highlight w:val="none"/>
              </w:rPr>
            </w:pPr>
            <w:r>
              <w:rPr>
                <w:rFonts w:hint="eastAsia"/>
                <w:color w:val="auto"/>
                <w:highlight w:val="none"/>
              </w:rPr>
              <w:t>S2□</w:t>
            </w:r>
          </w:p>
        </w:tc>
        <w:tc>
          <w:tcPr>
            <w:tcW w:w="1473" w:type="dxa"/>
            <w:tcBorders>
              <w:top w:val="single" w:color="000000" w:sz="4" w:space="0"/>
              <w:left w:val="single" w:color="000000" w:sz="4" w:space="0"/>
              <w:bottom w:val="single" w:color="000000" w:sz="4" w:space="0"/>
              <w:right w:val="nil"/>
            </w:tcBorders>
            <w:noWrap w:val="0"/>
            <w:vAlign w:val="center"/>
          </w:tcPr>
          <w:p w14:paraId="698259F7">
            <w:pPr>
              <w:pStyle w:val="245"/>
              <w:spacing w:line="240" w:lineRule="auto"/>
              <w:jc w:val="center"/>
              <w:rPr>
                <w:rFonts w:hint="eastAsia" w:eastAsia="宋体"/>
                <w:color w:val="auto"/>
                <w:highlight w:val="none"/>
                <w:lang w:eastAsia="zh-CN"/>
              </w:rPr>
            </w:pPr>
            <w:r>
              <w:rPr>
                <w:rFonts w:hint="eastAsia"/>
                <w:color w:val="auto"/>
                <w:highlight w:val="none"/>
              </w:rPr>
              <w:t>S3</w:t>
            </w:r>
            <w:r>
              <w:rPr>
                <w:rFonts w:hint="eastAsia"/>
                <w:color w:val="auto"/>
                <w:highlight w:val="none"/>
                <w:lang w:eastAsia="zh-CN"/>
              </w:rPr>
              <w:t>☑</w:t>
            </w:r>
          </w:p>
        </w:tc>
      </w:tr>
      <w:tr w14:paraId="248B5E36">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4619527A">
            <w:pPr>
              <w:pStyle w:val="245"/>
              <w:spacing w:line="240" w:lineRule="auto"/>
              <w:jc w:val="center"/>
              <w:rPr>
                <w:rFonts w:hint="eastAsia"/>
                <w:color w:val="auto"/>
                <w:highlight w:val="none"/>
              </w:rPr>
            </w:pPr>
          </w:p>
        </w:tc>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5F73E">
            <w:pPr>
              <w:pStyle w:val="245"/>
              <w:spacing w:line="240" w:lineRule="auto"/>
              <w:jc w:val="center"/>
              <w:rPr>
                <w:rFonts w:hint="eastAsia"/>
                <w:color w:val="auto"/>
                <w:highlight w:val="none"/>
              </w:rPr>
            </w:pPr>
          </w:p>
        </w:tc>
        <w:tc>
          <w:tcPr>
            <w:tcW w:w="1036" w:type="dxa"/>
            <w:vMerge w:val="restart"/>
            <w:tcBorders>
              <w:top w:val="single" w:color="000000" w:sz="4" w:space="0"/>
              <w:left w:val="single" w:color="000000" w:sz="4" w:space="0"/>
              <w:bottom w:val="single" w:color="000000" w:sz="4" w:space="0"/>
              <w:right w:val="single" w:color="000000" w:sz="4" w:space="0"/>
            </w:tcBorders>
            <w:noWrap w:val="0"/>
            <w:vAlign w:val="center"/>
          </w:tcPr>
          <w:p w14:paraId="27BD4B52">
            <w:pPr>
              <w:pStyle w:val="245"/>
              <w:spacing w:line="240" w:lineRule="auto"/>
              <w:jc w:val="center"/>
              <w:rPr>
                <w:rFonts w:hint="eastAsia"/>
                <w:color w:val="auto"/>
                <w:highlight w:val="none"/>
              </w:rPr>
            </w:pPr>
            <w:r>
              <w:rPr>
                <w:rFonts w:hint="eastAsia"/>
                <w:color w:val="auto"/>
                <w:highlight w:val="none"/>
              </w:rPr>
              <w:t>地下水</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7B16AB94">
            <w:pPr>
              <w:pStyle w:val="245"/>
              <w:spacing w:line="240" w:lineRule="auto"/>
              <w:jc w:val="center"/>
              <w:rPr>
                <w:rFonts w:hint="eastAsia"/>
                <w:color w:val="auto"/>
                <w:highlight w:val="none"/>
              </w:rPr>
            </w:pPr>
            <w:r>
              <w:rPr>
                <w:rFonts w:hint="eastAsia"/>
                <w:color w:val="auto"/>
                <w:highlight w:val="none"/>
              </w:rPr>
              <w:t>地下水功能敏感性</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236A65E0">
            <w:pPr>
              <w:pStyle w:val="245"/>
              <w:spacing w:line="240" w:lineRule="auto"/>
              <w:jc w:val="center"/>
              <w:rPr>
                <w:rFonts w:hint="eastAsia"/>
                <w:color w:val="auto"/>
                <w:highlight w:val="none"/>
              </w:rPr>
            </w:pPr>
            <w:r>
              <w:rPr>
                <w:rFonts w:hint="eastAsia"/>
                <w:color w:val="auto"/>
                <w:highlight w:val="none"/>
              </w:rPr>
              <w:t>G1□</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1285FB27">
            <w:pPr>
              <w:pStyle w:val="245"/>
              <w:spacing w:line="240" w:lineRule="auto"/>
              <w:jc w:val="center"/>
              <w:rPr>
                <w:rFonts w:hint="eastAsia" w:eastAsia="宋体"/>
                <w:color w:val="auto"/>
                <w:highlight w:val="none"/>
                <w:lang w:eastAsia="zh-CN"/>
              </w:rPr>
            </w:pPr>
            <w:r>
              <w:rPr>
                <w:rFonts w:hint="eastAsia"/>
                <w:color w:val="auto"/>
                <w:highlight w:val="none"/>
              </w:rPr>
              <w:t>G2</w:t>
            </w:r>
            <w:r>
              <w:rPr>
                <w:rFonts w:hint="eastAsia"/>
                <w:color w:val="auto"/>
                <w:highlight w:val="none"/>
                <w:lang w:eastAsia="zh-CN"/>
              </w:rPr>
              <w:t>☑</w:t>
            </w:r>
          </w:p>
        </w:tc>
        <w:tc>
          <w:tcPr>
            <w:tcW w:w="1473" w:type="dxa"/>
            <w:tcBorders>
              <w:top w:val="single" w:color="000000" w:sz="4" w:space="0"/>
              <w:left w:val="single" w:color="000000" w:sz="4" w:space="0"/>
              <w:bottom w:val="single" w:color="000000" w:sz="4" w:space="0"/>
              <w:right w:val="nil"/>
            </w:tcBorders>
            <w:noWrap w:val="0"/>
            <w:vAlign w:val="center"/>
          </w:tcPr>
          <w:p w14:paraId="419D0CAC">
            <w:pPr>
              <w:pStyle w:val="245"/>
              <w:spacing w:line="240" w:lineRule="auto"/>
              <w:jc w:val="center"/>
              <w:rPr>
                <w:rFonts w:hint="eastAsia"/>
                <w:color w:val="auto"/>
                <w:highlight w:val="none"/>
              </w:rPr>
            </w:pPr>
            <w:r>
              <w:rPr>
                <w:rFonts w:hint="eastAsia"/>
                <w:color w:val="auto"/>
                <w:highlight w:val="none"/>
              </w:rPr>
              <w:t>G3□</w:t>
            </w:r>
          </w:p>
        </w:tc>
      </w:tr>
      <w:tr w14:paraId="151EBC7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7BA10E2E">
            <w:pPr>
              <w:pStyle w:val="245"/>
              <w:spacing w:line="240" w:lineRule="auto"/>
              <w:jc w:val="center"/>
              <w:rPr>
                <w:rFonts w:hint="eastAsia"/>
                <w:color w:val="auto"/>
                <w:highlight w:val="none"/>
              </w:rPr>
            </w:pPr>
          </w:p>
        </w:tc>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EAA7D4">
            <w:pPr>
              <w:pStyle w:val="245"/>
              <w:spacing w:line="240" w:lineRule="auto"/>
              <w:jc w:val="center"/>
              <w:rPr>
                <w:rFonts w:hint="eastAsia"/>
                <w:color w:val="auto"/>
                <w:highlight w:val="none"/>
              </w:rPr>
            </w:pPr>
          </w:p>
        </w:tc>
        <w:tc>
          <w:tcPr>
            <w:tcW w:w="10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1206A3">
            <w:pPr>
              <w:pStyle w:val="245"/>
              <w:spacing w:line="240" w:lineRule="auto"/>
              <w:jc w:val="center"/>
              <w:rPr>
                <w:rFonts w:hint="eastAsia"/>
                <w:color w:val="auto"/>
                <w:highlight w:val="none"/>
              </w:rPr>
            </w:pP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237EA018">
            <w:pPr>
              <w:pStyle w:val="245"/>
              <w:spacing w:line="240" w:lineRule="auto"/>
              <w:jc w:val="center"/>
              <w:rPr>
                <w:rFonts w:hint="eastAsia"/>
                <w:color w:val="auto"/>
                <w:highlight w:val="none"/>
              </w:rPr>
            </w:pPr>
            <w:r>
              <w:rPr>
                <w:rFonts w:hint="eastAsia"/>
                <w:color w:val="auto"/>
                <w:highlight w:val="none"/>
              </w:rPr>
              <w:t>包气带防污性能</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01D4B5F2">
            <w:pPr>
              <w:pStyle w:val="245"/>
              <w:spacing w:line="240" w:lineRule="auto"/>
              <w:jc w:val="center"/>
              <w:rPr>
                <w:rFonts w:hint="eastAsia" w:eastAsia="宋体"/>
                <w:color w:val="auto"/>
                <w:highlight w:val="none"/>
                <w:lang w:eastAsia="zh-CN"/>
              </w:rPr>
            </w:pPr>
            <w:r>
              <w:rPr>
                <w:rFonts w:hint="eastAsia"/>
                <w:color w:val="auto"/>
                <w:highlight w:val="none"/>
              </w:rPr>
              <w:t>D1</w:t>
            </w:r>
            <w:r>
              <w:rPr>
                <w:rFonts w:hint="eastAsia"/>
                <w:color w:val="auto"/>
                <w:highlight w:val="none"/>
                <w:lang w:eastAsia="zh-CN"/>
              </w:rPr>
              <w:t>☑</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75AA38AC">
            <w:pPr>
              <w:pStyle w:val="245"/>
              <w:spacing w:line="240" w:lineRule="auto"/>
              <w:jc w:val="center"/>
              <w:rPr>
                <w:rFonts w:hint="eastAsia"/>
                <w:color w:val="auto"/>
                <w:highlight w:val="none"/>
              </w:rPr>
            </w:pPr>
            <w:r>
              <w:rPr>
                <w:rFonts w:hint="eastAsia"/>
                <w:color w:val="auto"/>
                <w:highlight w:val="none"/>
              </w:rPr>
              <w:t>D2□</w:t>
            </w:r>
          </w:p>
        </w:tc>
        <w:tc>
          <w:tcPr>
            <w:tcW w:w="1473" w:type="dxa"/>
            <w:tcBorders>
              <w:top w:val="single" w:color="000000" w:sz="4" w:space="0"/>
              <w:left w:val="single" w:color="000000" w:sz="4" w:space="0"/>
              <w:bottom w:val="single" w:color="000000" w:sz="4" w:space="0"/>
              <w:right w:val="nil"/>
            </w:tcBorders>
            <w:noWrap w:val="0"/>
            <w:vAlign w:val="center"/>
          </w:tcPr>
          <w:p w14:paraId="1A999DEF">
            <w:pPr>
              <w:pStyle w:val="245"/>
              <w:spacing w:line="240" w:lineRule="auto"/>
              <w:jc w:val="center"/>
              <w:rPr>
                <w:rFonts w:hint="eastAsia"/>
                <w:color w:val="auto"/>
                <w:highlight w:val="none"/>
              </w:rPr>
            </w:pPr>
            <w:r>
              <w:rPr>
                <w:rFonts w:hint="eastAsia"/>
                <w:color w:val="auto"/>
                <w:highlight w:val="none"/>
              </w:rPr>
              <w:t>D3□</w:t>
            </w:r>
          </w:p>
        </w:tc>
      </w:tr>
      <w:tr w14:paraId="452836A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vMerge w:val="restart"/>
            <w:tcBorders>
              <w:top w:val="single" w:color="000000" w:sz="4" w:space="0"/>
              <w:left w:val="nil"/>
              <w:bottom w:val="single" w:color="000000" w:sz="4" w:space="0"/>
              <w:right w:val="single" w:color="000000" w:sz="4" w:space="0"/>
            </w:tcBorders>
            <w:noWrap w:val="0"/>
            <w:vAlign w:val="center"/>
          </w:tcPr>
          <w:p w14:paraId="5024239A">
            <w:pPr>
              <w:pStyle w:val="245"/>
              <w:spacing w:line="240" w:lineRule="auto"/>
              <w:jc w:val="center"/>
              <w:rPr>
                <w:rFonts w:hint="eastAsia"/>
                <w:color w:val="auto"/>
                <w:highlight w:val="none"/>
              </w:rPr>
            </w:pPr>
            <w:r>
              <w:rPr>
                <w:rFonts w:hint="eastAsia"/>
                <w:color w:val="auto"/>
                <w:highlight w:val="none"/>
              </w:rPr>
              <w:t>物质及工艺系统危险性</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4A611B5F">
            <w:pPr>
              <w:pStyle w:val="245"/>
              <w:spacing w:line="240" w:lineRule="auto"/>
              <w:jc w:val="center"/>
              <w:rPr>
                <w:rFonts w:hint="eastAsia"/>
                <w:color w:val="auto"/>
                <w:highlight w:val="none"/>
              </w:rPr>
            </w:pPr>
            <w:r>
              <w:rPr>
                <w:rFonts w:hint="eastAsia"/>
                <w:color w:val="auto"/>
                <w:highlight w:val="none"/>
              </w:rPr>
              <w:t>Q 值</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470FC9B6">
            <w:pPr>
              <w:pStyle w:val="245"/>
              <w:spacing w:line="240" w:lineRule="auto"/>
              <w:jc w:val="center"/>
              <w:rPr>
                <w:rFonts w:hint="eastAsia" w:eastAsia="宋体"/>
                <w:color w:val="auto"/>
                <w:highlight w:val="none"/>
                <w:lang w:eastAsia="zh-CN"/>
              </w:rPr>
            </w:pPr>
            <w:r>
              <w:rPr>
                <w:rFonts w:hint="eastAsia"/>
                <w:color w:val="auto"/>
                <w:highlight w:val="none"/>
              </w:rPr>
              <w:t>Q＜1</w:t>
            </w:r>
            <w:r>
              <w:rPr>
                <w:rFonts w:hint="eastAsia"/>
                <w:color w:val="auto"/>
                <w:highlight w:val="none"/>
                <w:lang w:eastAsia="zh-CN"/>
              </w:rPr>
              <w:t>☑</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01CB53B5">
            <w:pPr>
              <w:pStyle w:val="245"/>
              <w:spacing w:line="240" w:lineRule="auto"/>
              <w:jc w:val="center"/>
              <w:rPr>
                <w:rFonts w:hint="eastAsia"/>
                <w:color w:val="auto"/>
                <w:highlight w:val="none"/>
              </w:rPr>
            </w:pPr>
            <w:r>
              <w:rPr>
                <w:rFonts w:hint="eastAsia"/>
                <w:color w:val="auto"/>
                <w:highlight w:val="none"/>
              </w:rPr>
              <w:t>1≤Q＜10</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039ACEC8">
            <w:pPr>
              <w:pStyle w:val="245"/>
              <w:spacing w:line="240" w:lineRule="auto"/>
              <w:jc w:val="center"/>
              <w:rPr>
                <w:rFonts w:hint="eastAsia"/>
                <w:color w:val="auto"/>
                <w:highlight w:val="none"/>
              </w:rPr>
            </w:pPr>
            <w:r>
              <w:rPr>
                <w:rFonts w:hint="eastAsia"/>
                <w:color w:val="auto"/>
                <w:highlight w:val="none"/>
              </w:rPr>
              <w:t>10≤Q＜100</w:t>
            </w:r>
          </w:p>
        </w:tc>
        <w:tc>
          <w:tcPr>
            <w:tcW w:w="1473" w:type="dxa"/>
            <w:tcBorders>
              <w:top w:val="single" w:color="000000" w:sz="4" w:space="0"/>
              <w:left w:val="single" w:color="000000" w:sz="4" w:space="0"/>
              <w:bottom w:val="single" w:color="000000" w:sz="4" w:space="0"/>
              <w:right w:val="nil"/>
            </w:tcBorders>
            <w:noWrap w:val="0"/>
            <w:vAlign w:val="center"/>
          </w:tcPr>
          <w:p w14:paraId="35EE584A">
            <w:pPr>
              <w:pStyle w:val="245"/>
              <w:spacing w:line="240" w:lineRule="auto"/>
              <w:jc w:val="center"/>
              <w:rPr>
                <w:rFonts w:hint="eastAsia"/>
                <w:color w:val="auto"/>
                <w:highlight w:val="none"/>
              </w:rPr>
            </w:pPr>
            <w:r>
              <w:rPr>
                <w:rFonts w:hint="eastAsia"/>
                <w:color w:val="auto"/>
                <w:highlight w:val="none"/>
              </w:rPr>
              <w:t>Q＞100</w:t>
            </w:r>
          </w:p>
        </w:tc>
      </w:tr>
      <w:tr w14:paraId="498261F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vMerge w:val="continue"/>
            <w:tcBorders>
              <w:top w:val="single" w:color="000000" w:sz="4" w:space="0"/>
              <w:left w:val="nil"/>
              <w:bottom w:val="single" w:color="000000" w:sz="4" w:space="0"/>
              <w:right w:val="single" w:color="000000" w:sz="4" w:space="0"/>
            </w:tcBorders>
            <w:noWrap w:val="0"/>
            <w:vAlign w:val="center"/>
          </w:tcPr>
          <w:p w14:paraId="052799D8">
            <w:pPr>
              <w:pStyle w:val="245"/>
              <w:spacing w:line="240" w:lineRule="auto"/>
              <w:jc w:val="center"/>
              <w:rPr>
                <w:rFonts w:hint="eastAsia"/>
                <w:color w:val="auto"/>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4A82E22B">
            <w:pPr>
              <w:pStyle w:val="245"/>
              <w:spacing w:line="240" w:lineRule="auto"/>
              <w:jc w:val="center"/>
              <w:rPr>
                <w:rFonts w:hint="eastAsia"/>
                <w:color w:val="auto"/>
                <w:highlight w:val="none"/>
              </w:rPr>
            </w:pPr>
            <w:r>
              <w:rPr>
                <w:rFonts w:hint="eastAsia"/>
                <w:color w:val="auto"/>
                <w:highlight w:val="none"/>
              </w:rPr>
              <w:t>M 值</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57748B07">
            <w:pPr>
              <w:pStyle w:val="245"/>
              <w:spacing w:line="240" w:lineRule="auto"/>
              <w:jc w:val="center"/>
              <w:rPr>
                <w:rFonts w:hint="eastAsia"/>
                <w:color w:val="auto"/>
                <w:highlight w:val="none"/>
              </w:rPr>
            </w:pPr>
            <w:r>
              <w:rPr>
                <w:rFonts w:hint="eastAsia"/>
                <w:color w:val="auto"/>
                <w:highlight w:val="none"/>
              </w:rPr>
              <w:t>M1□</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4F78DFF8">
            <w:pPr>
              <w:pStyle w:val="245"/>
              <w:spacing w:line="240" w:lineRule="auto"/>
              <w:jc w:val="center"/>
              <w:rPr>
                <w:rFonts w:hint="eastAsia"/>
                <w:color w:val="auto"/>
                <w:highlight w:val="none"/>
              </w:rPr>
            </w:pPr>
            <w:r>
              <w:rPr>
                <w:rFonts w:hint="eastAsia"/>
                <w:color w:val="auto"/>
                <w:highlight w:val="none"/>
              </w:rPr>
              <w:t>M2□</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019ED359">
            <w:pPr>
              <w:pStyle w:val="245"/>
              <w:spacing w:line="240" w:lineRule="auto"/>
              <w:jc w:val="center"/>
              <w:rPr>
                <w:rFonts w:hint="eastAsia"/>
                <w:color w:val="auto"/>
                <w:highlight w:val="none"/>
              </w:rPr>
            </w:pPr>
            <w:r>
              <w:rPr>
                <w:rFonts w:hint="eastAsia"/>
                <w:color w:val="auto"/>
                <w:highlight w:val="none"/>
              </w:rPr>
              <w:t>M3□</w:t>
            </w:r>
          </w:p>
        </w:tc>
        <w:tc>
          <w:tcPr>
            <w:tcW w:w="1473" w:type="dxa"/>
            <w:tcBorders>
              <w:top w:val="single" w:color="000000" w:sz="4" w:space="0"/>
              <w:left w:val="single" w:color="000000" w:sz="4" w:space="0"/>
              <w:bottom w:val="single" w:color="000000" w:sz="4" w:space="0"/>
              <w:right w:val="nil"/>
            </w:tcBorders>
            <w:noWrap w:val="0"/>
            <w:vAlign w:val="center"/>
          </w:tcPr>
          <w:p w14:paraId="1CD7143C">
            <w:pPr>
              <w:pStyle w:val="245"/>
              <w:spacing w:line="240" w:lineRule="auto"/>
              <w:jc w:val="center"/>
              <w:rPr>
                <w:rFonts w:hint="eastAsia"/>
                <w:color w:val="auto"/>
                <w:highlight w:val="none"/>
              </w:rPr>
            </w:pPr>
            <w:r>
              <w:rPr>
                <w:rFonts w:hint="eastAsia"/>
                <w:color w:val="auto"/>
                <w:highlight w:val="none"/>
              </w:rPr>
              <w:t>M4□</w:t>
            </w:r>
          </w:p>
        </w:tc>
      </w:tr>
      <w:tr w14:paraId="649101B0">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vMerge w:val="continue"/>
            <w:tcBorders>
              <w:top w:val="single" w:color="000000" w:sz="4" w:space="0"/>
              <w:left w:val="nil"/>
              <w:bottom w:val="single" w:color="000000" w:sz="4" w:space="0"/>
              <w:right w:val="single" w:color="000000" w:sz="4" w:space="0"/>
            </w:tcBorders>
            <w:noWrap w:val="0"/>
            <w:vAlign w:val="center"/>
          </w:tcPr>
          <w:p w14:paraId="4144A677">
            <w:pPr>
              <w:pStyle w:val="245"/>
              <w:spacing w:line="240" w:lineRule="auto"/>
              <w:jc w:val="center"/>
              <w:rPr>
                <w:rFonts w:hint="eastAsia"/>
                <w:color w:val="auto"/>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331213D7">
            <w:pPr>
              <w:pStyle w:val="245"/>
              <w:spacing w:line="240" w:lineRule="auto"/>
              <w:jc w:val="center"/>
              <w:rPr>
                <w:rFonts w:hint="eastAsia"/>
                <w:color w:val="auto"/>
                <w:highlight w:val="none"/>
              </w:rPr>
            </w:pPr>
            <w:r>
              <w:rPr>
                <w:rFonts w:hint="eastAsia"/>
                <w:color w:val="auto"/>
                <w:highlight w:val="none"/>
              </w:rPr>
              <w:t>P 值</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16449AF3">
            <w:pPr>
              <w:pStyle w:val="245"/>
              <w:spacing w:line="240" w:lineRule="auto"/>
              <w:jc w:val="center"/>
              <w:rPr>
                <w:rFonts w:hint="eastAsia"/>
                <w:color w:val="auto"/>
                <w:highlight w:val="none"/>
              </w:rPr>
            </w:pPr>
            <w:r>
              <w:rPr>
                <w:rFonts w:hint="eastAsia"/>
                <w:color w:val="auto"/>
                <w:highlight w:val="none"/>
              </w:rPr>
              <w:t>P1□</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4CFCC035">
            <w:pPr>
              <w:pStyle w:val="245"/>
              <w:spacing w:line="240" w:lineRule="auto"/>
              <w:jc w:val="center"/>
              <w:rPr>
                <w:rFonts w:hint="eastAsia"/>
                <w:color w:val="auto"/>
                <w:highlight w:val="none"/>
              </w:rPr>
            </w:pPr>
            <w:r>
              <w:rPr>
                <w:rFonts w:hint="eastAsia"/>
                <w:color w:val="auto"/>
                <w:highlight w:val="none"/>
              </w:rPr>
              <w:t>P2□</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0B398719">
            <w:pPr>
              <w:pStyle w:val="245"/>
              <w:spacing w:line="240" w:lineRule="auto"/>
              <w:jc w:val="center"/>
              <w:rPr>
                <w:rFonts w:hint="eastAsia"/>
                <w:color w:val="auto"/>
                <w:highlight w:val="none"/>
              </w:rPr>
            </w:pPr>
            <w:r>
              <w:rPr>
                <w:rFonts w:hint="eastAsia"/>
                <w:color w:val="auto"/>
                <w:highlight w:val="none"/>
              </w:rPr>
              <w:t>P3□</w:t>
            </w:r>
          </w:p>
        </w:tc>
        <w:tc>
          <w:tcPr>
            <w:tcW w:w="1473" w:type="dxa"/>
            <w:tcBorders>
              <w:top w:val="single" w:color="000000" w:sz="4" w:space="0"/>
              <w:left w:val="single" w:color="000000" w:sz="4" w:space="0"/>
              <w:bottom w:val="single" w:color="000000" w:sz="4" w:space="0"/>
              <w:right w:val="nil"/>
            </w:tcBorders>
            <w:noWrap w:val="0"/>
            <w:vAlign w:val="center"/>
          </w:tcPr>
          <w:p w14:paraId="375CE029">
            <w:pPr>
              <w:pStyle w:val="245"/>
              <w:spacing w:line="240" w:lineRule="auto"/>
              <w:jc w:val="center"/>
              <w:rPr>
                <w:rFonts w:hint="eastAsia"/>
                <w:color w:val="auto"/>
                <w:highlight w:val="none"/>
              </w:rPr>
            </w:pPr>
            <w:r>
              <w:rPr>
                <w:rFonts w:hint="eastAsia"/>
                <w:color w:val="auto"/>
                <w:highlight w:val="none"/>
              </w:rPr>
              <w:t>P4□</w:t>
            </w:r>
          </w:p>
        </w:tc>
      </w:tr>
      <w:tr w14:paraId="44B560C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vMerge w:val="restart"/>
            <w:tcBorders>
              <w:top w:val="single" w:color="000000" w:sz="4" w:space="0"/>
              <w:left w:val="nil"/>
              <w:bottom w:val="single" w:color="000000" w:sz="4" w:space="0"/>
              <w:right w:val="single" w:color="000000" w:sz="4" w:space="0"/>
            </w:tcBorders>
            <w:noWrap w:val="0"/>
            <w:vAlign w:val="center"/>
          </w:tcPr>
          <w:p w14:paraId="6D3C5888">
            <w:pPr>
              <w:pStyle w:val="245"/>
              <w:spacing w:line="240" w:lineRule="auto"/>
              <w:jc w:val="center"/>
              <w:rPr>
                <w:rFonts w:hint="eastAsia"/>
                <w:color w:val="auto"/>
                <w:highlight w:val="none"/>
              </w:rPr>
            </w:pPr>
            <w:r>
              <w:rPr>
                <w:rFonts w:hint="eastAsia"/>
                <w:color w:val="auto"/>
                <w:highlight w:val="none"/>
              </w:rPr>
              <w:t>环境敏感程度</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06E6F297">
            <w:pPr>
              <w:pStyle w:val="245"/>
              <w:spacing w:line="240" w:lineRule="auto"/>
              <w:jc w:val="center"/>
              <w:rPr>
                <w:rFonts w:hint="eastAsia"/>
                <w:color w:val="auto"/>
                <w:highlight w:val="none"/>
              </w:rPr>
            </w:pPr>
            <w:r>
              <w:rPr>
                <w:rFonts w:hint="eastAsia"/>
                <w:color w:val="auto"/>
                <w:highlight w:val="none"/>
              </w:rPr>
              <w:t>大气</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32D742DD">
            <w:pPr>
              <w:pStyle w:val="245"/>
              <w:spacing w:line="240" w:lineRule="auto"/>
              <w:jc w:val="center"/>
              <w:rPr>
                <w:rFonts w:hint="eastAsia"/>
                <w:color w:val="auto"/>
                <w:highlight w:val="none"/>
              </w:rPr>
            </w:pPr>
            <w:r>
              <w:rPr>
                <w:rFonts w:hint="eastAsia"/>
                <w:color w:val="auto"/>
                <w:highlight w:val="none"/>
              </w:rPr>
              <w:t>E1□</w:t>
            </w:r>
          </w:p>
        </w:tc>
        <w:tc>
          <w:tcPr>
            <w:tcW w:w="1776" w:type="dxa"/>
            <w:gridSpan w:val="2"/>
            <w:tcBorders>
              <w:top w:val="single" w:color="000000" w:sz="4" w:space="0"/>
              <w:left w:val="single" w:color="000000" w:sz="4" w:space="0"/>
              <w:bottom w:val="single" w:color="000000" w:sz="4" w:space="0"/>
              <w:right w:val="single" w:color="000000" w:sz="4" w:space="0"/>
            </w:tcBorders>
            <w:noWrap w:val="0"/>
            <w:vAlign w:val="center"/>
          </w:tcPr>
          <w:p w14:paraId="12951870">
            <w:pPr>
              <w:pStyle w:val="245"/>
              <w:spacing w:line="240" w:lineRule="auto"/>
              <w:jc w:val="center"/>
              <w:rPr>
                <w:rFonts w:hint="eastAsia"/>
                <w:color w:val="auto"/>
                <w:highlight w:val="none"/>
              </w:rPr>
            </w:pPr>
            <w:r>
              <w:rPr>
                <w:rFonts w:hint="eastAsia"/>
                <w:color w:val="auto"/>
                <w:highlight w:val="none"/>
              </w:rPr>
              <w:t>E2□</w:t>
            </w:r>
          </w:p>
        </w:tc>
        <w:tc>
          <w:tcPr>
            <w:tcW w:w="2196" w:type="dxa"/>
            <w:gridSpan w:val="2"/>
            <w:tcBorders>
              <w:top w:val="single" w:color="000000" w:sz="4" w:space="0"/>
              <w:left w:val="single" w:color="000000" w:sz="4" w:space="0"/>
              <w:bottom w:val="single" w:color="000000" w:sz="4" w:space="0"/>
              <w:right w:val="nil"/>
            </w:tcBorders>
            <w:noWrap w:val="0"/>
            <w:vAlign w:val="center"/>
          </w:tcPr>
          <w:p w14:paraId="064E17F6">
            <w:pPr>
              <w:pStyle w:val="245"/>
              <w:spacing w:line="240" w:lineRule="auto"/>
              <w:jc w:val="center"/>
              <w:rPr>
                <w:rFonts w:hint="eastAsia" w:eastAsia="宋体"/>
                <w:color w:val="auto"/>
                <w:highlight w:val="none"/>
                <w:lang w:eastAsia="zh-CN"/>
              </w:rPr>
            </w:pPr>
            <w:r>
              <w:rPr>
                <w:rFonts w:hint="eastAsia"/>
                <w:color w:val="auto"/>
                <w:highlight w:val="none"/>
              </w:rPr>
              <w:t>E3</w:t>
            </w:r>
            <w:r>
              <w:rPr>
                <w:rFonts w:hint="eastAsia"/>
                <w:color w:val="auto"/>
                <w:highlight w:val="none"/>
                <w:lang w:eastAsia="zh-CN"/>
              </w:rPr>
              <w:t>☑</w:t>
            </w:r>
          </w:p>
        </w:tc>
      </w:tr>
      <w:tr w14:paraId="115FDF4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vMerge w:val="continue"/>
            <w:tcBorders>
              <w:top w:val="single" w:color="000000" w:sz="4" w:space="0"/>
              <w:left w:val="nil"/>
              <w:bottom w:val="single" w:color="000000" w:sz="4" w:space="0"/>
              <w:right w:val="single" w:color="000000" w:sz="4" w:space="0"/>
            </w:tcBorders>
            <w:noWrap w:val="0"/>
            <w:vAlign w:val="center"/>
          </w:tcPr>
          <w:p w14:paraId="32218AE7">
            <w:pPr>
              <w:pStyle w:val="245"/>
              <w:spacing w:line="240" w:lineRule="auto"/>
              <w:jc w:val="center"/>
              <w:rPr>
                <w:rFonts w:hint="eastAsia"/>
                <w:color w:val="auto"/>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074CA0E5">
            <w:pPr>
              <w:pStyle w:val="245"/>
              <w:spacing w:line="240" w:lineRule="auto"/>
              <w:jc w:val="center"/>
              <w:rPr>
                <w:rFonts w:hint="eastAsia"/>
                <w:color w:val="auto"/>
                <w:highlight w:val="none"/>
              </w:rPr>
            </w:pPr>
            <w:r>
              <w:rPr>
                <w:rFonts w:hint="eastAsia"/>
                <w:color w:val="auto"/>
                <w:highlight w:val="none"/>
              </w:rPr>
              <w:t>地表水</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419DE80A">
            <w:pPr>
              <w:pStyle w:val="245"/>
              <w:spacing w:line="240" w:lineRule="auto"/>
              <w:jc w:val="center"/>
              <w:rPr>
                <w:rFonts w:hint="eastAsia"/>
                <w:color w:val="auto"/>
                <w:highlight w:val="none"/>
              </w:rPr>
            </w:pPr>
            <w:r>
              <w:rPr>
                <w:rFonts w:hint="eastAsia"/>
                <w:color w:val="auto"/>
                <w:highlight w:val="none"/>
              </w:rPr>
              <w:t>E1□</w:t>
            </w:r>
          </w:p>
        </w:tc>
        <w:tc>
          <w:tcPr>
            <w:tcW w:w="1776" w:type="dxa"/>
            <w:gridSpan w:val="2"/>
            <w:tcBorders>
              <w:top w:val="single" w:color="000000" w:sz="4" w:space="0"/>
              <w:left w:val="single" w:color="000000" w:sz="4" w:space="0"/>
              <w:bottom w:val="single" w:color="000000" w:sz="4" w:space="0"/>
              <w:right w:val="single" w:color="000000" w:sz="4" w:space="0"/>
            </w:tcBorders>
            <w:noWrap w:val="0"/>
            <w:vAlign w:val="center"/>
          </w:tcPr>
          <w:p w14:paraId="1679A12B">
            <w:pPr>
              <w:pStyle w:val="245"/>
              <w:spacing w:line="240" w:lineRule="auto"/>
              <w:jc w:val="center"/>
              <w:rPr>
                <w:rFonts w:hint="eastAsia"/>
                <w:color w:val="auto"/>
                <w:highlight w:val="none"/>
              </w:rPr>
            </w:pPr>
            <w:r>
              <w:rPr>
                <w:rFonts w:hint="eastAsia"/>
                <w:color w:val="auto"/>
                <w:highlight w:val="none"/>
              </w:rPr>
              <w:t>E2□</w:t>
            </w:r>
          </w:p>
        </w:tc>
        <w:tc>
          <w:tcPr>
            <w:tcW w:w="2196" w:type="dxa"/>
            <w:gridSpan w:val="2"/>
            <w:tcBorders>
              <w:top w:val="single" w:color="000000" w:sz="4" w:space="0"/>
              <w:left w:val="single" w:color="000000" w:sz="4" w:space="0"/>
              <w:bottom w:val="single" w:color="000000" w:sz="4" w:space="0"/>
              <w:right w:val="nil"/>
            </w:tcBorders>
            <w:noWrap w:val="0"/>
            <w:vAlign w:val="center"/>
          </w:tcPr>
          <w:p w14:paraId="3BD63D03">
            <w:pPr>
              <w:pStyle w:val="245"/>
              <w:spacing w:line="240" w:lineRule="auto"/>
              <w:jc w:val="center"/>
              <w:rPr>
                <w:rFonts w:hint="eastAsia" w:eastAsia="宋体"/>
                <w:color w:val="auto"/>
                <w:highlight w:val="none"/>
                <w:lang w:eastAsia="zh-CN"/>
              </w:rPr>
            </w:pPr>
            <w:r>
              <w:rPr>
                <w:rFonts w:hint="eastAsia"/>
                <w:color w:val="auto"/>
                <w:highlight w:val="none"/>
              </w:rPr>
              <w:t>E3</w:t>
            </w:r>
            <w:r>
              <w:rPr>
                <w:rFonts w:hint="eastAsia"/>
                <w:color w:val="auto"/>
                <w:highlight w:val="none"/>
                <w:lang w:eastAsia="zh-CN"/>
              </w:rPr>
              <w:t>☑</w:t>
            </w:r>
          </w:p>
        </w:tc>
      </w:tr>
      <w:tr w14:paraId="70EA61CB">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vMerge w:val="continue"/>
            <w:tcBorders>
              <w:top w:val="single" w:color="000000" w:sz="4" w:space="0"/>
              <w:left w:val="nil"/>
              <w:bottom w:val="single" w:color="000000" w:sz="4" w:space="0"/>
              <w:right w:val="single" w:color="000000" w:sz="4" w:space="0"/>
            </w:tcBorders>
            <w:noWrap w:val="0"/>
            <w:vAlign w:val="center"/>
          </w:tcPr>
          <w:p w14:paraId="7C7E7C09">
            <w:pPr>
              <w:pStyle w:val="245"/>
              <w:spacing w:line="240" w:lineRule="auto"/>
              <w:jc w:val="center"/>
              <w:rPr>
                <w:rFonts w:hint="eastAsia"/>
                <w:color w:val="auto"/>
                <w:highlight w:val="none"/>
              </w:rPr>
            </w:pP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6E63F336">
            <w:pPr>
              <w:pStyle w:val="245"/>
              <w:spacing w:line="240" w:lineRule="auto"/>
              <w:jc w:val="center"/>
              <w:rPr>
                <w:rFonts w:hint="eastAsia"/>
                <w:color w:val="auto"/>
                <w:highlight w:val="none"/>
              </w:rPr>
            </w:pPr>
            <w:r>
              <w:rPr>
                <w:rFonts w:hint="eastAsia"/>
                <w:color w:val="auto"/>
                <w:highlight w:val="none"/>
              </w:rPr>
              <w:t>地下水</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6684F44A">
            <w:pPr>
              <w:pStyle w:val="245"/>
              <w:spacing w:line="240" w:lineRule="auto"/>
              <w:jc w:val="center"/>
              <w:rPr>
                <w:rFonts w:hint="eastAsia" w:eastAsia="宋体"/>
                <w:color w:val="auto"/>
                <w:highlight w:val="none"/>
                <w:lang w:eastAsia="zh-CN"/>
              </w:rPr>
            </w:pPr>
            <w:r>
              <w:rPr>
                <w:rFonts w:hint="eastAsia"/>
                <w:color w:val="auto"/>
                <w:highlight w:val="none"/>
              </w:rPr>
              <w:t>E1</w:t>
            </w:r>
            <w:r>
              <w:rPr>
                <w:rFonts w:hint="eastAsia"/>
                <w:color w:val="auto"/>
                <w:highlight w:val="none"/>
                <w:lang w:eastAsia="zh-CN"/>
              </w:rPr>
              <w:t>☑</w:t>
            </w:r>
          </w:p>
        </w:tc>
        <w:tc>
          <w:tcPr>
            <w:tcW w:w="1776" w:type="dxa"/>
            <w:gridSpan w:val="2"/>
            <w:tcBorders>
              <w:top w:val="single" w:color="000000" w:sz="4" w:space="0"/>
              <w:left w:val="single" w:color="000000" w:sz="4" w:space="0"/>
              <w:bottom w:val="single" w:color="000000" w:sz="4" w:space="0"/>
              <w:right w:val="single" w:color="000000" w:sz="4" w:space="0"/>
            </w:tcBorders>
            <w:noWrap w:val="0"/>
            <w:vAlign w:val="center"/>
          </w:tcPr>
          <w:p w14:paraId="4DAE83F9">
            <w:pPr>
              <w:pStyle w:val="245"/>
              <w:spacing w:line="240" w:lineRule="auto"/>
              <w:jc w:val="center"/>
              <w:rPr>
                <w:rFonts w:hint="eastAsia"/>
                <w:color w:val="auto"/>
                <w:highlight w:val="none"/>
              </w:rPr>
            </w:pPr>
            <w:r>
              <w:rPr>
                <w:rFonts w:hint="eastAsia"/>
                <w:color w:val="auto"/>
                <w:highlight w:val="none"/>
              </w:rPr>
              <w:t>E2□</w:t>
            </w:r>
          </w:p>
        </w:tc>
        <w:tc>
          <w:tcPr>
            <w:tcW w:w="2196" w:type="dxa"/>
            <w:gridSpan w:val="2"/>
            <w:tcBorders>
              <w:top w:val="single" w:color="000000" w:sz="4" w:space="0"/>
              <w:left w:val="single" w:color="000000" w:sz="4" w:space="0"/>
              <w:bottom w:val="single" w:color="000000" w:sz="4" w:space="0"/>
              <w:right w:val="nil"/>
            </w:tcBorders>
            <w:noWrap w:val="0"/>
            <w:vAlign w:val="center"/>
          </w:tcPr>
          <w:p w14:paraId="41C061C1">
            <w:pPr>
              <w:pStyle w:val="245"/>
              <w:spacing w:line="240" w:lineRule="auto"/>
              <w:jc w:val="center"/>
              <w:rPr>
                <w:rFonts w:hint="eastAsia" w:eastAsia="宋体"/>
                <w:color w:val="auto"/>
                <w:highlight w:val="none"/>
                <w:lang w:eastAsia="zh-CN"/>
              </w:rPr>
            </w:pPr>
            <w:r>
              <w:rPr>
                <w:rFonts w:hint="eastAsia"/>
                <w:color w:val="auto"/>
                <w:highlight w:val="none"/>
              </w:rPr>
              <w:t>E3</w:t>
            </w:r>
            <w:r>
              <w:rPr>
                <w:rFonts w:hint="eastAsia"/>
                <w:color w:val="auto"/>
                <w:highlight w:val="none"/>
                <w:lang w:eastAsia="zh-CN"/>
              </w:rPr>
              <w:t>□</w:t>
            </w:r>
          </w:p>
        </w:tc>
      </w:tr>
      <w:tr w14:paraId="733D8DA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tcBorders>
              <w:top w:val="single" w:color="000000" w:sz="4" w:space="0"/>
              <w:left w:val="nil"/>
              <w:bottom w:val="single" w:color="000000" w:sz="4" w:space="0"/>
              <w:right w:val="single" w:color="000000" w:sz="4" w:space="0"/>
            </w:tcBorders>
            <w:noWrap w:val="0"/>
            <w:vAlign w:val="center"/>
          </w:tcPr>
          <w:p w14:paraId="4DAB3901">
            <w:pPr>
              <w:pStyle w:val="245"/>
              <w:spacing w:line="240" w:lineRule="auto"/>
              <w:jc w:val="center"/>
              <w:rPr>
                <w:rFonts w:hint="eastAsia"/>
                <w:color w:val="auto"/>
                <w:highlight w:val="none"/>
              </w:rPr>
            </w:pPr>
            <w:r>
              <w:rPr>
                <w:rFonts w:hint="eastAsia"/>
                <w:color w:val="auto"/>
                <w:highlight w:val="none"/>
              </w:rPr>
              <w:t>环境风险潜势</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14:paraId="275979A9">
            <w:pPr>
              <w:pStyle w:val="245"/>
              <w:spacing w:line="240" w:lineRule="auto"/>
              <w:jc w:val="center"/>
              <w:rPr>
                <w:rFonts w:hint="eastAsia"/>
                <w:color w:val="auto"/>
                <w:highlight w:val="none"/>
              </w:rPr>
            </w:pPr>
            <w:r>
              <w:rPr>
                <w:rFonts w:hint="eastAsia"/>
                <w:color w:val="auto"/>
                <w:highlight w:val="none"/>
              </w:rPr>
              <w:t>Ⅳ+□</w:t>
            </w:r>
          </w:p>
        </w:tc>
        <w:tc>
          <w:tcPr>
            <w:tcW w:w="1737" w:type="dxa"/>
            <w:tcBorders>
              <w:top w:val="single" w:color="000000" w:sz="4" w:space="0"/>
              <w:left w:val="single" w:color="000000" w:sz="4" w:space="0"/>
              <w:bottom w:val="single" w:color="000000" w:sz="4" w:space="0"/>
              <w:right w:val="single" w:color="000000" w:sz="4" w:space="0"/>
            </w:tcBorders>
            <w:noWrap w:val="0"/>
            <w:vAlign w:val="center"/>
          </w:tcPr>
          <w:p w14:paraId="6064804B">
            <w:pPr>
              <w:pStyle w:val="245"/>
              <w:spacing w:line="240" w:lineRule="auto"/>
              <w:jc w:val="center"/>
              <w:rPr>
                <w:rFonts w:hint="eastAsia"/>
                <w:color w:val="auto"/>
                <w:highlight w:val="none"/>
              </w:rPr>
            </w:pPr>
            <w:r>
              <w:rPr>
                <w:rFonts w:hint="eastAsia"/>
                <w:color w:val="auto"/>
                <w:highlight w:val="none"/>
              </w:rPr>
              <w:t>Ⅳ□</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64F7D772">
            <w:pPr>
              <w:pStyle w:val="245"/>
              <w:spacing w:line="240" w:lineRule="auto"/>
              <w:jc w:val="center"/>
              <w:rPr>
                <w:rFonts w:hint="eastAsia"/>
                <w:color w:val="auto"/>
                <w:highlight w:val="none"/>
              </w:rPr>
            </w:pPr>
            <w:r>
              <w:rPr>
                <w:rFonts w:hint="eastAsia"/>
                <w:color w:val="auto"/>
                <w:highlight w:val="none"/>
              </w:rPr>
              <w:t>Ⅲ□</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08CAD6A7">
            <w:pPr>
              <w:pStyle w:val="245"/>
              <w:spacing w:line="240" w:lineRule="auto"/>
              <w:jc w:val="center"/>
              <w:rPr>
                <w:rFonts w:hint="eastAsia"/>
                <w:color w:val="auto"/>
                <w:highlight w:val="none"/>
              </w:rPr>
            </w:pPr>
            <w:r>
              <w:rPr>
                <w:rFonts w:hint="eastAsia"/>
                <w:color w:val="auto"/>
                <w:highlight w:val="none"/>
              </w:rPr>
              <w:t>Ⅱ□</w:t>
            </w:r>
          </w:p>
        </w:tc>
        <w:tc>
          <w:tcPr>
            <w:tcW w:w="1473" w:type="dxa"/>
            <w:tcBorders>
              <w:top w:val="single" w:color="000000" w:sz="4" w:space="0"/>
              <w:left w:val="single" w:color="000000" w:sz="4" w:space="0"/>
              <w:bottom w:val="single" w:color="000000" w:sz="4" w:space="0"/>
              <w:right w:val="nil"/>
            </w:tcBorders>
            <w:noWrap w:val="0"/>
            <w:vAlign w:val="center"/>
          </w:tcPr>
          <w:p w14:paraId="3EA29B97">
            <w:pPr>
              <w:pStyle w:val="245"/>
              <w:spacing w:line="240" w:lineRule="auto"/>
              <w:jc w:val="center"/>
              <w:rPr>
                <w:rFonts w:hint="eastAsia" w:eastAsia="宋体"/>
                <w:color w:val="auto"/>
                <w:highlight w:val="none"/>
                <w:lang w:eastAsia="zh-CN"/>
              </w:rPr>
            </w:pPr>
            <w:r>
              <w:rPr>
                <w:rFonts w:hint="eastAsia"/>
                <w:color w:val="auto"/>
                <w:highlight w:val="none"/>
              </w:rPr>
              <w:t>Ⅰ</w:t>
            </w:r>
            <w:r>
              <w:rPr>
                <w:rFonts w:hint="eastAsia"/>
                <w:color w:val="auto"/>
                <w:highlight w:val="none"/>
                <w:lang w:eastAsia="zh-CN"/>
              </w:rPr>
              <w:t>☑</w:t>
            </w:r>
          </w:p>
        </w:tc>
      </w:tr>
      <w:tr w14:paraId="7ACC091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tcBorders>
              <w:top w:val="single" w:color="000000" w:sz="4" w:space="0"/>
              <w:left w:val="nil"/>
              <w:bottom w:val="single" w:color="000000" w:sz="4" w:space="0"/>
              <w:right w:val="single" w:color="000000" w:sz="4" w:space="0"/>
            </w:tcBorders>
            <w:noWrap w:val="0"/>
            <w:vAlign w:val="center"/>
          </w:tcPr>
          <w:p w14:paraId="2AA4858D">
            <w:pPr>
              <w:pStyle w:val="245"/>
              <w:spacing w:line="240" w:lineRule="auto"/>
              <w:jc w:val="center"/>
              <w:rPr>
                <w:rFonts w:hint="eastAsia"/>
                <w:color w:val="auto"/>
                <w:highlight w:val="none"/>
              </w:rPr>
            </w:pPr>
            <w:r>
              <w:rPr>
                <w:rFonts w:hint="eastAsia"/>
                <w:color w:val="auto"/>
                <w:highlight w:val="none"/>
              </w:rPr>
              <w:t>评价等级</w:t>
            </w:r>
          </w:p>
        </w:tc>
        <w:tc>
          <w:tcPr>
            <w:tcW w:w="2773" w:type="dxa"/>
            <w:gridSpan w:val="2"/>
            <w:tcBorders>
              <w:top w:val="single" w:color="000000" w:sz="4" w:space="0"/>
              <w:left w:val="single" w:color="000000" w:sz="4" w:space="0"/>
              <w:bottom w:val="single" w:color="000000" w:sz="4" w:space="0"/>
              <w:right w:val="single" w:color="000000" w:sz="4" w:space="0"/>
            </w:tcBorders>
            <w:noWrap w:val="0"/>
            <w:vAlign w:val="center"/>
          </w:tcPr>
          <w:p w14:paraId="4F178EC9">
            <w:pPr>
              <w:pStyle w:val="245"/>
              <w:spacing w:line="240" w:lineRule="auto"/>
              <w:jc w:val="center"/>
              <w:rPr>
                <w:rFonts w:hint="eastAsia"/>
                <w:color w:val="auto"/>
                <w:highlight w:val="none"/>
              </w:rPr>
            </w:pPr>
            <w:r>
              <w:rPr>
                <w:rFonts w:hint="eastAsia"/>
                <w:color w:val="auto"/>
                <w:highlight w:val="none"/>
              </w:rPr>
              <w:t>一级□</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76C720D3">
            <w:pPr>
              <w:pStyle w:val="245"/>
              <w:spacing w:line="240" w:lineRule="auto"/>
              <w:jc w:val="center"/>
              <w:rPr>
                <w:rFonts w:hint="eastAsia"/>
                <w:color w:val="auto"/>
                <w:highlight w:val="none"/>
              </w:rPr>
            </w:pPr>
            <w:r>
              <w:rPr>
                <w:rFonts w:hint="eastAsia"/>
                <w:color w:val="auto"/>
                <w:highlight w:val="none"/>
              </w:rPr>
              <w:t>二级□</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17FF1448">
            <w:pPr>
              <w:pStyle w:val="245"/>
              <w:spacing w:line="240" w:lineRule="auto"/>
              <w:jc w:val="center"/>
              <w:rPr>
                <w:rFonts w:hint="eastAsia"/>
                <w:color w:val="auto"/>
                <w:highlight w:val="none"/>
              </w:rPr>
            </w:pPr>
            <w:r>
              <w:rPr>
                <w:rFonts w:hint="eastAsia"/>
                <w:color w:val="auto"/>
                <w:highlight w:val="none"/>
              </w:rPr>
              <w:t>三级□</w:t>
            </w:r>
          </w:p>
        </w:tc>
        <w:tc>
          <w:tcPr>
            <w:tcW w:w="1473" w:type="dxa"/>
            <w:tcBorders>
              <w:top w:val="single" w:color="000000" w:sz="4" w:space="0"/>
              <w:left w:val="single" w:color="000000" w:sz="4" w:space="0"/>
              <w:bottom w:val="single" w:color="000000" w:sz="4" w:space="0"/>
              <w:right w:val="nil"/>
            </w:tcBorders>
            <w:noWrap w:val="0"/>
            <w:vAlign w:val="center"/>
          </w:tcPr>
          <w:p w14:paraId="4A841959">
            <w:pPr>
              <w:pStyle w:val="245"/>
              <w:spacing w:line="240" w:lineRule="auto"/>
              <w:jc w:val="center"/>
              <w:rPr>
                <w:rFonts w:hint="eastAsia" w:eastAsia="宋体"/>
                <w:color w:val="auto"/>
                <w:highlight w:val="none"/>
                <w:lang w:eastAsia="zh-CN"/>
              </w:rPr>
            </w:pPr>
            <w:r>
              <w:rPr>
                <w:rFonts w:hint="eastAsia"/>
                <w:color w:val="auto"/>
                <w:highlight w:val="none"/>
              </w:rPr>
              <w:t>简单分析</w:t>
            </w:r>
            <w:r>
              <w:rPr>
                <w:rFonts w:hint="eastAsia"/>
                <w:color w:val="auto"/>
                <w:highlight w:val="none"/>
                <w:lang w:eastAsia="zh-CN"/>
              </w:rPr>
              <w:t>☑</w:t>
            </w:r>
          </w:p>
        </w:tc>
      </w:tr>
      <w:tr w14:paraId="44CE242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restart"/>
            <w:tcBorders>
              <w:top w:val="single" w:color="000000" w:sz="4" w:space="0"/>
              <w:left w:val="nil"/>
              <w:bottom w:val="single" w:color="000000" w:sz="4" w:space="0"/>
              <w:right w:val="single" w:color="000000" w:sz="4" w:space="0"/>
            </w:tcBorders>
            <w:noWrap w:val="0"/>
            <w:vAlign w:val="center"/>
          </w:tcPr>
          <w:p w14:paraId="1547CCBF">
            <w:pPr>
              <w:pStyle w:val="245"/>
              <w:spacing w:line="240" w:lineRule="auto"/>
              <w:jc w:val="center"/>
              <w:rPr>
                <w:rFonts w:hint="eastAsia"/>
                <w:color w:val="auto"/>
                <w:highlight w:val="none"/>
              </w:rPr>
            </w:pPr>
            <w:r>
              <w:rPr>
                <w:rFonts w:hint="eastAsia"/>
                <w:color w:val="auto"/>
                <w:highlight w:val="none"/>
              </w:rPr>
              <w:t>风险识别</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6E7A04E">
            <w:pPr>
              <w:pStyle w:val="245"/>
              <w:spacing w:line="240" w:lineRule="auto"/>
              <w:jc w:val="center"/>
              <w:rPr>
                <w:rFonts w:hint="eastAsia"/>
                <w:color w:val="auto"/>
                <w:highlight w:val="none"/>
              </w:rPr>
            </w:pPr>
            <w:r>
              <w:rPr>
                <w:rFonts w:hint="eastAsia"/>
                <w:color w:val="auto"/>
                <w:highlight w:val="none"/>
              </w:rPr>
              <w:t>物质危险性</w:t>
            </w:r>
          </w:p>
        </w:tc>
        <w:tc>
          <w:tcPr>
            <w:tcW w:w="4041" w:type="dxa"/>
            <w:gridSpan w:val="3"/>
            <w:tcBorders>
              <w:top w:val="single" w:color="000000" w:sz="4" w:space="0"/>
              <w:left w:val="single" w:color="000000" w:sz="4" w:space="0"/>
              <w:bottom w:val="single" w:color="000000" w:sz="4" w:space="0"/>
              <w:right w:val="single" w:color="000000" w:sz="4" w:space="0"/>
            </w:tcBorders>
            <w:noWrap w:val="0"/>
            <w:vAlign w:val="center"/>
          </w:tcPr>
          <w:p w14:paraId="4CE1FA96">
            <w:pPr>
              <w:pStyle w:val="245"/>
              <w:spacing w:line="240" w:lineRule="auto"/>
              <w:jc w:val="center"/>
              <w:rPr>
                <w:rFonts w:hint="eastAsia" w:eastAsia="宋体"/>
                <w:color w:val="auto"/>
                <w:highlight w:val="none"/>
                <w:lang w:eastAsia="zh-CN"/>
              </w:rPr>
            </w:pPr>
            <w:r>
              <w:rPr>
                <w:rFonts w:hint="eastAsia"/>
                <w:color w:val="auto"/>
                <w:highlight w:val="none"/>
              </w:rPr>
              <w:t>有毒有害</w:t>
            </w:r>
            <w:r>
              <w:rPr>
                <w:rFonts w:hint="eastAsia"/>
                <w:color w:val="auto"/>
                <w:highlight w:val="none"/>
                <w:lang w:eastAsia="zh-CN"/>
              </w:rPr>
              <w:t>☑</w:t>
            </w:r>
          </w:p>
        </w:tc>
        <w:tc>
          <w:tcPr>
            <w:tcW w:w="2704" w:type="dxa"/>
            <w:gridSpan w:val="3"/>
            <w:tcBorders>
              <w:top w:val="single" w:color="000000" w:sz="4" w:space="0"/>
              <w:left w:val="single" w:color="000000" w:sz="4" w:space="0"/>
              <w:bottom w:val="single" w:color="000000" w:sz="4" w:space="0"/>
              <w:right w:val="nil"/>
            </w:tcBorders>
            <w:noWrap w:val="0"/>
            <w:vAlign w:val="center"/>
          </w:tcPr>
          <w:p w14:paraId="0DD35DB4">
            <w:pPr>
              <w:pStyle w:val="245"/>
              <w:spacing w:line="240" w:lineRule="auto"/>
              <w:jc w:val="center"/>
              <w:rPr>
                <w:rFonts w:hint="eastAsia" w:eastAsia="宋体"/>
                <w:color w:val="auto"/>
                <w:highlight w:val="none"/>
                <w:lang w:eastAsia="zh-CN"/>
              </w:rPr>
            </w:pPr>
            <w:r>
              <w:rPr>
                <w:rFonts w:hint="eastAsia"/>
                <w:color w:val="auto"/>
                <w:highlight w:val="none"/>
              </w:rPr>
              <w:t>易燃易爆</w:t>
            </w:r>
            <w:r>
              <w:rPr>
                <w:rFonts w:hint="eastAsia"/>
                <w:color w:val="auto"/>
                <w:highlight w:val="none"/>
                <w:lang w:eastAsia="zh-CN"/>
              </w:rPr>
              <w:t>☑</w:t>
            </w:r>
          </w:p>
        </w:tc>
      </w:tr>
      <w:tr w14:paraId="6CF72EFA">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509B2E6E">
            <w:pPr>
              <w:pStyle w:val="245"/>
              <w:spacing w:line="240" w:lineRule="auto"/>
              <w:jc w:val="center"/>
              <w:rPr>
                <w:rFonts w:hint="eastAsia"/>
                <w:color w:val="auto"/>
                <w:highlight w:val="none"/>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4E04E06F">
            <w:pPr>
              <w:pStyle w:val="245"/>
              <w:spacing w:line="240" w:lineRule="auto"/>
              <w:jc w:val="center"/>
              <w:rPr>
                <w:rFonts w:hint="eastAsia"/>
                <w:color w:val="auto"/>
                <w:highlight w:val="none"/>
              </w:rPr>
            </w:pPr>
            <w:r>
              <w:rPr>
                <w:rFonts w:hint="eastAsia"/>
                <w:color w:val="auto"/>
                <w:highlight w:val="none"/>
              </w:rPr>
              <w:t>环境风险类型</w:t>
            </w:r>
          </w:p>
        </w:tc>
        <w:tc>
          <w:tcPr>
            <w:tcW w:w="4041" w:type="dxa"/>
            <w:gridSpan w:val="3"/>
            <w:tcBorders>
              <w:top w:val="single" w:color="000000" w:sz="4" w:space="0"/>
              <w:left w:val="single" w:color="000000" w:sz="4" w:space="0"/>
              <w:bottom w:val="single" w:color="000000" w:sz="4" w:space="0"/>
              <w:right w:val="single" w:color="000000" w:sz="4" w:space="0"/>
            </w:tcBorders>
            <w:noWrap w:val="0"/>
            <w:vAlign w:val="center"/>
          </w:tcPr>
          <w:p w14:paraId="7B3B8D6B">
            <w:pPr>
              <w:pStyle w:val="245"/>
              <w:spacing w:line="240" w:lineRule="auto"/>
              <w:jc w:val="center"/>
              <w:rPr>
                <w:rFonts w:hint="eastAsia" w:eastAsia="宋体"/>
                <w:color w:val="auto"/>
                <w:highlight w:val="none"/>
                <w:lang w:eastAsia="zh-CN"/>
              </w:rPr>
            </w:pPr>
            <w:r>
              <w:rPr>
                <w:rFonts w:hint="eastAsia"/>
                <w:color w:val="auto"/>
                <w:highlight w:val="none"/>
              </w:rPr>
              <w:t>泄漏</w:t>
            </w:r>
            <w:r>
              <w:rPr>
                <w:rFonts w:hint="eastAsia"/>
                <w:color w:val="auto"/>
                <w:highlight w:val="none"/>
                <w:lang w:eastAsia="zh-CN"/>
              </w:rPr>
              <w:t>☑</w:t>
            </w:r>
          </w:p>
        </w:tc>
        <w:tc>
          <w:tcPr>
            <w:tcW w:w="2704" w:type="dxa"/>
            <w:gridSpan w:val="3"/>
            <w:tcBorders>
              <w:top w:val="single" w:color="000000" w:sz="4" w:space="0"/>
              <w:left w:val="single" w:color="000000" w:sz="4" w:space="0"/>
              <w:bottom w:val="single" w:color="000000" w:sz="4" w:space="0"/>
              <w:right w:val="nil"/>
            </w:tcBorders>
            <w:noWrap w:val="0"/>
            <w:vAlign w:val="center"/>
          </w:tcPr>
          <w:p w14:paraId="72639E6B">
            <w:pPr>
              <w:pStyle w:val="245"/>
              <w:spacing w:line="240" w:lineRule="auto"/>
              <w:jc w:val="center"/>
              <w:rPr>
                <w:rFonts w:hint="eastAsia" w:eastAsia="宋体"/>
                <w:color w:val="auto"/>
                <w:highlight w:val="none"/>
                <w:lang w:eastAsia="zh-CN"/>
              </w:rPr>
            </w:pPr>
            <w:r>
              <w:rPr>
                <w:rFonts w:hint="eastAsia"/>
                <w:color w:val="auto"/>
                <w:highlight w:val="none"/>
              </w:rPr>
              <w:t>火灾、爆炸引发伴生/次生污染物排放</w:t>
            </w:r>
            <w:r>
              <w:rPr>
                <w:rFonts w:hint="eastAsia"/>
                <w:color w:val="auto"/>
                <w:highlight w:val="none"/>
                <w:lang w:eastAsia="zh-CN"/>
              </w:rPr>
              <w:t>☑</w:t>
            </w:r>
          </w:p>
        </w:tc>
      </w:tr>
      <w:tr w14:paraId="05B528E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5218C1F9">
            <w:pPr>
              <w:pStyle w:val="245"/>
              <w:spacing w:line="240" w:lineRule="auto"/>
              <w:jc w:val="center"/>
              <w:rPr>
                <w:rFonts w:hint="eastAsia"/>
                <w:color w:val="auto"/>
                <w:highlight w:val="none"/>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91F4471">
            <w:pPr>
              <w:pStyle w:val="245"/>
              <w:spacing w:line="240" w:lineRule="auto"/>
              <w:jc w:val="center"/>
              <w:rPr>
                <w:rFonts w:hint="eastAsia"/>
                <w:color w:val="auto"/>
                <w:highlight w:val="none"/>
              </w:rPr>
            </w:pPr>
            <w:r>
              <w:rPr>
                <w:rFonts w:hint="eastAsia"/>
                <w:color w:val="auto"/>
                <w:highlight w:val="none"/>
              </w:rPr>
              <w:t>影响途径</w:t>
            </w:r>
          </w:p>
        </w:tc>
        <w:tc>
          <w:tcPr>
            <w:tcW w:w="2773" w:type="dxa"/>
            <w:gridSpan w:val="2"/>
            <w:tcBorders>
              <w:top w:val="single" w:color="000000" w:sz="4" w:space="0"/>
              <w:left w:val="single" w:color="000000" w:sz="4" w:space="0"/>
              <w:bottom w:val="single" w:color="000000" w:sz="4" w:space="0"/>
              <w:right w:val="single" w:color="000000" w:sz="4" w:space="0"/>
            </w:tcBorders>
            <w:noWrap w:val="0"/>
            <w:vAlign w:val="center"/>
          </w:tcPr>
          <w:p w14:paraId="3D837EDB">
            <w:pPr>
              <w:pStyle w:val="245"/>
              <w:spacing w:line="240" w:lineRule="auto"/>
              <w:jc w:val="center"/>
              <w:rPr>
                <w:rFonts w:hint="eastAsia" w:eastAsia="宋体"/>
                <w:color w:val="auto"/>
                <w:highlight w:val="none"/>
                <w:lang w:eastAsia="zh-CN"/>
              </w:rPr>
            </w:pPr>
            <w:r>
              <w:rPr>
                <w:rFonts w:hint="eastAsia"/>
                <w:color w:val="auto"/>
                <w:highlight w:val="none"/>
              </w:rPr>
              <w:t>大气</w:t>
            </w:r>
            <w:r>
              <w:rPr>
                <w:rFonts w:hint="eastAsia"/>
                <w:color w:val="auto"/>
                <w:highlight w:val="none"/>
                <w:lang w:eastAsia="zh-CN"/>
              </w:rPr>
              <w:t>☑</w:t>
            </w:r>
          </w:p>
        </w:tc>
        <w:tc>
          <w:tcPr>
            <w:tcW w:w="1776" w:type="dxa"/>
            <w:gridSpan w:val="2"/>
            <w:tcBorders>
              <w:top w:val="single" w:color="000000" w:sz="4" w:space="0"/>
              <w:left w:val="single" w:color="000000" w:sz="4" w:space="0"/>
              <w:bottom w:val="single" w:color="000000" w:sz="4" w:space="0"/>
              <w:right w:val="single" w:color="000000" w:sz="4" w:space="0"/>
            </w:tcBorders>
            <w:noWrap w:val="0"/>
            <w:vAlign w:val="center"/>
          </w:tcPr>
          <w:p w14:paraId="2FA1D5A4">
            <w:pPr>
              <w:pStyle w:val="245"/>
              <w:spacing w:line="240" w:lineRule="auto"/>
              <w:jc w:val="center"/>
              <w:rPr>
                <w:rFonts w:hint="eastAsia"/>
                <w:color w:val="auto"/>
                <w:highlight w:val="none"/>
              </w:rPr>
            </w:pPr>
            <w:r>
              <w:rPr>
                <w:rFonts w:hint="eastAsia"/>
                <w:color w:val="auto"/>
                <w:highlight w:val="none"/>
              </w:rPr>
              <w:t>地表水□</w:t>
            </w:r>
          </w:p>
        </w:tc>
        <w:tc>
          <w:tcPr>
            <w:tcW w:w="2196" w:type="dxa"/>
            <w:gridSpan w:val="2"/>
            <w:tcBorders>
              <w:top w:val="single" w:color="000000" w:sz="4" w:space="0"/>
              <w:left w:val="single" w:color="000000" w:sz="4" w:space="0"/>
              <w:bottom w:val="single" w:color="000000" w:sz="4" w:space="0"/>
              <w:right w:val="nil"/>
            </w:tcBorders>
            <w:noWrap w:val="0"/>
            <w:vAlign w:val="center"/>
          </w:tcPr>
          <w:p w14:paraId="2EB5E51F">
            <w:pPr>
              <w:pStyle w:val="245"/>
              <w:spacing w:line="240" w:lineRule="auto"/>
              <w:jc w:val="center"/>
              <w:rPr>
                <w:rFonts w:hint="eastAsia" w:eastAsia="宋体"/>
                <w:color w:val="auto"/>
                <w:highlight w:val="none"/>
                <w:lang w:eastAsia="zh-CN"/>
              </w:rPr>
            </w:pPr>
            <w:r>
              <w:rPr>
                <w:rFonts w:hint="eastAsia"/>
                <w:color w:val="auto"/>
                <w:highlight w:val="none"/>
              </w:rPr>
              <w:t>地下水</w:t>
            </w:r>
            <w:r>
              <w:rPr>
                <w:rFonts w:hint="eastAsia"/>
                <w:color w:val="auto"/>
                <w:highlight w:val="none"/>
                <w:lang w:eastAsia="zh-CN"/>
              </w:rPr>
              <w:t>☑</w:t>
            </w:r>
          </w:p>
        </w:tc>
      </w:tr>
      <w:tr w14:paraId="40ADF9F7">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tcBorders>
              <w:top w:val="single" w:color="000000" w:sz="4" w:space="0"/>
              <w:left w:val="nil"/>
              <w:bottom w:val="single" w:color="000000" w:sz="4" w:space="0"/>
              <w:right w:val="single" w:color="000000" w:sz="4" w:space="0"/>
            </w:tcBorders>
            <w:noWrap w:val="0"/>
            <w:vAlign w:val="center"/>
          </w:tcPr>
          <w:p w14:paraId="42CB26A0">
            <w:pPr>
              <w:pStyle w:val="245"/>
              <w:spacing w:line="240" w:lineRule="auto"/>
              <w:jc w:val="center"/>
              <w:rPr>
                <w:rFonts w:hint="eastAsia"/>
                <w:color w:val="auto"/>
                <w:highlight w:val="none"/>
              </w:rPr>
            </w:pPr>
            <w:r>
              <w:rPr>
                <w:rFonts w:hint="eastAsia"/>
                <w:color w:val="auto"/>
                <w:highlight w:val="none"/>
              </w:rPr>
              <w:t>事故影响分析</w:t>
            </w:r>
          </w:p>
        </w:tc>
        <w:tc>
          <w:tcPr>
            <w:tcW w:w="2773" w:type="dxa"/>
            <w:gridSpan w:val="2"/>
            <w:tcBorders>
              <w:top w:val="single" w:color="000000" w:sz="4" w:space="0"/>
              <w:left w:val="single" w:color="000000" w:sz="4" w:space="0"/>
              <w:bottom w:val="single" w:color="000000" w:sz="4" w:space="0"/>
              <w:right w:val="single" w:color="000000" w:sz="4" w:space="0"/>
            </w:tcBorders>
            <w:noWrap w:val="0"/>
            <w:vAlign w:val="center"/>
          </w:tcPr>
          <w:p w14:paraId="6A647229">
            <w:pPr>
              <w:pStyle w:val="245"/>
              <w:spacing w:line="240" w:lineRule="auto"/>
              <w:jc w:val="center"/>
              <w:rPr>
                <w:rFonts w:hint="eastAsia"/>
                <w:color w:val="auto"/>
                <w:highlight w:val="none"/>
              </w:rPr>
            </w:pPr>
            <w:r>
              <w:rPr>
                <w:rFonts w:hint="eastAsia"/>
                <w:color w:val="auto"/>
                <w:highlight w:val="none"/>
              </w:rPr>
              <w:t>源强设定方法□</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29B54548">
            <w:pPr>
              <w:pStyle w:val="245"/>
              <w:spacing w:line="240" w:lineRule="auto"/>
              <w:jc w:val="center"/>
              <w:rPr>
                <w:rFonts w:hint="eastAsia"/>
                <w:color w:val="auto"/>
                <w:highlight w:val="none"/>
              </w:rPr>
            </w:pPr>
            <w:r>
              <w:rPr>
                <w:rFonts w:hint="eastAsia"/>
                <w:color w:val="auto"/>
                <w:highlight w:val="none"/>
              </w:rPr>
              <w:t>计算法□</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17FBC510">
            <w:pPr>
              <w:pStyle w:val="245"/>
              <w:spacing w:line="240" w:lineRule="auto"/>
              <w:jc w:val="center"/>
              <w:rPr>
                <w:rFonts w:hint="eastAsia"/>
                <w:color w:val="auto"/>
                <w:highlight w:val="none"/>
              </w:rPr>
            </w:pPr>
            <w:r>
              <w:rPr>
                <w:rFonts w:hint="eastAsia"/>
                <w:color w:val="auto"/>
                <w:highlight w:val="none"/>
              </w:rPr>
              <w:t>经验估算法□</w:t>
            </w:r>
          </w:p>
        </w:tc>
        <w:tc>
          <w:tcPr>
            <w:tcW w:w="1473" w:type="dxa"/>
            <w:tcBorders>
              <w:top w:val="single" w:color="000000" w:sz="4" w:space="0"/>
              <w:left w:val="single" w:color="000000" w:sz="4" w:space="0"/>
              <w:bottom w:val="single" w:color="000000" w:sz="4" w:space="0"/>
              <w:right w:val="nil"/>
            </w:tcBorders>
            <w:noWrap w:val="0"/>
            <w:vAlign w:val="center"/>
          </w:tcPr>
          <w:p w14:paraId="2C64E15C">
            <w:pPr>
              <w:pStyle w:val="245"/>
              <w:spacing w:line="240" w:lineRule="auto"/>
              <w:jc w:val="center"/>
              <w:rPr>
                <w:rFonts w:hint="eastAsia" w:eastAsia="宋体"/>
                <w:color w:val="auto"/>
                <w:highlight w:val="none"/>
                <w:lang w:eastAsia="zh-CN"/>
              </w:rPr>
            </w:pPr>
            <w:r>
              <w:rPr>
                <w:rFonts w:hint="eastAsia"/>
                <w:color w:val="auto"/>
                <w:highlight w:val="none"/>
              </w:rPr>
              <w:t>其他估算法</w:t>
            </w:r>
            <w:r>
              <w:rPr>
                <w:rFonts w:hint="eastAsia"/>
                <w:color w:val="auto"/>
                <w:highlight w:val="none"/>
                <w:lang w:eastAsia="zh-CN"/>
              </w:rPr>
              <w:t>☑</w:t>
            </w:r>
          </w:p>
        </w:tc>
      </w:tr>
      <w:tr w14:paraId="1CDEEF6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restart"/>
            <w:tcBorders>
              <w:top w:val="single" w:color="000000" w:sz="4" w:space="0"/>
              <w:left w:val="nil"/>
              <w:bottom w:val="single" w:color="000000" w:sz="4" w:space="0"/>
              <w:right w:val="single" w:color="000000" w:sz="4" w:space="0"/>
            </w:tcBorders>
            <w:noWrap w:val="0"/>
            <w:vAlign w:val="center"/>
          </w:tcPr>
          <w:p w14:paraId="1E855329">
            <w:pPr>
              <w:pStyle w:val="245"/>
              <w:spacing w:line="240" w:lineRule="auto"/>
              <w:jc w:val="center"/>
              <w:rPr>
                <w:rFonts w:hint="eastAsia"/>
                <w:color w:val="auto"/>
                <w:highlight w:val="none"/>
              </w:rPr>
            </w:pPr>
            <w:r>
              <w:rPr>
                <w:rFonts w:hint="eastAsia"/>
                <w:color w:val="auto"/>
                <w:highlight w:val="none"/>
              </w:rPr>
              <w:t>风险预测与评价</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3F1D2DB9">
            <w:pPr>
              <w:pStyle w:val="245"/>
              <w:spacing w:line="240" w:lineRule="auto"/>
              <w:jc w:val="center"/>
              <w:rPr>
                <w:rFonts w:hint="eastAsia"/>
                <w:color w:val="auto"/>
                <w:highlight w:val="none"/>
              </w:rPr>
            </w:pPr>
            <w:r>
              <w:rPr>
                <w:rFonts w:hint="eastAsia"/>
                <w:color w:val="auto"/>
                <w:highlight w:val="none"/>
              </w:rPr>
              <w:t>大气</w:t>
            </w:r>
          </w:p>
        </w:tc>
        <w:tc>
          <w:tcPr>
            <w:tcW w:w="2773" w:type="dxa"/>
            <w:gridSpan w:val="2"/>
            <w:tcBorders>
              <w:top w:val="single" w:color="000000" w:sz="4" w:space="0"/>
              <w:left w:val="single" w:color="000000" w:sz="4" w:space="0"/>
              <w:bottom w:val="single" w:color="000000" w:sz="4" w:space="0"/>
              <w:right w:val="single" w:color="000000" w:sz="4" w:space="0"/>
            </w:tcBorders>
            <w:noWrap w:val="0"/>
            <w:vAlign w:val="center"/>
          </w:tcPr>
          <w:p w14:paraId="72BD9349">
            <w:pPr>
              <w:pStyle w:val="245"/>
              <w:spacing w:line="240" w:lineRule="auto"/>
              <w:jc w:val="center"/>
              <w:rPr>
                <w:rFonts w:hint="eastAsia"/>
                <w:color w:val="auto"/>
                <w:highlight w:val="none"/>
              </w:rPr>
            </w:pPr>
            <w:r>
              <w:rPr>
                <w:rFonts w:hint="eastAsia"/>
                <w:color w:val="auto"/>
                <w:highlight w:val="none"/>
              </w:rPr>
              <w:t>预测模型</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28F5A9C6">
            <w:pPr>
              <w:pStyle w:val="245"/>
              <w:spacing w:line="240" w:lineRule="auto"/>
              <w:jc w:val="center"/>
              <w:rPr>
                <w:rFonts w:hint="eastAsia"/>
                <w:color w:val="auto"/>
                <w:highlight w:val="none"/>
              </w:rPr>
            </w:pPr>
            <w:r>
              <w:rPr>
                <w:rFonts w:hint="eastAsia"/>
                <w:color w:val="auto"/>
                <w:highlight w:val="none"/>
              </w:rPr>
              <w:t>SLAB□</w:t>
            </w:r>
          </w:p>
        </w:tc>
        <w:tc>
          <w:tcPr>
            <w:tcW w:w="1231" w:type="dxa"/>
            <w:gridSpan w:val="2"/>
            <w:tcBorders>
              <w:top w:val="single" w:color="000000" w:sz="4" w:space="0"/>
              <w:left w:val="single" w:color="000000" w:sz="4" w:space="0"/>
              <w:bottom w:val="single" w:color="000000" w:sz="4" w:space="0"/>
              <w:right w:val="single" w:color="000000" w:sz="4" w:space="0"/>
            </w:tcBorders>
            <w:noWrap w:val="0"/>
            <w:vAlign w:val="center"/>
          </w:tcPr>
          <w:p w14:paraId="74B030EE">
            <w:pPr>
              <w:pStyle w:val="245"/>
              <w:spacing w:line="240" w:lineRule="auto"/>
              <w:jc w:val="center"/>
              <w:rPr>
                <w:rFonts w:hint="eastAsia"/>
                <w:color w:val="auto"/>
                <w:highlight w:val="none"/>
              </w:rPr>
            </w:pPr>
            <w:r>
              <w:rPr>
                <w:rFonts w:hint="eastAsia"/>
                <w:color w:val="auto"/>
                <w:highlight w:val="none"/>
              </w:rPr>
              <w:t>AFTOX□</w:t>
            </w:r>
          </w:p>
        </w:tc>
        <w:tc>
          <w:tcPr>
            <w:tcW w:w="1473" w:type="dxa"/>
            <w:tcBorders>
              <w:top w:val="single" w:color="000000" w:sz="4" w:space="0"/>
              <w:left w:val="single" w:color="000000" w:sz="4" w:space="0"/>
              <w:bottom w:val="single" w:color="000000" w:sz="4" w:space="0"/>
              <w:right w:val="nil"/>
            </w:tcBorders>
            <w:noWrap w:val="0"/>
            <w:vAlign w:val="center"/>
          </w:tcPr>
          <w:p w14:paraId="7EB376B0">
            <w:pPr>
              <w:pStyle w:val="245"/>
              <w:spacing w:line="240" w:lineRule="auto"/>
              <w:jc w:val="center"/>
              <w:rPr>
                <w:rFonts w:hint="eastAsia" w:eastAsia="宋体"/>
                <w:color w:val="auto"/>
                <w:highlight w:val="none"/>
                <w:lang w:eastAsia="zh-CN"/>
              </w:rPr>
            </w:pPr>
            <w:r>
              <w:rPr>
                <w:rFonts w:hint="eastAsia"/>
                <w:color w:val="auto"/>
                <w:highlight w:val="none"/>
              </w:rPr>
              <w:t>其他</w:t>
            </w:r>
            <w:r>
              <w:rPr>
                <w:rFonts w:hint="eastAsia"/>
                <w:color w:val="auto"/>
                <w:highlight w:val="none"/>
                <w:lang w:eastAsia="zh-CN"/>
              </w:rPr>
              <w:t>☑</w:t>
            </w:r>
          </w:p>
        </w:tc>
      </w:tr>
      <w:tr w14:paraId="20A3C521">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4256BF31">
            <w:pPr>
              <w:pStyle w:val="245"/>
              <w:spacing w:line="240" w:lineRule="auto"/>
              <w:jc w:val="center"/>
              <w:rPr>
                <w:rFonts w:hint="eastAsia"/>
                <w:color w:val="auto"/>
                <w:highlight w:val="none"/>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76FB543">
            <w:pPr>
              <w:pStyle w:val="245"/>
              <w:spacing w:line="240" w:lineRule="auto"/>
              <w:jc w:val="center"/>
              <w:rPr>
                <w:rFonts w:hint="eastAsia"/>
                <w:color w:val="auto"/>
                <w:highlight w:val="none"/>
              </w:rPr>
            </w:pPr>
            <w:r>
              <w:rPr>
                <w:rFonts w:hint="eastAsia"/>
                <w:color w:val="auto"/>
                <w:highlight w:val="none"/>
              </w:rPr>
              <w:t>地表水</w:t>
            </w:r>
          </w:p>
        </w:tc>
        <w:tc>
          <w:tcPr>
            <w:tcW w:w="6745" w:type="dxa"/>
            <w:gridSpan w:val="6"/>
            <w:tcBorders>
              <w:top w:val="single" w:color="000000" w:sz="4" w:space="0"/>
              <w:left w:val="single" w:color="000000" w:sz="4" w:space="0"/>
              <w:bottom w:val="single" w:color="000000" w:sz="4" w:space="0"/>
              <w:right w:val="nil"/>
            </w:tcBorders>
            <w:noWrap w:val="0"/>
            <w:vAlign w:val="center"/>
          </w:tcPr>
          <w:p w14:paraId="59B33160">
            <w:pPr>
              <w:pStyle w:val="245"/>
              <w:spacing w:line="240" w:lineRule="auto"/>
              <w:jc w:val="center"/>
              <w:rPr>
                <w:rFonts w:hint="eastAsia"/>
                <w:color w:val="auto"/>
                <w:highlight w:val="none"/>
              </w:rPr>
            </w:pPr>
            <w:r>
              <w:rPr>
                <w:rFonts w:hint="eastAsia"/>
                <w:color w:val="auto"/>
                <w:highlight w:val="none"/>
              </w:rPr>
              <w:t>最近环境敏感目标:，到达时间：/h</w:t>
            </w:r>
          </w:p>
        </w:tc>
      </w:tr>
      <w:tr w14:paraId="2CB9F3D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6012146D">
            <w:pPr>
              <w:pStyle w:val="245"/>
              <w:spacing w:line="240" w:lineRule="auto"/>
              <w:jc w:val="center"/>
              <w:rPr>
                <w:rFonts w:hint="eastAsia"/>
                <w:color w:val="auto"/>
                <w:highlight w:val="none"/>
              </w:rPr>
            </w:pPr>
          </w:p>
        </w:tc>
        <w:tc>
          <w:tcPr>
            <w:tcW w:w="1164" w:type="dxa"/>
            <w:vMerge w:val="restart"/>
            <w:tcBorders>
              <w:top w:val="single" w:color="000000" w:sz="4" w:space="0"/>
              <w:left w:val="single" w:color="000000" w:sz="4" w:space="0"/>
              <w:bottom w:val="single" w:color="000000" w:sz="4" w:space="0"/>
              <w:right w:val="single" w:color="000000" w:sz="4" w:space="0"/>
            </w:tcBorders>
            <w:noWrap w:val="0"/>
            <w:vAlign w:val="center"/>
          </w:tcPr>
          <w:p w14:paraId="6ACFF823">
            <w:pPr>
              <w:pStyle w:val="245"/>
              <w:spacing w:line="240" w:lineRule="auto"/>
              <w:jc w:val="center"/>
              <w:rPr>
                <w:rFonts w:hint="eastAsia"/>
                <w:color w:val="auto"/>
                <w:highlight w:val="none"/>
              </w:rPr>
            </w:pPr>
            <w:r>
              <w:rPr>
                <w:rFonts w:hint="eastAsia"/>
                <w:color w:val="auto"/>
                <w:highlight w:val="none"/>
              </w:rPr>
              <w:t>地下水</w:t>
            </w:r>
          </w:p>
        </w:tc>
        <w:tc>
          <w:tcPr>
            <w:tcW w:w="6745" w:type="dxa"/>
            <w:gridSpan w:val="6"/>
            <w:tcBorders>
              <w:top w:val="single" w:color="000000" w:sz="4" w:space="0"/>
              <w:left w:val="single" w:color="000000" w:sz="4" w:space="0"/>
              <w:bottom w:val="single" w:color="000000" w:sz="4" w:space="0"/>
              <w:right w:val="nil"/>
            </w:tcBorders>
            <w:noWrap w:val="0"/>
            <w:vAlign w:val="center"/>
          </w:tcPr>
          <w:p w14:paraId="6E0D8D22">
            <w:pPr>
              <w:pStyle w:val="245"/>
              <w:spacing w:line="240" w:lineRule="auto"/>
              <w:jc w:val="center"/>
              <w:rPr>
                <w:rFonts w:hint="eastAsia"/>
                <w:color w:val="auto"/>
                <w:highlight w:val="none"/>
              </w:rPr>
            </w:pPr>
            <w:r>
              <w:rPr>
                <w:rFonts w:hint="eastAsia"/>
                <w:color w:val="auto"/>
                <w:highlight w:val="none"/>
              </w:rPr>
              <w:t>下游厂区边界到达时间:/h</w:t>
            </w:r>
          </w:p>
        </w:tc>
      </w:tr>
      <w:tr w14:paraId="6B23AC8C">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1" w:type="dxa"/>
            <w:vMerge w:val="continue"/>
            <w:tcBorders>
              <w:top w:val="single" w:color="000000" w:sz="4" w:space="0"/>
              <w:left w:val="nil"/>
              <w:bottom w:val="single" w:color="000000" w:sz="4" w:space="0"/>
              <w:right w:val="single" w:color="000000" w:sz="4" w:space="0"/>
            </w:tcBorders>
            <w:noWrap w:val="0"/>
            <w:vAlign w:val="center"/>
          </w:tcPr>
          <w:p w14:paraId="0E952C52">
            <w:pPr>
              <w:pStyle w:val="245"/>
              <w:spacing w:line="240" w:lineRule="auto"/>
              <w:jc w:val="center"/>
              <w:rPr>
                <w:rFonts w:hint="eastAsia"/>
                <w:color w:val="auto"/>
                <w:highlight w:val="none"/>
              </w:rPr>
            </w:pPr>
          </w:p>
        </w:tc>
        <w:tc>
          <w:tcPr>
            <w:tcW w:w="116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CD2F52">
            <w:pPr>
              <w:pStyle w:val="245"/>
              <w:spacing w:line="240" w:lineRule="auto"/>
              <w:jc w:val="center"/>
              <w:rPr>
                <w:rFonts w:hint="eastAsia"/>
                <w:color w:val="auto"/>
                <w:highlight w:val="none"/>
              </w:rPr>
            </w:pPr>
          </w:p>
        </w:tc>
        <w:tc>
          <w:tcPr>
            <w:tcW w:w="6745" w:type="dxa"/>
            <w:gridSpan w:val="6"/>
            <w:tcBorders>
              <w:top w:val="single" w:color="000000" w:sz="4" w:space="0"/>
              <w:left w:val="single" w:color="000000" w:sz="4" w:space="0"/>
              <w:bottom w:val="single" w:color="000000" w:sz="4" w:space="0"/>
              <w:right w:val="nil"/>
            </w:tcBorders>
            <w:noWrap w:val="0"/>
            <w:vAlign w:val="center"/>
          </w:tcPr>
          <w:p w14:paraId="1FB560B4">
            <w:pPr>
              <w:pStyle w:val="245"/>
              <w:spacing w:line="240" w:lineRule="auto"/>
              <w:jc w:val="center"/>
              <w:rPr>
                <w:rFonts w:hint="eastAsia"/>
                <w:color w:val="auto"/>
                <w:highlight w:val="none"/>
              </w:rPr>
            </w:pPr>
            <w:r>
              <w:rPr>
                <w:rFonts w:hint="eastAsia"/>
                <w:color w:val="auto"/>
                <w:highlight w:val="none"/>
              </w:rPr>
              <w:t>最近环境敏感目标</w:t>
            </w:r>
            <w:r>
              <w:rPr>
                <w:rFonts w:hint="eastAsia"/>
                <w:color w:val="auto"/>
                <w:highlight w:val="none"/>
              </w:rPr>
              <w:tab/>
            </w:r>
            <w:r>
              <w:rPr>
                <w:rFonts w:hint="eastAsia"/>
                <w:color w:val="auto"/>
                <w:highlight w:val="none"/>
              </w:rPr>
              <w:t>，到达时间</w:t>
            </w:r>
            <w:r>
              <w:rPr>
                <w:rFonts w:hint="eastAsia"/>
                <w:color w:val="auto"/>
                <w:highlight w:val="none"/>
              </w:rPr>
              <w:tab/>
            </w:r>
            <w:r>
              <w:rPr>
                <w:rFonts w:hint="eastAsia"/>
                <w:color w:val="auto"/>
                <w:highlight w:val="none"/>
              </w:rPr>
              <w:t>h</w:t>
            </w:r>
          </w:p>
        </w:tc>
      </w:tr>
      <w:tr w14:paraId="7216381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tcBorders>
              <w:top w:val="single" w:color="000000" w:sz="4" w:space="0"/>
              <w:left w:val="nil"/>
              <w:bottom w:val="single" w:color="000000" w:sz="4" w:space="0"/>
              <w:right w:val="single" w:color="000000" w:sz="4" w:space="0"/>
            </w:tcBorders>
            <w:noWrap w:val="0"/>
            <w:vAlign w:val="center"/>
          </w:tcPr>
          <w:p w14:paraId="0903D913">
            <w:pPr>
              <w:pStyle w:val="245"/>
              <w:spacing w:line="240" w:lineRule="auto"/>
              <w:jc w:val="center"/>
              <w:rPr>
                <w:rFonts w:hint="eastAsia"/>
                <w:color w:val="auto"/>
                <w:highlight w:val="none"/>
              </w:rPr>
            </w:pPr>
            <w:r>
              <w:rPr>
                <w:rFonts w:hint="eastAsia"/>
                <w:color w:val="auto"/>
                <w:highlight w:val="none"/>
              </w:rPr>
              <w:t>重点风险防范措施</w:t>
            </w:r>
          </w:p>
        </w:tc>
        <w:tc>
          <w:tcPr>
            <w:tcW w:w="6745" w:type="dxa"/>
            <w:gridSpan w:val="6"/>
            <w:tcBorders>
              <w:top w:val="single" w:color="000000" w:sz="4" w:space="0"/>
              <w:left w:val="single" w:color="000000" w:sz="4" w:space="0"/>
              <w:bottom w:val="single" w:color="000000" w:sz="4" w:space="0"/>
              <w:right w:val="nil"/>
            </w:tcBorders>
            <w:noWrap w:val="0"/>
            <w:vAlign w:val="center"/>
          </w:tcPr>
          <w:p w14:paraId="0EA2A7E7">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cs="Times New Roman"/>
                <w:color w:val="auto"/>
                <w:kern w:val="2"/>
                <w:sz w:val="21"/>
                <w:szCs w:val="22"/>
                <w:highlight w:val="none"/>
                <w:lang w:val="en-US" w:eastAsia="zh-CN" w:bidi="ar-SA"/>
              </w:rPr>
            </w:pPr>
            <w:r>
              <w:rPr>
                <w:rFonts w:hint="eastAsia" w:ascii="Times New Roman" w:hAnsi="Times New Roman" w:cs="Times New Roman"/>
                <w:color w:val="auto"/>
                <w:kern w:val="2"/>
                <w:sz w:val="21"/>
                <w:szCs w:val="22"/>
                <w:highlight w:val="none"/>
                <w:lang w:val="en-US" w:eastAsia="zh-CN" w:bidi="ar-SA"/>
              </w:rPr>
              <w:t>本项目</w:t>
            </w:r>
            <w:r>
              <w:rPr>
                <w:rFonts w:hint="eastAsia" w:ascii="Times New Roman" w:hAnsi="Times New Roman" w:eastAsia="宋体" w:cs="Times New Roman"/>
                <w:color w:val="auto"/>
                <w:kern w:val="2"/>
                <w:sz w:val="21"/>
                <w:szCs w:val="22"/>
                <w:highlight w:val="none"/>
                <w:lang w:val="en-US" w:eastAsia="zh-CN" w:bidi="ar-SA"/>
              </w:rPr>
              <w:t>建设环境风险应急管理体系，废机油采用全密闭桶装包装方式，并将废机油及废油桶置放在金属托盘上，危险废物暂存间地面要求采用防渗层至少 1 m 厚黏土层（渗透系数不大于 10</w:t>
            </w:r>
            <w:r>
              <w:rPr>
                <w:rFonts w:hint="eastAsia" w:ascii="Times New Roman" w:hAnsi="Times New Roman" w:eastAsia="宋体" w:cs="Times New Roman"/>
                <w:color w:val="auto"/>
                <w:kern w:val="2"/>
                <w:sz w:val="21"/>
                <w:szCs w:val="22"/>
                <w:highlight w:val="none"/>
                <w:vertAlign w:val="superscript"/>
                <w:lang w:val="en-US" w:eastAsia="zh-CN" w:bidi="ar-SA"/>
              </w:rPr>
              <w:t xml:space="preserve"> -7 </w:t>
            </w:r>
            <w:r>
              <w:rPr>
                <w:rFonts w:hint="eastAsia" w:ascii="Times New Roman" w:hAnsi="Times New Roman" w:eastAsia="宋体" w:cs="Times New Roman"/>
                <w:color w:val="auto"/>
                <w:kern w:val="2"/>
                <w:sz w:val="21"/>
                <w:szCs w:val="22"/>
                <w:highlight w:val="none"/>
                <w:lang w:val="en-US" w:eastAsia="zh-CN" w:bidi="ar-SA"/>
              </w:rPr>
              <w:t xml:space="preserve">cm/s），或至少2 mm 厚高密度聚乙烯膜等人工防渗材料（渗透系数不大于 10 </w:t>
            </w:r>
            <w:r>
              <w:rPr>
                <w:rFonts w:hint="eastAsia" w:ascii="Times New Roman" w:hAnsi="Times New Roman" w:eastAsia="宋体" w:cs="Times New Roman"/>
                <w:color w:val="auto"/>
                <w:kern w:val="2"/>
                <w:sz w:val="21"/>
                <w:szCs w:val="22"/>
                <w:highlight w:val="none"/>
                <w:vertAlign w:val="superscript"/>
                <w:lang w:val="en-US" w:eastAsia="zh-CN" w:bidi="ar-SA"/>
              </w:rPr>
              <w:t>-10</w:t>
            </w:r>
            <w:r>
              <w:rPr>
                <w:rFonts w:hint="eastAsia" w:ascii="Times New Roman" w:hAnsi="Times New Roman" w:eastAsia="宋体" w:cs="Times New Roman"/>
                <w:color w:val="auto"/>
                <w:kern w:val="2"/>
                <w:sz w:val="21"/>
                <w:szCs w:val="22"/>
                <w:highlight w:val="none"/>
                <w:lang w:val="en-US" w:eastAsia="zh-CN" w:bidi="ar-SA"/>
              </w:rPr>
              <w:t xml:space="preserve"> cm/s），或其他防渗性能等效的材料；生产车间、原矿堆存库、精矿石贮存库、尾矿砂贮存库及选矿水倒排沟等采取抗渗混凝土进行基础防渗，选矿循环水池池底和池壁采用1mm厚HDPE膜进行基础防渗，防渗系数均小于1×10</w:t>
            </w:r>
            <w:r>
              <w:rPr>
                <w:rFonts w:hint="eastAsia" w:ascii="Times New Roman" w:hAnsi="Times New Roman" w:eastAsia="宋体" w:cs="Times New Roman"/>
                <w:color w:val="auto"/>
                <w:kern w:val="2"/>
                <w:sz w:val="21"/>
                <w:szCs w:val="22"/>
                <w:highlight w:val="none"/>
                <w:vertAlign w:val="superscript"/>
                <w:lang w:val="en-US" w:eastAsia="zh-CN" w:bidi="ar-SA"/>
              </w:rPr>
              <w:t>-7</w:t>
            </w:r>
            <w:r>
              <w:rPr>
                <w:rFonts w:hint="eastAsia" w:ascii="Times New Roman" w:hAnsi="Times New Roman" w:eastAsia="宋体" w:cs="Times New Roman"/>
                <w:color w:val="auto"/>
                <w:kern w:val="2"/>
                <w:sz w:val="21"/>
                <w:szCs w:val="22"/>
                <w:highlight w:val="none"/>
                <w:lang w:val="en-US" w:eastAsia="zh-CN" w:bidi="ar-SA"/>
              </w:rPr>
              <w:t>cm/s，满足《环境影响评价技术导则 地下水环境》（HJ610-2016）中规定的“一般防渗区”防渗要求</w:t>
            </w:r>
            <w:r>
              <w:rPr>
                <w:rFonts w:hint="eastAsia" w:ascii="Times New Roman" w:hAnsi="Times New Roman" w:cs="Times New Roman"/>
                <w:color w:val="auto"/>
                <w:kern w:val="2"/>
                <w:sz w:val="21"/>
                <w:szCs w:val="22"/>
                <w:highlight w:val="none"/>
                <w:lang w:val="en-US" w:eastAsia="zh-CN" w:bidi="ar-SA"/>
              </w:rPr>
              <w:t>；</w:t>
            </w:r>
          </w:p>
          <w:p w14:paraId="7539ABB2">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配套环保生产管理人员，定期对员工进行环保教育；</w:t>
            </w:r>
          </w:p>
          <w:p w14:paraId="7410A3A5">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制定应急预案，组织应急演练等</w:t>
            </w:r>
            <w:r>
              <w:rPr>
                <w:rFonts w:hint="eastAsia" w:ascii="Times New Roman" w:hAnsi="Times New Roman" w:cs="Times New Roman"/>
                <w:color w:val="auto"/>
                <w:kern w:val="2"/>
                <w:sz w:val="21"/>
                <w:szCs w:val="22"/>
                <w:highlight w:val="none"/>
                <w:lang w:val="en-US" w:eastAsia="zh-CN" w:bidi="ar-SA"/>
              </w:rPr>
              <w:t>；</w:t>
            </w:r>
          </w:p>
          <w:p w14:paraId="0B01745F">
            <w:pPr>
              <w:pStyle w:val="31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color w:val="auto"/>
                <w:highlight w:val="none"/>
              </w:rPr>
            </w:pPr>
            <w:r>
              <w:rPr>
                <w:rFonts w:hint="eastAsia" w:ascii="Times New Roman" w:hAnsi="Times New Roman" w:eastAsia="宋体" w:cs="Times New Roman"/>
                <w:color w:val="auto"/>
                <w:kern w:val="2"/>
                <w:sz w:val="21"/>
                <w:szCs w:val="22"/>
                <w:highlight w:val="none"/>
                <w:lang w:val="en-US" w:eastAsia="zh-CN" w:bidi="ar-SA"/>
              </w:rPr>
              <w:t>配备消防器材、火灾报警系统、加强地下水日常监测。</w:t>
            </w:r>
          </w:p>
        </w:tc>
      </w:tr>
      <w:tr w14:paraId="3409BA42">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565" w:type="dxa"/>
            <w:gridSpan w:val="2"/>
            <w:tcBorders>
              <w:top w:val="single" w:color="000000" w:sz="4" w:space="0"/>
              <w:left w:val="nil"/>
              <w:bottom w:val="single" w:color="000000" w:sz="4" w:space="0"/>
              <w:right w:val="single" w:color="000000" w:sz="4" w:space="0"/>
            </w:tcBorders>
            <w:noWrap w:val="0"/>
            <w:vAlign w:val="center"/>
          </w:tcPr>
          <w:p w14:paraId="28A4BE4A">
            <w:pPr>
              <w:pStyle w:val="245"/>
              <w:spacing w:line="240" w:lineRule="auto"/>
              <w:jc w:val="center"/>
              <w:rPr>
                <w:rFonts w:hint="eastAsia"/>
                <w:color w:val="auto"/>
                <w:highlight w:val="none"/>
              </w:rPr>
            </w:pPr>
            <w:r>
              <w:rPr>
                <w:rFonts w:hint="eastAsia"/>
                <w:color w:val="auto"/>
                <w:highlight w:val="none"/>
              </w:rPr>
              <w:t>评价结论与建议</w:t>
            </w:r>
          </w:p>
        </w:tc>
        <w:tc>
          <w:tcPr>
            <w:tcW w:w="6745" w:type="dxa"/>
            <w:gridSpan w:val="6"/>
            <w:tcBorders>
              <w:top w:val="single" w:color="000000" w:sz="4" w:space="0"/>
              <w:left w:val="single" w:color="000000" w:sz="4" w:space="0"/>
              <w:bottom w:val="single" w:color="000000" w:sz="4" w:space="0"/>
              <w:right w:val="nil"/>
            </w:tcBorders>
            <w:noWrap w:val="0"/>
            <w:vAlign w:val="center"/>
          </w:tcPr>
          <w:p w14:paraId="0890C436">
            <w:pPr>
              <w:pStyle w:val="245"/>
              <w:spacing w:line="240" w:lineRule="auto"/>
              <w:jc w:val="both"/>
              <w:rPr>
                <w:rFonts w:hint="eastAsia"/>
                <w:color w:val="auto"/>
                <w:highlight w:val="none"/>
              </w:rPr>
            </w:pPr>
            <w:r>
              <w:rPr>
                <w:rFonts w:hint="eastAsia"/>
                <w:color w:val="auto"/>
                <w:highlight w:val="none"/>
                <w:lang w:val="en-US" w:eastAsia="zh-CN"/>
              </w:rPr>
              <w:t>本项目具有潜在的事故风险，但风险概率较小。为了防范事故和减少危害，制定废机油泄漏事故的应急预案。当出现事故时，要采取紧急的工程应急措施，如必要，要采取社会应急措施，以控制事故和减少对环境造成的危害。企业通过风险源、环境影响途径及环境敏感目标三个方面有效的对风险事故进行了防范，合理，有效，故本项目产生的环境风险可接受。</w:t>
            </w:r>
          </w:p>
        </w:tc>
      </w:tr>
      <w:tr w14:paraId="313EAFBF">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10" w:type="dxa"/>
            <w:gridSpan w:val="8"/>
            <w:tcBorders>
              <w:top w:val="single" w:color="000000" w:sz="4" w:space="0"/>
              <w:left w:val="nil"/>
              <w:bottom w:val="single" w:color="000000" w:sz="12" w:space="0"/>
              <w:right w:val="nil"/>
            </w:tcBorders>
            <w:noWrap w:val="0"/>
            <w:vAlign w:val="center"/>
          </w:tcPr>
          <w:p w14:paraId="3F6F3F5C">
            <w:pPr>
              <w:pStyle w:val="245"/>
              <w:spacing w:line="240" w:lineRule="auto"/>
              <w:jc w:val="center"/>
              <w:rPr>
                <w:rFonts w:hint="eastAsia"/>
                <w:color w:val="auto"/>
                <w:highlight w:val="none"/>
              </w:rPr>
            </w:pPr>
            <w:r>
              <w:rPr>
                <w:rFonts w:hint="eastAsia"/>
                <w:color w:val="auto"/>
                <w:highlight w:val="none"/>
              </w:rPr>
              <w:t>注：“□”为勾选项，“”为填写项。</w:t>
            </w:r>
          </w:p>
        </w:tc>
      </w:tr>
      <w:bookmarkEnd w:id="190"/>
      <w:bookmarkEnd w:id="191"/>
      <w:bookmarkEnd w:id="192"/>
    </w:tbl>
    <w:p w14:paraId="1519A101">
      <w:pPr>
        <w:pStyle w:val="3"/>
        <w:spacing w:before="120" w:after="120"/>
        <w:rPr>
          <w:color w:val="auto"/>
          <w:highlight w:val="none"/>
        </w:rPr>
      </w:pPr>
      <w:bookmarkStart w:id="199" w:name="_Toc58916178"/>
      <w:bookmarkStart w:id="200" w:name="_Toc24447187"/>
      <w:bookmarkStart w:id="201" w:name="_Toc24340243"/>
      <w:bookmarkStart w:id="202" w:name="_Toc1271"/>
      <w:bookmarkStart w:id="203" w:name="_Toc24447638"/>
      <w:r>
        <w:rPr>
          <w:rFonts w:hint="eastAsia"/>
          <w:color w:val="auto"/>
          <w:highlight w:val="none"/>
        </w:rPr>
        <w:t>环境保护措施及其可行性</w:t>
      </w:r>
      <w:bookmarkEnd w:id="199"/>
      <w:bookmarkEnd w:id="200"/>
      <w:bookmarkEnd w:id="201"/>
      <w:bookmarkEnd w:id="202"/>
      <w:bookmarkEnd w:id="203"/>
    </w:p>
    <w:p w14:paraId="2930CE1D">
      <w:pPr>
        <w:pStyle w:val="4"/>
        <w:spacing w:before="120" w:after="120"/>
        <w:rPr>
          <w:color w:val="auto"/>
          <w:highlight w:val="none"/>
        </w:rPr>
      </w:pPr>
      <w:bookmarkStart w:id="204" w:name="_Toc24447188"/>
      <w:bookmarkStart w:id="205" w:name="_Toc24340244"/>
      <w:bookmarkStart w:id="206" w:name="_Toc24447639"/>
      <w:bookmarkStart w:id="207" w:name="_Toc58916179"/>
      <w:bookmarkStart w:id="208" w:name="_Toc15744"/>
      <w:r>
        <w:rPr>
          <w:rFonts w:hint="eastAsia"/>
          <w:color w:val="auto"/>
          <w:highlight w:val="none"/>
        </w:rPr>
        <w:t>施工期污染防治措施</w:t>
      </w:r>
      <w:bookmarkEnd w:id="204"/>
      <w:bookmarkEnd w:id="205"/>
      <w:bookmarkEnd w:id="206"/>
      <w:bookmarkEnd w:id="207"/>
      <w:bookmarkEnd w:id="208"/>
    </w:p>
    <w:p w14:paraId="250D7407">
      <w:pPr>
        <w:pStyle w:val="5"/>
        <w:rPr>
          <w:rFonts w:hint="eastAsia"/>
          <w:color w:val="auto"/>
          <w:highlight w:val="none"/>
        </w:rPr>
      </w:pPr>
      <w:bookmarkStart w:id="209" w:name="_Toc24447189"/>
      <w:r>
        <w:rPr>
          <w:rFonts w:hint="eastAsia"/>
          <w:color w:val="auto"/>
          <w:highlight w:val="none"/>
        </w:rPr>
        <w:t>施工废气</w:t>
      </w:r>
      <w:bookmarkEnd w:id="209"/>
    </w:p>
    <w:p w14:paraId="12486F16">
      <w:pPr>
        <w:ind w:firstLine="480"/>
        <w:rPr>
          <w:color w:val="auto"/>
          <w:highlight w:val="none"/>
        </w:rPr>
      </w:pPr>
      <w:r>
        <w:rPr>
          <w:rFonts w:hint="eastAsia"/>
          <w:color w:val="auto"/>
          <w:highlight w:val="none"/>
        </w:rPr>
        <w:t>本项目施工期对大气造成污染的主要是粉尘，控制施工期粉尘的主要措施如下：</w:t>
      </w:r>
    </w:p>
    <w:p w14:paraId="110CC369">
      <w:pPr>
        <w:ind w:firstLine="480"/>
        <w:rPr>
          <w:color w:val="auto"/>
          <w:highlight w:val="none"/>
        </w:rPr>
      </w:pPr>
      <w:r>
        <w:rPr>
          <w:rFonts w:hint="eastAsia"/>
          <w:color w:val="auto"/>
          <w:highlight w:val="none"/>
        </w:rPr>
        <w:t>（1）加强施工机械的使用管理和保养维修，合理降低使用次数，提高机械使用效率，降低废气排放，减轻燃油施工机械排放的废气对环境空气的影响。</w:t>
      </w:r>
    </w:p>
    <w:p w14:paraId="78DB234A">
      <w:pPr>
        <w:ind w:firstLine="480"/>
        <w:rPr>
          <w:color w:val="auto"/>
          <w:highlight w:val="none"/>
        </w:rPr>
      </w:pPr>
      <w:r>
        <w:rPr>
          <w:rFonts w:hint="eastAsia"/>
          <w:color w:val="auto"/>
          <w:highlight w:val="none"/>
        </w:rPr>
        <w:t>（2）运土车辆需加篷布遮盖，严禁超重、超高装载，运输车辆进入施工场地应低速、限速行驶，以减少产尘量；使用商品混凝土或散装水泥，对产生扬尘的施工作业点设洒水装置，抑制粉尘散发和运输中的二次扬尘。</w:t>
      </w:r>
    </w:p>
    <w:p w14:paraId="76FBDA0E">
      <w:pPr>
        <w:ind w:firstLine="480"/>
        <w:rPr>
          <w:color w:val="auto"/>
          <w:highlight w:val="none"/>
        </w:rPr>
      </w:pPr>
      <w:r>
        <w:rPr>
          <w:rFonts w:hint="eastAsia"/>
          <w:color w:val="auto"/>
          <w:highlight w:val="none"/>
        </w:rPr>
        <w:t>（3）减少砂石等材料在施工现场的堆放数量。及时清理多余土方、每天及时清扫掉落地面的尘土等措施，减少扬尘污染。</w:t>
      </w:r>
    </w:p>
    <w:p w14:paraId="1FDBA854">
      <w:pPr>
        <w:ind w:firstLine="480"/>
        <w:rPr>
          <w:color w:val="auto"/>
          <w:highlight w:val="none"/>
        </w:rPr>
      </w:pPr>
      <w:r>
        <w:rPr>
          <w:rFonts w:hint="eastAsia"/>
          <w:color w:val="auto"/>
          <w:highlight w:val="none"/>
        </w:rPr>
        <w:t>（4）在运输车辆进出厂区时及时清扫车身、轮胎上的泥土，防止造成运输过程中的二次污染。</w:t>
      </w:r>
    </w:p>
    <w:p w14:paraId="2B4B20A3">
      <w:pPr>
        <w:ind w:firstLine="480"/>
        <w:rPr>
          <w:color w:val="auto"/>
          <w:highlight w:val="none"/>
        </w:rPr>
      </w:pPr>
      <w:r>
        <w:rPr>
          <w:rFonts w:hint="eastAsia"/>
          <w:color w:val="auto"/>
          <w:highlight w:val="none"/>
        </w:rPr>
        <w:t>（5）对厂区运输路面进行硬化处理，对厂区内定期洒水，减少扬尘污染。</w:t>
      </w:r>
    </w:p>
    <w:p w14:paraId="16C54C83">
      <w:pPr>
        <w:ind w:firstLine="480"/>
        <w:rPr>
          <w:color w:val="auto"/>
          <w:highlight w:val="none"/>
        </w:rPr>
      </w:pPr>
      <w:r>
        <w:rPr>
          <w:rFonts w:hint="eastAsia"/>
          <w:color w:val="auto"/>
          <w:highlight w:val="none"/>
        </w:rPr>
        <w:t>（6）合理安排工程进度，交叉作业，缩短施工时间。</w:t>
      </w:r>
    </w:p>
    <w:p w14:paraId="4E2F772C">
      <w:pPr>
        <w:ind w:firstLine="480"/>
        <w:rPr>
          <w:color w:val="auto"/>
          <w:highlight w:val="none"/>
        </w:rPr>
      </w:pPr>
      <w:r>
        <w:rPr>
          <w:rFonts w:hint="eastAsia"/>
          <w:color w:val="auto"/>
          <w:highlight w:val="none"/>
        </w:rPr>
        <w:t>本项目在施工过程只要采取切实可行的污染防治措施及科学的管理办法，可使施工扬尘影响降低至较低水平。施工期对大气环境影响只是局部的、短暂的，属可接受程度。</w:t>
      </w:r>
    </w:p>
    <w:p w14:paraId="49591882">
      <w:pPr>
        <w:pStyle w:val="5"/>
        <w:rPr>
          <w:color w:val="auto"/>
          <w:highlight w:val="none"/>
        </w:rPr>
      </w:pPr>
      <w:bookmarkStart w:id="210" w:name="_Toc24447190"/>
      <w:r>
        <w:rPr>
          <w:rFonts w:hint="eastAsia"/>
          <w:color w:val="auto"/>
          <w:highlight w:val="none"/>
        </w:rPr>
        <w:t>施工噪声</w:t>
      </w:r>
      <w:bookmarkEnd w:id="210"/>
    </w:p>
    <w:p w14:paraId="0E1BEDB9">
      <w:pPr>
        <w:ind w:firstLine="480"/>
        <w:rPr>
          <w:color w:val="auto"/>
          <w:highlight w:val="none"/>
        </w:rPr>
      </w:pPr>
      <w:bookmarkStart w:id="211" w:name="_Toc24447191"/>
      <w:r>
        <w:rPr>
          <w:color w:val="auto"/>
          <w:highlight w:val="none"/>
        </w:rPr>
        <w:t>本项目施工作业噪声不可避免，本项目位于阿拉善经济技术开发区内，周围没有居民区及其他噪声敏感保护目标，只要施工单位做好防噪减振工作，对周围环境影响轻微。为减轻施工噪声的环境影响，建议采取的措施如下：</w:t>
      </w:r>
    </w:p>
    <w:p w14:paraId="11615515">
      <w:pPr>
        <w:ind w:firstLine="480"/>
        <w:rPr>
          <w:color w:val="auto"/>
          <w:highlight w:val="none"/>
        </w:rPr>
      </w:pPr>
      <w:r>
        <w:rPr>
          <w:color w:val="auto"/>
          <w:highlight w:val="none"/>
        </w:rPr>
        <w:t>（1）合理安排施工作业时间，严禁在夜间进行高噪声施工作业。</w:t>
      </w:r>
    </w:p>
    <w:p w14:paraId="4EF709B9">
      <w:pPr>
        <w:ind w:firstLine="480"/>
        <w:rPr>
          <w:color w:val="auto"/>
          <w:highlight w:val="none"/>
        </w:rPr>
      </w:pPr>
      <w:r>
        <w:rPr>
          <w:color w:val="auto"/>
          <w:highlight w:val="none"/>
        </w:rPr>
        <w:t>（2）尽量选用低噪声机械设备或带隔声、消声的设备。</w:t>
      </w:r>
    </w:p>
    <w:p w14:paraId="1C1D9A58">
      <w:pPr>
        <w:ind w:firstLine="480"/>
        <w:rPr>
          <w:color w:val="auto"/>
          <w:highlight w:val="none"/>
        </w:rPr>
      </w:pPr>
      <w:r>
        <w:rPr>
          <w:color w:val="auto"/>
          <w:highlight w:val="none"/>
        </w:rPr>
        <w:t>（3）施工机械应尽可能放置于对厂界外声环境影响最小的地点。</w:t>
      </w:r>
    </w:p>
    <w:p w14:paraId="24DE00AE">
      <w:pPr>
        <w:ind w:firstLine="480"/>
        <w:rPr>
          <w:color w:val="auto"/>
          <w:highlight w:val="none"/>
        </w:rPr>
      </w:pPr>
      <w:r>
        <w:rPr>
          <w:color w:val="auto"/>
          <w:highlight w:val="none"/>
        </w:rPr>
        <w:t>（4）做好施工机械的维护和保养，有效降低机械设备运转的噪声源强，控制汽车鸣笛。</w:t>
      </w:r>
    </w:p>
    <w:p w14:paraId="54DA4099">
      <w:pPr>
        <w:ind w:firstLine="480"/>
        <w:rPr>
          <w:color w:val="auto"/>
          <w:highlight w:val="none"/>
        </w:rPr>
      </w:pPr>
      <w:r>
        <w:rPr>
          <w:color w:val="auto"/>
          <w:highlight w:val="none"/>
        </w:rPr>
        <w:t>（5）理安排强噪声施工机械的工作频次，合理调配车辆来往行车密度。</w:t>
      </w:r>
    </w:p>
    <w:p w14:paraId="52A6096B">
      <w:pPr>
        <w:ind w:firstLine="480"/>
        <w:rPr>
          <w:color w:val="auto"/>
          <w:highlight w:val="none"/>
        </w:rPr>
      </w:pPr>
      <w:r>
        <w:rPr>
          <w:color w:val="auto"/>
          <w:highlight w:val="none"/>
        </w:rPr>
        <w:t>（6）做好劳动保护工作，为强噪声源施工机械操作人员配备必要的防护耳塞或耳罩。</w:t>
      </w:r>
    </w:p>
    <w:p w14:paraId="6F3DF0DD">
      <w:pPr>
        <w:pStyle w:val="5"/>
        <w:rPr>
          <w:color w:val="auto"/>
          <w:highlight w:val="none"/>
        </w:rPr>
      </w:pPr>
      <w:r>
        <w:rPr>
          <w:rFonts w:hint="eastAsia"/>
          <w:color w:val="auto"/>
          <w:highlight w:val="none"/>
        </w:rPr>
        <w:t>施工废水</w:t>
      </w:r>
      <w:bookmarkEnd w:id="211"/>
      <w:r>
        <w:rPr>
          <w:rFonts w:hint="eastAsia"/>
          <w:color w:val="auto"/>
          <w:highlight w:val="none"/>
        </w:rPr>
        <w:t>污染防治措施</w:t>
      </w:r>
    </w:p>
    <w:p w14:paraId="758969EA">
      <w:pPr>
        <w:ind w:firstLine="480"/>
        <w:rPr>
          <w:color w:val="auto"/>
          <w:highlight w:val="none"/>
        </w:rPr>
      </w:pPr>
      <w:bookmarkStart w:id="212" w:name="_Toc24447192"/>
      <w:r>
        <w:rPr>
          <w:color w:val="auto"/>
          <w:highlight w:val="none"/>
        </w:rPr>
        <w:t>施工期废水主要来自工程施工人员的生活污水、施工过程中混凝土搅拌机用水和砖瓦、土方等建筑物料喷洒水，以及少量的机械泥土清洗废水，施工期废水主要防治措施如下：</w:t>
      </w:r>
    </w:p>
    <w:p w14:paraId="3BB820A1">
      <w:pPr>
        <w:ind w:firstLine="480"/>
        <w:rPr>
          <w:color w:val="auto"/>
          <w:highlight w:val="none"/>
        </w:rPr>
      </w:pPr>
      <w:r>
        <w:rPr>
          <w:color w:val="auto"/>
          <w:highlight w:val="none"/>
        </w:rPr>
        <w:t>（1）加强施工期管理，针对施工期污水产生过程不连续、废水种类较单一等特点，可采取相应措施有效控制污水中污染物的产生量。</w:t>
      </w:r>
    </w:p>
    <w:p w14:paraId="724531AC">
      <w:pPr>
        <w:ind w:firstLine="480"/>
        <w:rPr>
          <w:color w:val="auto"/>
          <w:highlight w:val="none"/>
        </w:rPr>
      </w:pPr>
      <w:r>
        <w:rPr>
          <w:color w:val="auto"/>
          <w:highlight w:val="none"/>
        </w:rPr>
        <w:t>（2）水泥、黄沙、石灰类的建筑材料需集中堆放，并采取一定的防雨淋措施，及时清扫施工运输工程中抛洒的上述建筑材料，以免这些物质随雨水冲刷污染附近水体。</w:t>
      </w:r>
    </w:p>
    <w:p w14:paraId="65FE9525">
      <w:pPr>
        <w:ind w:firstLine="480"/>
        <w:rPr>
          <w:color w:val="auto"/>
          <w:highlight w:val="none"/>
        </w:rPr>
      </w:pPr>
      <w:r>
        <w:rPr>
          <w:color w:val="auto"/>
          <w:highlight w:val="none"/>
        </w:rPr>
        <w:t>（3）对施工期废水进行收集后，可以用作厂内洒扫用水，以降低厂内起尘量。</w:t>
      </w:r>
    </w:p>
    <w:p w14:paraId="7F202D91">
      <w:pPr>
        <w:ind w:firstLine="480"/>
        <w:rPr>
          <w:color w:val="auto"/>
          <w:highlight w:val="none"/>
        </w:rPr>
      </w:pPr>
      <w:r>
        <w:rPr>
          <w:color w:val="auto"/>
          <w:highlight w:val="none"/>
        </w:rPr>
        <w:t>（4）施工人员生活</w:t>
      </w:r>
      <w:r>
        <w:rPr>
          <w:rFonts w:hint="eastAsia"/>
          <w:color w:val="auto"/>
          <w:highlight w:val="none"/>
          <w:lang w:val="en-US" w:eastAsia="zh-CN"/>
        </w:rPr>
        <w:t>污水依托盟东水泥厂现有化粪池收集处理后，定期清运至诺尔镇污水处理厂</w:t>
      </w:r>
      <w:r>
        <w:rPr>
          <w:color w:val="auto"/>
          <w:highlight w:val="none"/>
        </w:rPr>
        <w:t>。</w:t>
      </w:r>
    </w:p>
    <w:p w14:paraId="706B246A">
      <w:pPr>
        <w:pStyle w:val="5"/>
        <w:rPr>
          <w:color w:val="auto"/>
          <w:highlight w:val="none"/>
        </w:rPr>
      </w:pPr>
      <w:r>
        <w:rPr>
          <w:rFonts w:hint="eastAsia"/>
          <w:color w:val="auto"/>
          <w:highlight w:val="none"/>
        </w:rPr>
        <w:t>施工固体废物</w:t>
      </w:r>
      <w:bookmarkEnd w:id="212"/>
    </w:p>
    <w:p w14:paraId="74440210">
      <w:pPr>
        <w:ind w:firstLine="480"/>
        <w:rPr>
          <w:color w:val="auto"/>
          <w:highlight w:val="none"/>
        </w:rPr>
      </w:pPr>
      <w:bookmarkStart w:id="213" w:name="_Toc24447640"/>
      <w:bookmarkStart w:id="214" w:name="_Toc24340245"/>
      <w:bookmarkStart w:id="215" w:name="_Toc24447194"/>
      <w:r>
        <w:rPr>
          <w:color w:val="auto"/>
          <w:highlight w:val="none"/>
        </w:rPr>
        <w:t>本项目施工期产生的固体废物，主要来源于开挖土方、建筑施工中的废物如砂石、石灰、混凝土、废砖及装修废料和员工生活垃圾等。为减轻施工固废对的环境影响，建议采取的措施如下：</w:t>
      </w:r>
    </w:p>
    <w:p w14:paraId="68558470">
      <w:pPr>
        <w:ind w:firstLine="480"/>
        <w:rPr>
          <w:color w:val="auto"/>
          <w:highlight w:val="none"/>
        </w:rPr>
      </w:pPr>
      <w:r>
        <w:rPr>
          <w:color w:val="auto"/>
          <w:highlight w:val="none"/>
        </w:rPr>
        <w:t>（1）施工人员生活垃圾定点存放，收集后统一清运。</w:t>
      </w:r>
    </w:p>
    <w:p w14:paraId="1C6FBF13">
      <w:pPr>
        <w:ind w:firstLine="480"/>
        <w:rPr>
          <w:color w:val="auto"/>
          <w:highlight w:val="none"/>
        </w:rPr>
      </w:pPr>
      <w:r>
        <w:rPr>
          <w:color w:val="auto"/>
          <w:highlight w:val="none"/>
        </w:rPr>
        <w:t>（2）尽量减少建筑材料在运输、装卸、施工过程中的漏撒。</w:t>
      </w:r>
    </w:p>
    <w:p w14:paraId="153DB3B1">
      <w:pPr>
        <w:ind w:firstLine="480"/>
        <w:rPr>
          <w:color w:val="auto"/>
          <w:highlight w:val="none"/>
        </w:rPr>
      </w:pPr>
      <w:r>
        <w:rPr>
          <w:color w:val="auto"/>
          <w:highlight w:val="none"/>
        </w:rPr>
        <w:t>（3）本项目建设过程中，建筑垃圾尽量做到随产随清，若因特殊情况，需要在厂内堆存的，应该采取相应措施，减小因建筑垃圾堆存产生的扬尘等二次污染。建筑垃圾尽量做到回收利用。</w:t>
      </w:r>
    </w:p>
    <w:p w14:paraId="46E403A7">
      <w:pPr>
        <w:ind w:firstLine="480"/>
        <w:rPr>
          <w:color w:val="auto"/>
          <w:highlight w:val="none"/>
        </w:rPr>
      </w:pPr>
      <w:r>
        <w:rPr>
          <w:color w:val="auto"/>
          <w:highlight w:val="none"/>
        </w:rPr>
        <w:t>（4）外运的弃土及运输车辆必须采取遮蔽、防抛撒等措施，向有关的渣土排放管理处提出申请，按规定办理好渣土排放的手续，获得批准后方可在指定的受纳地点弃土。</w:t>
      </w:r>
    </w:p>
    <w:p w14:paraId="79A6ECBC">
      <w:pPr>
        <w:pStyle w:val="4"/>
        <w:spacing w:before="120" w:after="120"/>
        <w:rPr>
          <w:color w:val="auto"/>
          <w:highlight w:val="none"/>
        </w:rPr>
      </w:pPr>
      <w:bookmarkStart w:id="216" w:name="_Toc58916180"/>
      <w:bookmarkStart w:id="217" w:name="_Toc27071"/>
      <w:r>
        <w:rPr>
          <w:rFonts w:hint="eastAsia"/>
          <w:color w:val="auto"/>
          <w:highlight w:val="none"/>
        </w:rPr>
        <w:t>运营期大气污染防治措施</w:t>
      </w:r>
      <w:bookmarkEnd w:id="213"/>
      <w:bookmarkEnd w:id="214"/>
      <w:bookmarkEnd w:id="215"/>
      <w:bookmarkEnd w:id="216"/>
      <w:bookmarkEnd w:id="217"/>
    </w:p>
    <w:p w14:paraId="0B1B5084">
      <w:pPr>
        <w:ind w:firstLine="480"/>
        <w:rPr>
          <w:color w:val="auto"/>
          <w:highlight w:val="none"/>
        </w:rPr>
      </w:pPr>
      <w:r>
        <w:rPr>
          <w:rFonts w:hint="eastAsia"/>
          <w:color w:val="auto"/>
          <w:highlight w:val="none"/>
          <w:lang w:val="en-US" w:eastAsia="zh-CN"/>
        </w:rPr>
        <w:t>本</w:t>
      </w:r>
      <w:r>
        <w:rPr>
          <w:color w:val="auto"/>
          <w:highlight w:val="none"/>
        </w:rPr>
        <w:t>项目运营过程产生的大气污染物的主要环节包括车辆运输</w:t>
      </w:r>
      <w:r>
        <w:rPr>
          <w:rFonts w:hint="eastAsia"/>
          <w:color w:val="auto"/>
          <w:highlight w:val="none"/>
          <w:lang w:eastAsia="zh-CN"/>
        </w:rPr>
        <w:t>、</w:t>
      </w:r>
      <w:r>
        <w:rPr>
          <w:color w:val="auto"/>
          <w:highlight w:val="none"/>
        </w:rPr>
        <w:t>原矿石堆存、破碎、筛分、皮带转运、萤石精粉堆</w:t>
      </w:r>
      <w:r>
        <w:rPr>
          <w:rFonts w:hint="eastAsia"/>
          <w:color w:val="auto"/>
          <w:highlight w:val="none"/>
          <w:lang w:val="en-US" w:eastAsia="zh-CN"/>
        </w:rPr>
        <w:t>存、尾矿砂堆存、及</w:t>
      </w:r>
      <w:r>
        <w:rPr>
          <w:color w:val="auto"/>
          <w:highlight w:val="none"/>
        </w:rPr>
        <w:t>物料装卸过程产生的扬尘。</w:t>
      </w:r>
    </w:p>
    <w:p w14:paraId="7C99E46F">
      <w:pPr>
        <w:pStyle w:val="5"/>
        <w:rPr>
          <w:rFonts w:hint="eastAsia"/>
          <w:color w:val="auto"/>
          <w:highlight w:val="none"/>
        </w:rPr>
      </w:pPr>
      <w:r>
        <w:rPr>
          <w:rFonts w:hint="eastAsia"/>
          <w:color w:val="auto"/>
          <w:highlight w:val="none"/>
          <w:lang w:val="en-US" w:eastAsia="zh-CN"/>
        </w:rPr>
        <w:t>无组织排放粉尘</w:t>
      </w:r>
      <w:r>
        <w:rPr>
          <w:rFonts w:hint="eastAsia"/>
          <w:color w:val="auto"/>
          <w:highlight w:val="none"/>
        </w:rPr>
        <w:t>污染防治措施</w:t>
      </w:r>
    </w:p>
    <w:p w14:paraId="2A46235E">
      <w:pPr>
        <w:ind w:firstLine="480"/>
        <w:rPr>
          <w:color w:val="auto"/>
          <w:highlight w:val="none"/>
        </w:rPr>
      </w:pPr>
      <w:r>
        <w:rPr>
          <w:color w:val="auto"/>
          <w:highlight w:val="none"/>
        </w:rPr>
        <w:t>（1）原矿石、萤石精粉以及尾砂堆存过程扬尘治理措施</w:t>
      </w:r>
    </w:p>
    <w:p w14:paraId="7865BC3B">
      <w:pPr>
        <w:ind w:firstLine="480"/>
        <w:rPr>
          <w:rFonts w:hint="eastAsia"/>
          <w:color w:val="auto"/>
          <w:highlight w:val="none"/>
          <w:lang w:val="en-US" w:eastAsia="zh-CN"/>
        </w:rPr>
      </w:pPr>
      <w:r>
        <w:rPr>
          <w:rFonts w:hint="eastAsia"/>
          <w:color w:val="auto"/>
          <w:highlight w:val="none"/>
          <w:lang w:val="en-US" w:eastAsia="zh-CN"/>
        </w:rPr>
        <w:t>本项目厂区设置1座100m×40m×H8m萤石原矿全封闭贮存库，1座30m×20m×H12m萤石精矿粉全封闭贮存库及1座40m×20m×H8m尾矿砂全封闭贮存库，并对堆存物料表面采取定期洒水，提高物料含水量，降低物料堆存过程风力影响产生的扬尘污染。</w:t>
      </w:r>
    </w:p>
    <w:p w14:paraId="6FE0E7E3">
      <w:pPr>
        <w:ind w:firstLine="480"/>
        <w:rPr>
          <w:color w:val="auto"/>
          <w:highlight w:val="none"/>
        </w:rPr>
      </w:pPr>
      <w:r>
        <w:rPr>
          <w:color w:val="auto"/>
          <w:highlight w:val="none"/>
        </w:rPr>
        <w:t>（</w:t>
      </w:r>
      <w:r>
        <w:rPr>
          <w:rFonts w:hint="eastAsia"/>
          <w:color w:val="auto"/>
          <w:highlight w:val="none"/>
          <w:lang w:val="en-US" w:eastAsia="zh-CN"/>
        </w:rPr>
        <w:t>2</w:t>
      </w:r>
      <w:r>
        <w:rPr>
          <w:color w:val="auto"/>
          <w:highlight w:val="none"/>
        </w:rPr>
        <w:t>）原矿石</w:t>
      </w:r>
      <w:r>
        <w:rPr>
          <w:rFonts w:hint="eastAsia"/>
          <w:color w:val="auto"/>
          <w:highlight w:val="none"/>
          <w:lang w:val="en-US" w:eastAsia="zh-CN"/>
        </w:rPr>
        <w:t>装卸</w:t>
      </w:r>
      <w:r>
        <w:rPr>
          <w:color w:val="auto"/>
          <w:highlight w:val="none"/>
        </w:rPr>
        <w:t>过程扬尘治理措施</w:t>
      </w:r>
    </w:p>
    <w:p w14:paraId="3456C7DB">
      <w:pPr>
        <w:ind w:firstLine="480"/>
        <w:rPr>
          <w:rFonts w:hint="default"/>
          <w:color w:val="auto"/>
          <w:highlight w:val="none"/>
          <w:lang w:val="en-US" w:eastAsia="zh-CN"/>
        </w:rPr>
      </w:pPr>
      <w:r>
        <w:rPr>
          <w:rFonts w:hint="eastAsia"/>
          <w:color w:val="auto"/>
          <w:highlight w:val="none"/>
          <w:lang w:val="en-US" w:eastAsia="zh-CN"/>
        </w:rPr>
        <w:t>禁止在厂区裸露空地卸料，物料装卸过程，通过降低卸料高度、控制卸料速度，卸料过程采取喷雾或洒水提高降尘量，降低卸料扬尘。</w:t>
      </w:r>
    </w:p>
    <w:p w14:paraId="54340A87">
      <w:pPr>
        <w:ind w:firstLine="480"/>
        <w:rPr>
          <w:color w:val="auto"/>
          <w:highlight w:val="none"/>
        </w:rPr>
      </w:pP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上料、破碎、筛分、皮带输送</w:t>
      </w:r>
      <w:r>
        <w:rPr>
          <w:color w:val="auto"/>
          <w:highlight w:val="none"/>
        </w:rPr>
        <w:t>程扬尘治理措施</w:t>
      </w:r>
    </w:p>
    <w:p w14:paraId="1FB42E95">
      <w:pPr>
        <w:ind w:firstLine="480"/>
        <w:rPr>
          <w:rFonts w:hint="eastAsia"/>
          <w:color w:val="auto"/>
          <w:highlight w:val="none"/>
          <w:lang w:val="en-US" w:eastAsia="zh-CN"/>
        </w:rPr>
      </w:pPr>
      <w:r>
        <w:rPr>
          <w:rFonts w:hint="default"/>
          <w:color w:val="auto"/>
          <w:highlight w:val="none"/>
          <w:lang w:val="en-US" w:eastAsia="zh-CN"/>
        </w:rPr>
        <w:t>①</w:t>
      </w:r>
      <w:r>
        <w:rPr>
          <w:rFonts w:hint="eastAsia"/>
          <w:color w:val="auto"/>
          <w:highlight w:val="none"/>
          <w:lang w:val="en-US" w:eastAsia="zh-CN"/>
        </w:rPr>
        <w:t>将给料机、各类破碎机、筛分机及皮带输送机布置在全封闭的破碎、筛分车间内，减少无组织粉尘排放量；</w:t>
      </w:r>
    </w:p>
    <w:p w14:paraId="7F41406D">
      <w:pPr>
        <w:ind w:firstLine="480"/>
        <w:rPr>
          <w:rFonts w:hint="eastAsia"/>
          <w:color w:val="auto"/>
          <w:highlight w:val="none"/>
          <w:lang w:val="en-US" w:eastAsia="zh-CN"/>
        </w:rPr>
      </w:pPr>
      <w:r>
        <w:rPr>
          <w:rFonts w:hint="default"/>
          <w:color w:val="auto"/>
          <w:highlight w:val="none"/>
          <w:lang w:val="en-US" w:eastAsia="zh-CN"/>
        </w:rPr>
        <w:t>②</w:t>
      </w:r>
      <w:r>
        <w:rPr>
          <w:rFonts w:hint="eastAsia"/>
          <w:color w:val="auto"/>
          <w:highlight w:val="none"/>
          <w:lang w:val="en-US" w:eastAsia="zh-CN"/>
        </w:rPr>
        <w:t>破碎、筛分车间三面和顶棚进行全封闭，进料口一面设置卷帘门，做到破碎、筛分过程破碎、筛分车间尽量做到全封闭运行，控制破碎、筛分扬尘外逸，减少无组织粉尘排放；</w:t>
      </w:r>
    </w:p>
    <w:p w14:paraId="33DFA2B1">
      <w:pPr>
        <w:ind w:firstLine="480"/>
        <w:rPr>
          <w:rFonts w:hint="eastAsia"/>
          <w:color w:val="auto"/>
          <w:highlight w:val="none"/>
          <w:lang w:val="en-US" w:eastAsia="zh-CN"/>
        </w:rPr>
      </w:pPr>
      <w:r>
        <w:rPr>
          <w:rFonts w:hint="default"/>
          <w:color w:val="auto"/>
          <w:highlight w:val="none"/>
          <w:lang w:val="en-US" w:eastAsia="zh-CN"/>
        </w:rPr>
        <w:t>③</w:t>
      </w:r>
      <w:r>
        <w:rPr>
          <w:rFonts w:hint="eastAsia"/>
          <w:color w:val="auto"/>
          <w:highlight w:val="none"/>
          <w:lang w:val="en-US" w:eastAsia="zh-CN"/>
        </w:rPr>
        <w:t>给料机上料口上方设置水喷淋抑尘设施，提高上料过程降尘量和物料含水量，降低上料过程无组织粉尘产生量；</w:t>
      </w:r>
    </w:p>
    <w:p w14:paraId="408BE78E">
      <w:pPr>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④一台粗破机落料口设1套1.2m×1.5m集气罩，两台细破落料口各设1套1.2m×1.5m集气罩，一台筛分机落料口设1套1.1m×1.2m集气罩，收集破碎、筛分过程产生的粉尘颗粒物，再送入袋式除尘器进行过滤净化处理。集气罩在风机的负压作用下可做到90%以上收尘效率。</w:t>
      </w:r>
    </w:p>
    <w:p w14:paraId="48957C13">
      <w:pPr>
        <w:ind w:firstLine="480"/>
        <w:rPr>
          <w:rFonts w:hint="eastAsia"/>
          <w:color w:val="auto"/>
          <w:highlight w:val="none"/>
          <w:lang w:val="en-US" w:eastAsia="zh-CN"/>
        </w:rPr>
      </w:pPr>
      <w:r>
        <w:rPr>
          <w:rFonts w:hint="eastAsia"/>
          <w:color w:val="auto"/>
          <w:highlight w:val="none"/>
          <w:lang w:val="en-US" w:eastAsia="zh-CN"/>
        </w:rPr>
        <w:t>⑤破碎筛分车间内皮带输送机必须建设满足日常检修、清扫落料要求的全封闭皮带通廊，皮带通廊内物料皮带输送转运端的上部和下部产尘部位设置收尘、抑尘设施；皮带通廊最终下料端根据物料的含水率设置收尘或喷淋抑尘设施；物料转运系统必须实现全封闭，发生破损及时维修完善。</w:t>
      </w:r>
    </w:p>
    <w:p w14:paraId="11E020BC">
      <w:pPr>
        <w:ind w:firstLine="480"/>
        <w:rPr>
          <w:rFonts w:hint="eastAsia"/>
          <w:color w:val="auto"/>
          <w:highlight w:val="none"/>
          <w:lang w:val="en-US" w:eastAsia="zh-CN"/>
        </w:rPr>
      </w:pPr>
      <w:r>
        <w:rPr>
          <w:rFonts w:hint="eastAsia"/>
          <w:color w:val="auto"/>
          <w:highlight w:val="none"/>
          <w:lang w:val="en-US" w:eastAsia="zh-CN"/>
        </w:rPr>
        <w:t>（4）厂区道路扬尘污染防治措施</w:t>
      </w:r>
    </w:p>
    <w:p w14:paraId="2548753E">
      <w:pPr>
        <w:ind w:firstLine="480"/>
        <w:rPr>
          <w:rFonts w:hint="eastAsia"/>
          <w:color w:val="auto"/>
          <w:highlight w:val="none"/>
          <w:lang w:val="en-US" w:eastAsia="zh-CN"/>
        </w:rPr>
      </w:pPr>
      <w:r>
        <w:rPr>
          <w:rFonts w:hint="eastAsia"/>
          <w:color w:val="auto"/>
          <w:highlight w:val="none"/>
          <w:lang w:val="en-US" w:eastAsia="zh-CN"/>
        </w:rPr>
        <w:t>物料的运输会产生一定的扬尘，通过对运输道路地面进行硬化，定期对浮土进行清理并采取洒水抑尘和运输车辆加盖苫布，减速慢行，厂区内种植植被绿化，可有效减小运输道路粉尘的无组织排放；</w:t>
      </w:r>
    </w:p>
    <w:p w14:paraId="1D71133A">
      <w:pPr>
        <w:ind w:firstLine="480"/>
        <w:rPr>
          <w:color w:val="auto"/>
          <w:highlight w:val="none"/>
        </w:rPr>
      </w:pPr>
      <w:r>
        <w:rPr>
          <w:color w:val="auto"/>
          <w:highlight w:val="none"/>
        </w:rPr>
        <w:t>经大气环境影响分析，</w:t>
      </w:r>
      <w:r>
        <w:rPr>
          <w:rFonts w:hint="eastAsia"/>
          <w:color w:val="auto"/>
          <w:highlight w:val="none"/>
          <w:lang w:val="en-US" w:eastAsia="zh-CN"/>
        </w:rPr>
        <w:t>本</w:t>
      </w:r>
      <w:r>
        <w:rPr>
          <w:color w:val="auto"/>
          <w:highlight w:val="none"/>
        </w:rPr>
        <w:t>项目无组织排放的颗粒物排放量较小，排放浓度较低，厂界颗粒物浓度满足《大气污染物综合排放标准》（GB16297-1996）表2中新污染源大气污染物无组织排放限值的要求。</w:t>
      </w:r>
    </w:p>
    <w:p w14:paraId="77A7E0DB">
      <w:pPr>
        <w:pStyle w:val="5"/>
        <w:rPr>
          <w:rFonts w:hint="eastAsia"/>
          <w:color w:val="auto"/>
          <w:highlight w:val="none"/>
        </w:rPr>
      </w:pPr>
      <w:r>
        <w:rPr>
          <w:rFonts w:hint="eastAsia"/>
          <w:color w:val="auto"/>
          <w:highlight w:val="none"/>
          <w:lang w:val="en-US" w:eastAsia="zh-CN"/>
        </w:rPr>
        <w:t>有组织排放粉尘</w:t>
      </w:r>
      <w:r>
        <w:rPr>
          <w:rFonts w:hint="eastAsia"/>
          <w:color w:val="auto"/>
          <w:highlight w:val="none"/>
        </w:rPr>
        <w:t>污染防治措施</w:t>
      </w:r>
    </w:p>
    <w:p w14:paraId="204A99B7">
      <w:pPr>
        <w:ind w:firstLine="480"/>
        <w:rPr>
          <w:color w:val="auto"/>
          <w:highlight w:val="none"/>
        </w:rPr>
      </w:pPr>
      <w:r>
        <w:rPr>
          <w:rFonts w:hint="eastAsia"/>
          <w:color w:val="auto"/>
          <w:highlight w:val="none"/>
          <w:lang w:val="en-US" w:eastAsia="zh-CN"/>
        </w:rPr>
        <w:t>本项目</w:t>
      </w:r>
      <w:r>
        <w:rPr>
          <w:color w:val="auto"/>
          <w:highlight w:val="none"/>
        </w:rPr>
        <w:t>原矿石破碎、筛分等过程均会产生粉尘，尤其是以破碎、筛分等产尘点的污染源强为高。通过在各产尘点上方设置集气罩收集产生的粉尘（集气罩以能覆盖产尘设备上方全部空间为宜），经引风机引至自配套建设的除尘器进行处理，其中拟在破碎及筛分工段设置袋式除尘器1套，除尘效率不小于</w:t>
      </w:r>
      <w:r>
        <w:rPr>
          <w:rFonts w:hint="eastAsia"/>
          <w:color w:val="auto"/>
          <w:highlight w:val="none"/>
          <w:lang w:val="en-US" w:eastAsia="zh-CN"/>
        </w:rPr>
        <w:t>99.0</w:t>
      </w:r>
      <w:r>
        <w:rPr>
          <w:color w:val="auto"/>
          <w:highlight w:val="none"/>
        </w:rPr>
        <w:t>%，再利用管道将各除尘器箱体前端的净化气体出口与排气筒相连，排气筒高度不低于</w:t>
      </w:r>
      <w:r>
        <w:rPr>
          <w:rFonts w:hint="eastAsia"/>
          <w:color w:val="auto"/>
          <w:highlight w:val="none"/>
          <w:lang w:val="en-US" w:eastAsia="zh-CN"/>
        </w:rPr>
        <w:t>15</w:t>
      </w:r>
      <w:r>
        <w:rPr>
          <w:color w:val="auto"/>
          <w:highlight w:val="none"/>
        </w:rPr>
        <w:t>m，净化后的气体高空排放，经</w:t>
      </w:r>
      <w:r>
        <w:rPr>
          <w:rFonts w:hint="eastAsia"/>
          <w:color w:val="auto"/>
          <w:highlight w:val="none"/>
          <w:lang w:val="en-US" w:eastAsia="zh-CN"/>
        </w:rPr>
        <w:t>收集处理后</w:t>
      </w:r>
      <w:r>
        <w:rPr>
          <w:color w:val="auto"/>
          <w:highlight w:val="none"/>
        </w:rPr>
        <w:t>破碎、筛分等过程排放的粉尘颗粒物满足《大气污染物综合排放标准》（GB16297-1996）表2中新污染源大气污染物排放限值要求。</w:t>
      </w:r>
    </w:p>
    <w:p w14:paraId="3245F807">
      <w:pPr>
        <w:ind w:firstLine="480"/>
        <w:rPr>
          <w:color w:val="auto"/>
          <w:highlight w:val="none"/>
        </w:rPr>
      </w:pPr>
      <w:r>
        <w:rPr>
          <w:rFonts w:hint="eastAsia"/>
          <w:color w:val="auto"/>
          <w:highlight w:val="none"/>
          <w:lang w:eastAsia="zh-CN"/>
        </w:rPr>
        <w:t>“</w:t>
      </w:r>
      <w:r>
        <w:rPr>
          <w:color w:val="auto"/>
          <w:highlight w:val="none"/>
        </w:rPr>
        <w:t>袋式除尘器</w:t>
      </w:r>
      <w:r>
        <w:rPr>
          <w:rFonts w:hint="eastAsia"/>
          <w:color w:val="auto"/>
          <w:highlight w:val="none"/>
          <w:lang w:eastAsia="zh-CN"/>
        </w:rPr>
        <w:t>”</w:t>
      </w:r>
      <w:r>
        <w:rPr>
          <w:color w:val="auto"/>
          <w:highlight w:val="none"/>
        </w:rPr>
        <w:t>的工作原理是通过过滤而阻挡粉尘，它适用于捕集细小、干燥、非纤维性粉尘。滤袋采用纺织的滤布或非纺织的毡制成，利用纤维织物的过滤作用对含尘气体进行过滤，尘粒由惯性力作用以及受气体分子做布朗运动冲击不断改变运动方向，由于纤维间空隙小于尘粒运动的自由路径，尘粒与纤维碰撞接触而被分离出来。实际运行过程中，含尘气体由进风道进入灰斗，粗尘粒直接落入灰斗底部，细尘粒随气流转折积附在滤袋外表面，过滤后的气体进入上箱体至净气集合管-排风道，经排风机排至大气，除尘效率可达到99</w:t>
      </w:r>
      <w:r>
        <w:rPr>
          <w:rFonts w:hint="eastAsia"/>
          <w:color w:val="auto"/>
          <w:highlight w:val="none"/>
          <w:lang w:val="en-US" w:eastAsia="zh-CN"/>
        </w:rPr>
        <w:t>.0</w:t>
      </w:r>
      <w:r>
        <w:rPr>
          <w:color w:val="auto"/>
          <w:highlight w:val="none"/>
        </w:rPr>
        <w:t>%以上，处理风量可由每小时数百立方米到每小时数十万立方米不等</w:t>
      </w:r>
      <w:r>
        <w:rPr>
          <w:rFonts w:hint="eastAsia"/>
          <w:color w:val="auto"/>
          <w:highlight w:val="none"/>
          <w:lang w:eastAsia="zh-CN"/>
        </w:rPr>
        <w:t>；</w:t>
      </w:r>
      <w:r>
        <w:rPr>
          <w:color w:val="auto"/>
          <w:highlight w:val="none"/>
        </w:rPr>
        <w:t>布袋除尘器广泛应用于消除粉尘污染，改善环境，回收物料等方面，治理效果显著，技术可行。</w:t>
      </w:r>
    </w:p>
    <w:p w14:paraId="53B78EF0">
      <w:pPr>
        <w:ind w:firstLine="480"/>
        <w:rPr>
          <w:color w:val="auto"/>
          <w:highlight w:val="none"/>
        </w:rPr>
      </w:pPr>
      <w:r>
        <w:rPr>
          <w:color w:val="auto"/>
          <w:highlight w:val="none"/>
        </w:rPr>
        <w:t>综上所述，本项目采用的大气污染防治措施均为简单易行的方法，是被行业内普遍采用的成熟的方法，处理效果良好，从经济、技术角度可行。</w:t>
      </w:r>
    </w:p>
    <w:p w14:paraId="7C75F8CA">
      <w:pPr>
        <w:pStyle w:val="4"/>
        <w:spacing w:before="120" w:after="120"/>
        <w:rPr>
          <w:color w:val="auto"/>
          <w:highlight w:val="none"/>
        </w:rPr>
      </w:pPr>
      <w:bookmarkStart w:id="218" w:name="_Toc58916181"/>
      <w:bookmarkStart w:id="219" w:name="_Toc11297"/>
      <w:bookmarkStart w:id="220" w:name="_Toc24447641"/>
      <w:bookmarkStart w:id="221" w:name="_Toc24447197"/>
      <w:bookmarkStart w:id="222" w:name="_Toc24340246"/>
      <w:r>
        <w:rPr>
          <w:rFonts w:hint="eastAsia"/>
          <w:color w:val="auto"/>
          <w:highlight w:val="none"/>
        </w:rPr>
        <w:t>运营期水污染防治措施</w:t>
      </w:r>
      <w:bookmarkEnd w:id="218"/>
      <w:bookmarkEnd w:id="219"/>
      <w:bookmarkEnd w:id="220"/>
      <w:bookmarkEnd w:id="221"/>
      <w:bookmarkEnd w:id="222"/>
    </w:p>
    <w:p w14:paraId="702F50EE">
      <w:pPr>
        <w:pStyle w:val="5"/>
        <w:rPr>
          <w:rFonts w:hint="eastAsia"/>
          <w:color w:val="auto"/>
          <w:highlight w:val="none"/>
          <w:lang w:val="en-US" w:eastAsia="zh-CN"/>
        </w:rPr>
      </w:pPr>
      <w:r>
        <w:rPr>
          <w:rFonts w:hint="eastAsia"/>
          <w:color w:val="auto"/>
          <w:highlight w:val="none"/>
          <w:lang w:val="en-US" w:eastAsia="zh-CN"/>
        </w:rPr>
        <w:t xml:space="preserve">污水处理措施 </w:t>
      </w:r>
    </w:p>
    <w:p w14:paraId="6021EB0A">
      <w:pPr>
        <w:autoSpaceDE w:val="0"/>
        <w:autoSpaceDN w:val="0"/>
        <w:adjustRightInd w:val="0"/>
        <w:snapToGrid w:val="0"/>
        <w:spacing w:line="480" w:lineRule="exact"/>
        <w:ind w:firstLine="480" w:firstLineChars="200"/>
        <w:rPr>
          <w:color w:val="auto"/>
          <w:kern w:val="0"/>
          <w:sz w:val="24"/>
          <w:szCs w:val="24"/>
          <w:highlight w:val="none"/>
        </w:rPr>
      </w:pPr>
      <w:r>
        <w:rPr>
          <w:color w:val="auto"/>
          <w:kern w:val="0"/>
          <w:sz w:val="24"/>
          <w:szCs w:val="24"/>
          <w:highlight w:val="none"/>
        </w:rPr>
        <w:t>本项目</w:t>
      </w:r>
      <w:r>
        <w:rPr>
          <w:rFonts w:hint="eastAsia"/>
          <w:color w:val="auto"/>
          <w:kern w:val="0"/>
          <w:sz w:val="24"/>
          <w:szCs w:val="24"/>
          <w:highlight w:val="none"/>
          <w:lang w:val="en-US" w:eastAsia="zh-CN"/>
        </w:rPr>
        <w:t>产生</w:t>
      </w:r>
      <w:r>
        <w:rPr>
          <w:color w:val="auto"/>
          <w:kern w:val="0"/>
          <w:sz w:val="24"/>
          <w:szCs w:val="24"/>
          <w:highlight w:val="none"/>
        </w:rPr>
        <w:t>废水主要为选矿废水和生活污水。</w:t>
      </w:r>
    </w:p>
    <w:p w14:paraId="500C3016">
      <w:pPr>
        <w:autoSpaceDE w:val="0"/>
        <w:autoSpaceDN w:val="0"/>
        <w:adjustRightInd w:val="0"/>
        <w:snapToGrid w:val="0"/>
        <w:spacing w:line="480" w:lineRule="exact"/>
        <w:ind w:firstLine="482" w:firstLineChars="200"/>
        <w:rPr>
          <w:b/>
          <w:bCs/>
          <w:color w:val="auto"/>
          <w:kern w:val="0"/>
          <w:sz w:val="24"/>
          <w:szCs w:val="24"/>
          <w:highlight w:val="none"/>
        </w:rPr>
      </w:pPr>
      <w:r>
        <w:rPr>
          <w:b/>
          <w:bCs/>
          <w:color w:val="auto"/>
          <w:kern w:val="0"/>
          <w:sz w:val="24"/>
          <w:szCs w:val="24"/>
          <w:highlight w:val="none"/>
        </w:rPr>
        <w:t>（1）选矿废水</w:t>
      </w:r>
    </w:p>
    <w:p w14:paraId="32C8AFDC">
      <w:pPr>
        <w:autoSpaceDE w:val="0"/>
        <w:autoSpaceDN w:val="0"/>
        <w:adjustRightInd w:val="0"/>
        <w:snapToGrid w:val="0"/>
        <w:spacing w:line="480" w:lineRule="exact"/>
        <w:ind w:firstLine="480" w:firstLineChars="200"/>
        <w:rPr>
          <w:rFonts w:hint="eastAsia"/>
          <w:color w:val="auto"/>
          <w:kern w:val="0"/>
          <w:sz w:val="24"/>
          <w:szCs w:val="24"/>
          <w:highlight w:val="none"/>
          <w:lang w:val="en-US" w:eastAsia="zh-CN"/>
        </w:rPr>
      </w:pPr>
      <w:r>
        <w:rPr>
          <w:rFonts w:hint="eastAsia"/>
          <w:color w:val="auto"/>
          <w:kern w:val="0"/>
          <w:sz w:val="24"/>
          <w:szCs w:val="24"/>
          <w:highlight w:val="none"/>
          <w:lang w:val="en-US" w:eastAsia="zh-CN"/>
        </w:rPr>
        <w:t>萤石精粉和尾矿浆分别进入各自浓密罐，经浓密罐沉淀的上清液以及压滤机压滤沉淀后收集于循环水池，后回用于生产，形成闭路循环，不外排。</w:t>
      </w:r>
    </w:p>
    <w:p w14:paraId="168486B8">
      <w:pPr>
        <w:autoSpaceDE w:val="0"/>
        <w:autoSpaceDN w:val="0"/>
        <w:adjustRightInd w:val="0"/>
        <w:snapToGrid w:val="0"/>
        <w:spacing w:line="480" w:lineRule="exact"/>
        <w:ind w:firstLine="480" w:firstLineChars="200"/>
        <w:rPr>
          <w:b w:val="0"/>
          <w:bCs w:val="0"/>
          <w:color w:val="auto"/>
          <w:kern w:val="0"/>
          <w:sz w:val="24"/>
          <w:szCs w:val="24"/>
          <w:highlight w:val="none"/>
        </w:rPr>
      </w:pPr>
      <w:r>
        <w:rPr>
          <w:b w:val="0"/>
          <w:bCs w:val="0"/>
          <w:color w:val="auto"/>
          <w:kern w:val="0"/>
          <w:sz w:val="24"/>
          <w:szCs w:val="24"/>
          <w:highlight w:val="none"/>
        </w:rPr>
        <w:t>选矿废水回用可行性分析：</w:t>
      </w:r>
    </w:p>
    <w:p w14:paraId="06B4DAC5">
      <w:pPr>
        <w:autoSpaceDE w:val="0"/>
        <w:autoSpaceDN w:val="0"/>
        <w:adjustRightInd w:val="0"/>
        <w:snapToGrid w:val="0"/>
        <w:spacing w:line="480" w:lineRule="exact"/>
        <w:ind w:firstLine="480" w:firstLineChars="200"/>
        <w:rPr>
          <w:color w:val="auto"/>
          <w:kern w:val="0"/>
          <w:sz w:val="24"/>
          <w:szCs w:val="24"/>
          <w:highlight w:val="none"/>
        </w:rPr>
      </w:pPr>
      <w:r>
        <w:rPr>
          <w:rFonts w:hint="eastAsia"/>
          <w:color w:val="auto"/>
          <w:kern w:val="0"/>
          <w:sz w:val="24"/>
          <w:szCs w:val="24"/>
          <w:highlight w:val="none"/>
          <w:lang w:val="en-US" w:eastAsia="zh-CN"/>
        </w:rPr>
        <w:t>本</w:t>
      </w:r>
      <w:r>
        <w:rPr>
          <w:color w:val="auto"/>
          <w:kern w:val="0"/>
          <w:sz w:val="24"/>
          <w:szCs w:val="24"/>
          <w:highlight w:val="none"/>
        </w:rPr>
        <w:t>项目选矿工艺需添加</w:t>
      </w:r>
      <w:r>
        <w:rPr>
          <w:rFonts w:hint="eastAsia"/>
          <w:color w:val="auto"/>
          <w:kern w:val="0"/>
          <w:sz w:val="24"/>
          <w:szCs w:val="24"/>
          <w:highlight w:val="none"/>
          <w:lang w:val="en-US" w:eastAsia="zh-CN"/>
        </w:rPr>
        <w:t>少量</w:t>
      </w:r>
      <w:r>
        <w:rPr>
          <w:rFonts w:hint="eastAsia"/>
          <w:color w:val="auto"/>
          <w:kern w:val="0"/>
          <w:sz w:val="24"/>
          <w:szCs w:val="24"/>
          <w:highlight w:val="none"/>
        </w:rPr>
        <w:t>捕收剂</w:t>
      </w:r>
      <w:r>
        <w:rPr>
          <w:rFonts w:hint="eastAsia"/>
          <w:color w:val="auto"/>
          <w:kern w:val="0"/>
          <w:sz w:val="24"/>
          <w:szCs w:val="24"/>
          <w:highlight w:val="none"/>
          <w:lang w:eastAsia="zh-CN"/>
        </w:rPr>
        <w:t>（</w:t>
      </w:r>
      <w:r>
        <w:rPr>
          <w:rFonts w:hint="eastAsia"/>
          <w:color w:val="auto"/>
          <w:kern w:val="0"/>
          <w:sz w:val="24"/>
          <w:szCs w:val="24"/>
          <w:highlight w:val="none"/>
        </w:rPr>
        <w:t>油酸</w:t>
      </w:r>
      <w:r>
        <w:rPr>
          <w:rFonts w:hint="eastAsia"/>
          <w:color w:val="auto"/>
          <w:kern w:val="0"/>
          <w:sz w:val="24"/>
          <w:szCs w:val="24"/>
          <w:highlight w:val="none"/>
          <w:lang w:eastAsia="zh-CN"/>
        </w:rPr>
        <w:t>）、</w:t>
      </w:r>
      <w:r>
        <w:rPr>
          <w:rFonts w:hint="eastAsia"/>
          <w:color w:val="auto"/>
          <w:kern w:val="0"/>
          <w:sz w:val="24"/>
          <w:szCs w:val="24"/>
          <w:highlight w:val="none"/>
        </w:rPr>
        <w:t>调整剂</w:t>
      </w:r>
      <w:r>
        <w:rPr>
          <w:rFonts w:hint="eastAsia"/>
          <w:color w:val="auto"/>
          <w:kern w:val="0"/>
          <w:sz w:val="24"/>
          <w:szCs w:val="24"/>
          <w:highlight w:val="none"/>
          <w:lang w:eastAsia="zh-CN"/>
        </w:rPr>
        <w:t>（</w:t>
      </w:r>
      <w:r>
        <w:rPr>
          <w:rFonts w:hint="eastAsia"/>
          <w:color w:val="auto"/>
          <w:kern w:val="0"/>
          <w:sz w:val="24"/>
          <w:szCs w:val="24"/>
          <w:highlight w:val="none"/>
        </w:rPr>
        <w:t>碳酸钠</w:t>
      </w:r>
      <w:r>
        <w:rPr>
          <w:rFonts w:hint="eastAsia"/>
          <w:color w:val="auto"/>
          <w:kern w:val="0"/>
          <w:sz w:val="24"/>
          <w:szCs w:val="24"/>
          <w:highlight w:val="none"/>
          <w:lang w:eastAsia="zh-CN"/>
        </w:rPr>
        <w:t>）</w:t>
      </w:r>
      <w:r>
        <w:rPr>
          <w:rFonts w:hint="eastAsia"/>
          <w:color w:val="auto"/>
          <w:kern w:val="0"/>
          <w:sz w:val="24"/>
          <w:szCs w:val="24"/>
          <w:highlight w:val="none"/>
          <w:lang w:val="en-US" w:eastAsia="zh-CN"/>
        </w:rPr>
        <w:t>及</w:t>
      </w:r>
      <w:r>
        <w:rPr>
          <w:rFonts w:hint="eastAsia"/>
          <w:color w:val="auto"/>
          <w:kern w:val="0"/>
          <w:sz w:val="24"/>
          <w:szCs w:val="24"/>
          <w:highlight w:val="none"/>
        </w:rPr>
        <w:t>抑制剂</w:t>
      </w:r>
      <w:r>
        <w:rPr>
          <w:rFonts w:hint="eastAsia"/>
          <w:color w:val="auto"/>
          <w:kern w:val="0"/>
          <w:sz w:val="24"/>
          <w:szCs w:val="24"/>
          <w:highlight w:val="none"/>
          <w:lang w:eastAsia="zh-CN"/>
        </w:rPr>
        <w:t>（</w:t>
      </w:r>
      <w:r>
        <w:rPr>
          <w:rFonts w:hint="eastAsia"/>
          <w:color w:val="auto"/>
          <w:kern w:val="0"/>
          <w:sz w:val="24"/>
          <w:szCs w:val="24"/>
          <w:highlight w:val="none"/>
        </w:rPr>
        <w:t>玻璃</w:t>
      </w:r>
      <w:r>
        <w:rPr>
          <w:rFonts w:hint="eastAsia"/>
          <w:color w:val="auto"/>
          <w:kern w:val="0"/>
          <w:sz w:val="24"/>
          <w:szCs w:val="24"/>
          <w:highlight w:val="none"/>
          <w:lang w:eastAsia="zh-CN"/>
        </w:rPr>
        <w:t>）</w:t>
      </w:r>
      <w:r>
        <w:rPr>
          <w:rFonts w:hint="eastAsia"/>
          <w:color w:val="auto"/>
          <w:kern w:val="0"/>
          <w:sz w:val="24"/>
          <w:szCs w:val="24"/>
          <w:highlight w:val="none"/>
        </w:rPr>
        <w:t>水</w:t>
      </w:r>
      <w:r>
        <w:rPr>
          <w:rFonts w:hint="eastAsia"/>
          <w:color w:val="auto"/>
          <w:kern w:val="0"/>
          <w:sz w:val="24"/>
          <w:szCs w:val="24"/>
          <w:highlight w:val="none"/>
          <w:lang w:val="en-US" w:eastAsia="zh-CN"/>
        </w:rPr>
        <w:t>等药剂</w:t>
      </w:r>
      <w:r>
        <w:rPr>
          <w:color w:val="auto"/>
          <w:kern w:val="0"/>
          <w:sz w:val="24"/>
          <w:szCs w:val="24"/>
          <w:highlight w:val="none"/>
        </w:rPr>
        <w:t>，选矿后的水随</w:t>
      </w:r>
      <w:r>
        <w:rPr>
          <w:rFonts w:hint="eastAsia"/>
          <w:color w:val="auto"/>
          <w:kern w:val="0"/>
          <w:sz w:val="24"/>
          <w:szCs w:val="24"/>
          <w:highlight w:val="none"/>
          <w:lang w:val="en-US" w:eastAsia="zh-CN"/>
        </w:rPr>
        <w:t>精粉和</w:t>
      </w:r>
      <w:r>
        <w:rPr>
          <w:color w:val="auto"/>
          <w:kern w:val="0"/>
          <w:sz w:val="24"/>
          <w:szCs w:val="24"/>
          <w:highlight w:val="none"/>
        </w:rPr>
        <w:t>尾砂一并进入浓密机进行沉淀，上清液循环使用，选矿废水其主要污染物为SS，经沉淀后可以满足选矿用水要求。</w:t>
      </w:r>
    </w:p>
    <w:p w14:paraId="26019A06">
      <w:pPr>
        <w:autoSpaceDE w:val="0"/>
        <w:autoSpaceDN w:val="0"/>
        <w:adjustRightInd w:val="0"/>
        <w:snapToGrid w:val="0"/>
        <w:spacing w:line="480" w:lineRule="exact"/>
        <w:ind w:firstLine="480" w:firstLineChars="200"/>
        <w:rPr>
          <w:color w:val="auto"/>
          <w:kern w:val="0"/>
          <w:sz w:val="24"/>
          <w:szCs w:val="24"/>
          <w:highlight w:val="none"/>
        </w:rPr>
      </w:pPr>
      <w:r>
        <w:rPr>
          <w:color w:val="auto"/>
          <w:kern w:val="0"/>
          <w:sz w:val="24"/>
          <w:szCs w:val="24"/>
          <w:highlight w:val="none"/>
        </w:rPr>
        <w:t>选矿废水通常伴随尾矿产出。根据企业选矿工艺特点，对选矿废水处理后回用至选矿生产，回用废水的水质不应影响精矿的主要技术指标。单一磁选工艺选矿废水水质通常主要污染物为SS，通过对SS的沉淀去除，废水回用能够满足生产需求。</w:t>
      </w:r>
    </w:p>
    <w:p w14:paraId="13789A5E">
      <w:pPr>
        <w:autoSpaceDE w:val="0"/>
        <w:autoSpaceDN w:val="0"/>
        <w:adjustRightInd w:val="0"/>
        <w:snapToGrid w:val="0"/>
        <w:spacing w:line="480" w:lineRule="exact"/>
        <w:ind w:firstLine="480" w:firstLineChars="200"/>
        <w:rPr>
          <w:color w:val="auto"/>
          <w:kern w:val="0"/>
          <w:sz w:val="24"/>
          <w:szCs w:val="24"/>
          <w:highlight w:val="none"/>
        </w:rPr>
      </w:pPr>
      <w:r>
        <w:rPr>
          <w:color w:val="auto"/>
          <w:kern w:val="0"/>
          <w:sz w:val="24"/>
          <w:szCs w:val="24"/>
          <w:highlight w:val="none"/>
        </w:rPr>
        <w:t>综上所述，选矿废水采取上述措施后，回水可满足本项目生产用水要求，可作为生产用水而循环利用。因此，</w:t>
      </w:r>
      <w:r>
        <w:rPr>
          <w:rFonts w:hint="eastAsia"/>
          <w:color w:val="auto"/>
          <w:kern w:val="0"/>
          <w:sz w:val="24"/>
          <w:szCs w:val="24"/>
          <w:highlight w:val="none"/>
          <w:lang w:val="en-US" w:eastAsia="zh-CN"/>
        </w:rPr>
        <w:t>本</w:t>
      </w:r>
      <w:r>
        <w:rPr>
          <w:color w:val="auto"/>
          <w:kern w:val="0"/>
          <w:sz w:val="24"/>
          <w:szCs w:val="24"/>
          <w:highlight w:val="none"/>
        </w:rPr>
        <w:t>项目选矿废水的回用合理可行。</w:t>
      </w:r>
    </w:p>
    <w:p w14:paraId="2159BEEF">
      <w:pPr>
        <w:autoSpaceDE w:val="0"/>
        <w:autoSpaceDN w:val="0"/>
        <w:adjustRightInd w:val="0"/>
        <w:snapToGrid w:val="0"/>
        <w:spacing w:line="480" w:lineRule="exact"/>
        <w:ind w:firstLine="482" w:firstLineChars="200"/>
        <w:jc w:val="left"/>
        <w:rPr>
          <w:b/>
          <w:bCs/>
          <w:color w:val="auto"/>
          <w:kern w:val="0"/>
          <w:sz w:val="24"/>
          <w:szCs w:val="24"/>
          <w:highlight w:val="none"/>
        </w:rPr>
      </w:pPr>
      <w:r>
        <w:rPr>
          <w:b/>
          <w:bCs/>
          <w:color w:val="auto"/>
          <w:kern w:val="0"/>
          <w:sz w:val="24"/>
          <w:szCs w:val="24"/>
          <w:highlight w:val="none"/>
        </w:rPr>
        <w:t>（</w:t>
      </w:r>
      <w:r>
        <w:rPr>
          <w:rFonts w:hint="eastAsia"/>
          <w:b/>
          <w:bCs/>
          <w:color w:val="auto"/>
          <w:kern w:val="0"/>
          <w:sz w:val="24"/>
          <w:szCs w:val="24"/>
          <w:highlight w:val="none"/>
          <w:lang w:val="en-US" w:eastAsia="zh-CN"/>
        </w:rPr>
        <w:t>2</w:t>
      </w:r>
      <w:r>
        <w:rPr>
          <w:b/>
          <w:bCs/>
          <w:color w:val="auto"/>
          <w:kern w:val="0"/>
          <w:sz w:val="24"/>
          <w:szCs w:val="24"/>
          <w:highlight w:val="none"/>
        </w:rPr>
        <w:t>）生活污水</w:t>
      </w:r>
    </w:p>
    <w:p w14:paraId="17876FE6">
      <w:pPr>
        <w:adjustRightInd w:val="0"/>
        <w:snapToGrid w:val="0"/>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本项目生活生活污水产生量为量1.44m</w:t>
      </w:r>
      <w:r>
        <w:rPr>
          <w:rFonts w:hint="eastAsia"/>
          <w:color w:val="auto"/>
          <w:sz w:val="24"/>
          <w:highlight w:val="none"/>
          <w:vertAlign w:val="superscript"/>
          <w:lang w:val="en-US" w:eastAsia="zh-CN"/>
        </w:rPr>
        <w:t>3</w:t>
      </w:r>
      <w:r>
        <w:rPr>
          <w:rFonts w:hint="eastAsia"/>
          <w:color w:val="auto"/>
          <w:sz w:val="24"/>
          <w:highlight w:val="none"/>
          <w:lang w:val="en-US" w:eastAsia="zh-CN"/>
        </w:rPr>
        <w:t>/d（432m</w:t>
      </w:r>
      <w:r>
        <w:rPr>
          <w:rFonts w:hint="eastAsia"/>
          <w:color w:val="auto"/>
          <w:sz w:val="24"/>
          <w:highlight w:val="none"/>
          <w:vertAlign w:val="superscript"/>
          <w:lang w:val="en-US" w:eastAsia="zh-CN"/>
        </w:rPr>
        <w:t>3</w:t>
      </w:r>
      <w:r>
        <w:rPr>
          <w:rFonts w:hint="eastAsia"/>
          <w:color w:val="auto"/>
          <w:sz w:val="24"/>
          <w:highlight w:val="none"/>
          <w:lang w:val="en-US" w:eastAsia="zh-CN"/>
        </w:rPr>
        <w:t>/a）。生活污水中主要污染物包括pH、COD、BOD</w:t>
      </w:r>
      <w:r>
        <w:rPr>
          <w:rFonts w:hint="eastAsia"/>
          <w:color w:val="auto"/>
          <w:sz w:val="24"/>
          <w:highlight w:val="none"/>
          <w:vertAlign w:val="subscript"/>
          <w:lang w:val="en-US" w:eastAsia="zh-CN"/>
        </w:rPr>
        <w:t>5</w:t>
      </w:r>
      <w:r>
        <w:rPr>
          <w:rFonts w:hint="eastAsia"/>
          <w:color w:val="auto"/>
          <w:sz w:val="24"/>
          <w:highlight w:val="none"/>
          <w:lang w:val="en-US" w:eastAsia="zh-CN"/>
        </w:rPr>
        <w:t>、SS、NH</w:t>
      </w:r>
      <w:r>
        <w:rPr>
          <w:rFonts w:hint="eastAsia"/>
          <w:color w:val="auto"/>
          <w:sz w:val="24"/>
          <w:highlight w:val="none"/>
          <w:vertAlign w:val="subscript"/>
          <w:lang w:val="en-US" w:eastAsia="zh-CN"/>
        </w:rPr>
        <w:t>3</w:t>
      </w:r>
      <w:r>
        <w:rPr>
          <w:rFonts w:hint="eastAsia"/>
          <w:color w:val="auto"/>
          <w:sz w:val="24"/>
          <w:highlight w:val="none"/>
          <w:lang w:val="en-US" w:eastAsia="zh-CN"/>
        </w:rPr>
        <w:t>-N等，均为二类污染物种类，水质浓度较低，满足《污水综合排放标准》（GB8978-1996）三级标准要求。本项目生活污水依托盟东水泥厂办公区现有容积为20m</w:t>
      </w:r>
      <w:r>
        <w:rPr>
          <w:rFonts w:hint="eastAsia"/>
          <w:color w:val="auto"/>
          <w:sz w:val="24"/>
          <w:highlight w:val="none"/>
          <w:vertAlign w:val="superscript"/>
          <w:lang w:val="en-US" w:eastAsia="zh-CN"/>
        </w:rPr>
        <w:t>3</w:t>
      </w:r>
      <w:r>
        <w:rPr>
          <w:rFonts w:hint="eastAsia"/>
          <w:color w:val="auto"/>
          <w:sz w:val="24"/>
          <w:highlight w:val="none"/>
          <w:lang w:val="en-US" w:eastAsia="zh-CN"/>
        </w:rPr>
        <w:t>化粪池收集处理，现有化粪池满足收集容纳本项目新增污水量。化粪池收集的生活污水定期拉运至诺尔镇污水处理厂集中处理，不外排。</w:t>
      </w:r>
    </w:p>
    <w:p w14:paraId="10859A2C">
      <w:pPr>
        <w:pStyle w:val="5"/>
        <w:rPr>
          <w:rFonts w:hint="eastAsia"/>
          <w:color w:val="auto"/>
          <w:highlight w:val="none"/>
          <w:lang w:val="en-US" w:eastAsia="zh-CN"/>
        </w:rPr>
      </w:pPr>
      <w:r>
        <w:rPr>
          <w:rFonts w:hint="eastAsia"/>
          <w:color w:val="auto"/>
          <w:highlight w:val="none"/>
          <w:lang w:val="en-US" w:eastAsia="zh-CN"/>
        </w:rPr>
        <w:t>地下水环境保护防控措施</w:t>
      </w:r>
    </w:p>
    <w:p w14:paraId="22500D36">
      <w:pPr>
        <w:autoSpaceDE w:val="0"/>
        <w:autoSpaceDN w:val="0"/>
        <w:adjustRightInd w:val="0"/>
        <w:snapToGrid w:val="0"/>
        <w:spacing w:line="480" w:lineRule="exact"/>
        <w:ind w:firstLine="482" w:firstLineChars="200"/>
        <w:jc w:val="left"/>
        <w:rPr>
          <w:rFonts w:hint="eastAsia" w:eastAsia="宋体"/>
          <w:b/>
          <w:bCs/>
          <w:color w:val="auto"/>
          <w:kern w:val="0"/>
          <w:sz w:val="24"/>
          <w:szCs w:val="24"/>
          <w:highlight w:val="none"/>
          <w:lang w:val="en-US" w:eastAsia="zh-CN"/>
        </w:rPr>
      </w:pPr>
      <w:r>
        <w:rPr>
          <w:b/>
          <w:bCs/>
          <w:color w:val="auto"/>
          <w:kern w:val="0"/>
          <w:sz w:val="24"/>
          <w:szCs w:val="24"/>
          <w:highlight w:val="none"/>
        </w:rPr>
        <w:t>1、污染物源头控制</w:t>
      </w:r>
      <w:r>
        <w:rPr>
          <w:rFonts w:hint="eastAsia"/>
          <w:b/>
          <w:bCs/>
          <w:color w:val="auto"/>
          <w:kern w:val="0"/>
          <w:sz w:val="24"/>
          <w:szCs w:val="24"/>
          <w:highlight w:val="none"/>
          <w:lang w:val="en-US" w:eastAsia="zh-CN"/>
        </w:rPr>
        <w:t>措施</w:t>
      </w:r>
    </w:p>
    <w:p w14:paraId="5E0A42C4">
      <w:pPr>
        <w:autoSpaceDE w:val="0"/>
        <w:autoSpaceDN w:val="0"/>
        <w:adjustRightInd w:val="0"/>
        <w:snapToGrid w:val="0"/>
        <w:spacing w:line="480" w:lineRule="exact"/>
        <w:ind w:firstLine="480" w:firstLineChars="200"/>
        <w:jc w:val="left"/>
        <w:rPr>
          <w:color w:val="auto"/>
          <w:kern w:val="0"/>
          <w:sz w:val="24"/>
          <w:szCs w:val="24"/>
          <w:highlight w:val="none"/>
        </w:rPr>
      </w:pPr>
      <w:r>
        <w:rPr>
          <w:rFonts w:hint="eastAsia"/>
          <w:color w:val="auto"/>
          <w:kern w:val="0"/>
          <w:sz w:val="24"/>
          <w:szCs w:val="24"/>
          <w:highlight w:val="none"/>
          <w:lang w:eastAsia="zh-CN"/>
        </w:rPr>
        <w:t>（</w:t>
      </w:r>
      <w:r>
        <w:rPr>
          <w:rFonts w:hint="eastAsia"/>
          <w:color w:val="auto"/>
          <w:kern w:val="0"/>
          <w:sz w:val="24"/>
          <w:szCs w:val="24"/>
          <w:highlight w:val="none"/>
          <w:lang w:val="en-US" w:eastAsia="zh-CN"/>
        </w:rPr>
        <w:t>1</w:t>
      </w:r>
      <w:r>
        <w:rPr>
          <w:rFonts w:hint="eastAsia"/>
          <w:color w:val="auto"/>
          <w:kern w:val="0"/>
          <w:sz w:val="24"/>
          <w:szCs w:val="24"/>
          <w:highlight w:val="none"/>
          <w:lang w:eastAsia="zh-CN"/>
        </w:rPr>
        <w:t>）</w:t>
      </w:r>
      <w:r>
        <w:rPr>
          <w:color w:val="auto"/>
          <w:kern w:val="0"/>
          <w:sz w:val="24"/>
          <w:szCs w:val="24"/>
          <w:highlight w:val="none"/>
        </w:rPr>
        <w:t>对工艺、管道、设备、污水储存及处理构筑物等严格检查，有质量问题的及时更换，阀门采用优质产品，防止和降低“跑、冒、滴、漏”。</w:t>
      </w:r>
    </w:p>
    <w:p w14:paraId="3ABE8F75">
      <w:pPr>
        <w:autoSpaceDE w:val="0"/>
        <w:autoSpaceDN w:val="0"/>
        <w:adjustRightInd w:val="0"/>
        <w:snapToGrid w:val="0"/>
        <w:spacing w:line="480" w:lineRule="exact"/>
        <w:ind w:firstLine="480" w:firstLineChars="200"/>
        <w:jc w:val="left"/>
        <w:rPr>
          <w:color w:val="auto"/>
          <w:kern w:val="0"/>
          <w:sz w:val="24"/>
          <w:szCs w:val="24"/>
          <w:highlight w:val="none"/>
        </w:rPr>
      </w:pPr>
      <w:r>
        <w:rPr>
          <w:rFonts w:hint="eastAsia"/>
          <w:color w:val="auto"/>
          <w:kern w:val="0"/>
          <w:sz w:val="24"/>
          <w:szCs w:val="24"/>
          <w:highlight w:val="none"/>
          <w:lang w:eastAsia="zh-CN"/>
        </w:rPr>
        <w:t>（</w:t>
      </w:r>
      <w:r>
        <w:rPr>
          <w:rFonts w:hint="eastAsia"/>
          <w:color w:val="auto"/>
          <w:kern w:val="0"/>
          <w:sz w:val="24"/>
          <w:szCs w:val="24"/>
          <w:highlight w:val="none"/>
          <w:lang w:val="en-US" w:eastAsia="zh-CN"/>
        </w:rPr>
        <w:t>2</w:t>
      </w:r>
      <w:r>
        <w:rPr>
          <w:rFonts w:hint="eastAsia"/>
          <w:color w:val="auto"/>
          <w:kern w:val="0"/>
          <w:sz w:val="24"/>
          <w:szCs w:val="24"/>
          <w:highlight w:val="none"/>
          <w:lang w:eastAsia="zh-CN"/>
        </w:rPr>
        <w:t>）</w:t>
      </w:r>
      <w:r>
        <w:rPr>
          <w:color w:val="auto"/>
          <w:kern w:val="0"/>
          <w:sz w:val="24"/>
          <w:szCs w:val="24"/>
          <w:highlight w:val="none"/>
        </w:rPr>
        <w:t>所有生产中的储槽、容器均做防腐处理。禁止在厂区内任意设置排污水口，全封闭，防止流入环境中。</w:t>
      </w:r>
    </w:p>
    <w:p w14:paraId="048BE47C">
      <w:pPr>
        <w:autoSpaceDE w:val="0"/>
        <w:autoSpaceDN w:val="0"/>
        <w:adjustRightInd w:val="0"/>
        <w:snapToGrid w:val="0"/>
        <w:spacing w:line="480" w:lineRule="exact"/>
        <w:ind w:firstLine="480" w:firstLineChars="200"/>
        <w:jc w:val="left"/>
        <w:rPr>
          <w:color w:val="auto"/>
          <w:kern w:val="0"/>
          <w:sz w:val="24"/>
          <w:szCs w:val="24"/>
          <w:highlight w:val="none"/>
        </w:rPr>
      </w:pPr>
      <w:r>
        <w:rPr>
          <w:rFonts w:hint="eastAsia"/>
          <w:color w:val="auto"/>
          <w:kern w:val="0"/>
          <w:sz w:val="24"/>
          <w:szCs w:val="24"/>
          <w:highlight w:val="none"/>
          <w:lang w:eastAsia="zh-CN"/>
        </w:rPr>
        <w:t>（</w:t>
      </w:r>
      <w:r>
        <w:rPr>
          <w:rFonts w:hint="eastAsia"/>
          <w:color w:val="auto"/>
          <w:kern w:val="0"/>
          <w:sz w:val="24"/>
          <w:szCs w:val="24"/>
          <w:highlight w:val="none"/>
          <w:lang w:val="en-US" w:eastAsia="zh-CN"/>
        </w:rPr>
        <w:t>3</w:t>
      </w:r>
      <w:r>
        <w:rPr>
          <w:rFonts w:hint="eastAsia"/>
          <w:color w:val="auto"/>
          <w:kern w:val="0"/>
          <w:sz w:val="24"/>
          <w:szCs w:val="24"/>
          <w:highlight w:val="none"/>
          <w:lang w:eastAsia="zh-CN"/>
        </w:rPr>
        <w:t>）</w:t>
      </w:r>
      <w:r>
        <w:rPr>
          <w:color w:val="auto"/>
          <w:kern w:val="0"/>
          <w:sz w:val="24"/>
          <w:szCs w:val="24"/>
          <w:highlight w:val="none"/>
        </w:rPr>
        <w:t>对工艺要求必须地下走管的管道、阀门设专用防渗管沟，管沟上设活动观察顶盖，以便出现渗漏问题及时观察、解决。</w:t>
      </w:r>
    </w:p>
    <w:p w14:paraId="4D61EC4B">
      <w:pPr>
        <w:autoSpaceDE w:val="0"/>
        <w:autoSpaceDN w:val="0"/>
        <w:adjustRightInd w:val="0"/>
        <w:snapToGrid w:val="0"/>
        <w:spacing w:line="480" w:lineRule="exact"/>
        <w:ind w:firstLine="480" w:firstLineChars="200"/>
        <w:jc w:val="left"/>
        <w:rPr>
          <w:color w:val="auto"/>
          <w:kern w:val="0"/>
          <w:sz w:val="24"/>
          <w:szCs w:val="24"/>
          <w:highlight w:val="none"/>
        </w:rPr>
      </w:pPr>
      <w:r>
        <w:rPr>
          <w:rFonts w:hint="eastAsia"/>
          <w:color w:val="auto"/>
          <w:kern w:val="0"/>
          <w:sz w:val="24"/>
          <w:szCs w:val="24"/>
          <w:highlight w:val="none"/>
          <w:lang w:eastAsia="zh-CN"/>
        </w:rPr>
        <w:t>（</w:t>
      </w:r>
      <w:r>
        <w:rPr>
          <w:rFonts w:hint="eastAsia"/>
          <w:color w:val="auto"/>
          <w:kern w:val="0"/>
          <w:sz w:val="24"/>
          <w:szCs w:val="24"/>
          <w:highlight w:val="none"/>
          <w:lang w:val="en-US" w:eastAsia="zh-CN"/>
        </w:rPr>
        <w:t>4</w:t>
      </w:r>
      <w:r>
        <w:rPr>
          <w:rFonts w:hint="eastAsia"/>
          <w:color w:val="auto"/>
          <w:kern w:val="0"/>
          <w:sz w:val="24"/>
          <w:szCs w:val="24"/>
          <w:highlight w:val="none"/>
          <w:lang w:eastAsia="zh-CN"/>
        </w:rPr>
        <w:t>）</w:t>
      </w:r>
      <w:r>
        <w:rPr>
          <w:color w:val="auto"/>
          <w:kern w:val="0"/>
          <w:sz w:val="24"/>
          <w:szCs w:val="24"/>
          <w:highlight w:val="none"/>
        </w:rPr>
        <w:t>为了防止突发事故，污染物外泄，造成对环境的污染，球磨浮选车间设置</w:t>
      </w:r>
      <w:r>
        <w:rPr>
          <w:rFonts w:hint="eastAsia"/>
          <w:color w:val="auto"/>
          <w:kern w:val="0"/>
          <w:sz w:val="24"/>
          <w:szCs w:val="24"/>
          <w:highlight w:val="none"/>
          <w:lang w:val="en-US" w:eastAsia="zh-CN"/>
        </w:rPr>
        <w:t>倒排水沟</w:t>
      </w:r>
      <w:r>
        <w:rPr>
          <w:color w:val="auto"/>
          <w:kern w:val="0"/>
          <w:sz w:val="24"/>
          <w:szCs w:val="24"/>
          <w:highlight w:val="none"/>
        </w:rPr>
        <w:t>，一旦有</w:t>
      </w:r>
      <w:r>
        <w:rPr>
          <w:rFonts w:hint="eastAsia"/>
          <w:color w:val="auto"/>
          <w:kern w:val="0"/>
          <w:sz w:val="24"/>
          <w:szCs w:val="24"/>
          <w:highlight w:val="none"/>
          <w:lang w:val="en-US" w:eastAsia="zh-CN"/>
        </w:rPr>
        <w:t>泄漏</w:t>
      </w:r>
      <w:r>
        <w:rPr>
          <w:color w:val="auto"/>
          <w:kern w:val="0"/>
          <w:sz w:val="24"/>
          <w:szCs w:val="24"/>
          <w:highlight w:val="none"/>
        </w:rPr>
        <w:t>事故发生，</w:t>
      </w:r>
      <w:r>
        <w:rPr>
          <w:rFonts w:hint="eastAsia"/>
          <w:color w:val="auto"/>
          <w:kern w:val="0"/>
          <w:sz w:val="24"/>
          <w:szCs w:val="24"/>
          <w:highlight w:val="none"/>
          <w:lang w:val="en-US" w:eastAsia="zh-CN"/>
        </w:rPr>
        <w:t>将泄漏的浮选废水</w:t>
      </w:r>
      <w:r>
        <w:rPr>
          <w:color w:val="auto"/>
          <w:kern w:val="0"/>
          <w:sz w:val="24"/>
          <w:szCs w:val="24"/>
          <w:highlight w:val="none"/>
        </w:rPr>
        <w:t>经</w:t>
      </w:r>
      <w:r>
        <w:rPr>
          <w:rFonts w:hint="eastAsia"/>
          <w:color w:val="auto"/>
          <w:kern w:val="0"/>
          <w:sz w:val="24"/>
          <w:szCs w:val="24"/>
          <w:highlight w:val="none"/>
          <w:lang w:val="en-US" w:eastAsia="zh-CN"/>
        </w:rPr>
        <w:t>倒排水沟</w:t>
      </w:r>
      <w:r>
        <w:rPr>
          <w:color w:val="auto"/>
          <w:kern w:val="0"/>
          <w:sz w:val="24"/>
          <w:szCs w:val="24"/>
          <w:highlight w:val="none"/>
        </w:rPr>
        <w:t>，</w:t>
      </w:r>
      <w:r>
        <w:rPr>
          <w:rFonts w:hint="eastAsia"/>
          <w:color w:val="auto"/>
          <w:kern w:val="0"/>
          <w:sz w:val="24"/>
          <w:szCs w:val="24"/>
          <w:highlight w:val="none"/>
          <w:lang w:val="en-US" w:eastAsia="zh-CN"/>
        </w:rPr>
        <w:t>收集到选矿水循环池内，防止外溢到外环境导致下渗污染土壤和地下水</w:t>
      </w:r>
      <w:r>
        <w:rPr>
          <w:color w:val="auto"/>
          <w:kern w:val="0"/>
          <w:sz w:val="24"/>
          <w:szCs w:val="24"/>
          <w:highlight w:val="none"/>
        </w:rPr>
        <w:t>。</w:t>
      </w:r>
    </w:p>
    <w:p w14:paraId="6E31CBE6">
      <w:pPr>
        <w:autoSpaceDE w:val="0"/>
        <w:autoSpaceDN w:val="0"/>
        <w:adjustRightInd w:val="0"/>
        <w:snapToGrid w:val="0"/>
        <w:spacing w:line="480" w:lineRule="exact"/>
        <w:ind w:firstLine="482" w:firstLineChars="200"/>
        <w:jc w:val="left"/>
        <w:rPr>
          <w:rFonts w:hint="eastAsia" w:eastAsia="宋体"/>
          <w:b/>
          <w:bCs/>
          <w:color w:val="auto"/>
          <w:kern w:val="0"/>
          <w:sz w:val="24"/>
          <w:szCs w:val="24"/>
          <w:highlight w:val="none"/>
          <w:lang w:val="en-US" w:eastAsia="zh-CN"/>
        </w:rPr>
      </w:pPr>
      <w:r>
        <w:rPr>
          <w:rFonts w:hint="eastAsia"/>
          <w:b/>
          <w:bCs/>
          <w:color w:val="auto"/>
          <w:kern w:val="0"/>
          <w:sz w:val="24"/>
          <w:szCs w:val="24"/>
          <w:highlight w:val="none"/>
        </w:rPr>
        <w:t>2、</w:t>
      </w:r>
      <w:r>
        <w:rPr>
          <w:b/>
          <w:bCs/>
          <w:color w:val="auto"/>
          <w:kern w:val="0"/>
          <w:sz w:val="24"/>
          <w:szCs w:val="24"/>
          <w:highlight w:val="none"/>
        </w:rPr>
        <w:t>分区防控</w:t>
      </w:r>
      <w:r>
        <w:rPr>
          <w:rFonts w:hint="eastAsia"/>
          <w:b/>
          <w:bCs/>
          <w:color w:val="auto"/>
          <w:kern w:val="0"/>
          <w:sz w:val="24"/>
          <w:szCs w:val="24"/>
          <w:highlight w:val="none"/>
          <w:lang w:val="en-US" w:eastAsia="zh-CN"/>
        </w:rPr>
        <w:t>措施</w:t>
      </w:r>
    </w:p>
    <w:p w14:paraId="3060471C">
      <w:pPr>
        <w:autoSpaceDE w:val="0"/>
        <w:autoSpaceDN w:val="0"/>
        <w:adjustRightInd w:val="0"/>
        <w:snapToGrid w:val="0"/>
        <w:spacing w:line="480" w:lineRule="exact"/>
        <w:ind w:firstLine="480" w:firstLineChars="200"/>
        <w:jc w:val="both"/>
        <w:rPr>
          <w:color w:val="auto"/>
          <w:kern w:val="0"/>
          <w:sz w:val="24"/>
          <w:szCs w:val="24"/>
          <w:highlight w:val="none"/>
        </w:rPr>
      </w:pPr>
      <w:r>
        <w:rPr>
          <w:color w:val="auto"/>
          <w:kern w:val="0"/>
          <w:sz w:val="24"/>
          <w:szCs w:val="24"/>
          <w:highlight w:val="none"/>
        </w:rPr>
        <w:t>结合地下水环境影响评价结果，根据建设项目场地天然包气带防污性能、污染控制难易程度和污染物特性，按照《环境影响评价技术导则地下水环境》（HJ610-2016）中参照表7中提出防渗技术要求进行划分及确定。</w:t>
      </w:r>
    </w:p>
    <w:p w14:paraId="127F8714">
      <w:pPr>
        <w:autoSpaceDE w:val="0"/>
        <w:autoSpaceDN w:val="0"/>
        <w:adjustRightInd w:val="0"/>
        <w:snapToGrid w:val="0"/>
        <w:spacing w:line="480" w:lineRule="exact"/>
        <w:ind w:firstLine="480" w:firstLineChars="200"/>
        <w:jc w:val="left"/>
        <w:rPr>
          <w:color w:val="auto"/>
          <w:kern w:val="0"/>
          <w:sz w:val="24"/>
          <w:szCs w:val="24"/>
          <w:highlight w:val="none"/>
        </w:rPr>
      </w:pPr>
      <w:r>
        <w:rPr>
          <w:color w:val="auto"/>
          <w:kern w:val="0"/>
          <w:sz w:val="24"/>
          <w:szCs w:val="24"/>
          <w:highlight w:val="none"/>
        </w:rPr>
        <w:t>（1）天然包气带防污性能分级</w:t>
      </w:r>
    </w:p>
    <w:p w14:paraId="584CF3FC">
      <w:pPr>
        <w:autoSpaceDE w:val="0"/>
        <w:autoSpaceDN w:val="0"/>
        <w:adjustRightInd w:val="0"/>
        <w:snapToGrid w:val="0"/>
        <w:spacing w:line="480" w:lineRule="exact"/>
        <w:ind w:firstLine="480" w:firstLineChars="200"/>
        <w:jc w:val="both"/>
        <w:rPr>
          <w:color w:val="auto"/>
          <w:kern w:val="0"/>
          <w:sz w:val="24"/>
          <w:szCs w:val="24"/>
          <w:highlight w:val="none"/>
        </w:rPr>
      </w:pPr>
      <w:r>
        <w:rPr>
          <w:color w:val="auto"/>
          <w:kern w:val="0"/>
          <w:sz w:val="24"/>
          <w:szCs w:val="24"/>
          <w:highlight w:val="none"/>
        </w:rPr>
        <w:t>本项目场地天然包气带岩性主要为细砂，经验渗透系数</w:t>
      </w:r>
      <w:r>
        <w:rPr>
          <w:rFonts w:hint="eastAsia"/>
          <w:color w:val="auto"/>
          <w:kern w:val="0"/>
          <w:sz w:val="24"/>
          <w:szCs w:val="24"/>
          <w:highlight w:val="none"/>
          <w:lang w:val="en-US" w:eastAsia="zh-CN"/>
        </w:rPr>
        <w:t>1.2</w:t>
      </w:r>
      <w:r>
        <w:rPr>
          <w:color w:val="auto"/>
          <w:kern w:val="0"/>
          <w:sz w:val="24"/>
          <w:szCs w:val="24"/>
          <w:highlight w:val="none"/>
        </w:rPr>
        <w:t>×10</w:t>
      </w:r>
      <w:r>
        <w:rPr>
          <w:color w:val="auto"/>
          <w:kern w:val="0"/>
          <w:sz w:val="24"/>
          <w:szCs w:val="24"/>
          <w:highlight w:val="none"/>
          <w:vertAlign w:val="superscript"/>
        </w:rPr>
        <w:t>-3</w:t>
      </w:r>
      <w:r>
        <w:rPr>
          <w:color w:val="auto"/>
          <w:kern w:val="0"/>
          <w:sz w:val="24"/>
          <w:szCs w:val="24"/>
          <w:highlight w:val="none"/>
        </w:rPr>
        <w:t>～</w:t>
      </w:r>
      <w:r>
        <w:rPr>
          <w:rFonts w:hint="eastAsia"/>
          <w:color w:val="auto"/>
          <w:kern w:val="0"/>
          <w:sz w:val="24"/>
          <w:szCs w:val="24"/>
          <w:highlight w:val="none"/>
          <w:lang w:val="en-US" w:eastAsia="zh-CN"/>
        </w:rPr>
        <w:t>2.4</w:t>
      </w:r>
      <w:r>
        <w:rPr>
          <w:color w:val="auto"/>
          <w:kern w:val="0"/>
          <w:sz w:val="24"/>
          <w:szCs w:val="24"/>
          <w:highlight w:val="none"/>
        </w:rPr>
        <w:t>×10</w:t>
      </w:r>
      <w:r>
        <w:rPr>
          <w:color w:val="auto"/>
          <w:kern w:val="0"/>
          <w:sz w:val="24"/>
          <w:szCs w:val="24"/>
          <w:highlight w:val="none"/>
          <w:vertAlign w:val="superscript"/>
        </w:rPr>
        <w:t>-2</w:t>
      </w:r>
      <w:r>
        <w:rPr>
          <w:color w:val="auto"/>
          <w:kern w:val="0"/>
          <w:sz w:val="24"/>
          <w:szCs w:val="24"/>
          <w:highlight w:val="none"/>
        </w:rPr>
        <w:t>cm/s，厚度大于2m。对照导则中的天然包气带防污性能分级参照表</w:t>
      </w:r>
      <w:r>
        <w:rPr>
          <w:rFonts w:hint="eastAsia"/>
          <w:color w:val="auto"/>
          <w:kern w:val="0"/>
          <w:sz w:val="24"/>
          <w:szCs w:val="24"/>
          <w:highlight w:val="none"/>
          <w:lang w:val="en-US" w:eastAsia="zh-CN"/>
        </w:rPr>
        <w:t>7.3-1</w:t>
      </w:r>
      <w:r>
        <w:rPr>
          <w:color w:val="auto"/>
          <w:kern w:val="0"/>
          <w:sz w:val="24"/>
          <w:szCs w:val="24"/>
          <w:highlight w:val="none"/>
        </w:rPr>
        <w:t>，项目厂区的包气带防污性能分级为</w:t>
      </w:r>
      <w:r>
        <w:rPr>
          <w:rFonts w:hint="eastAsia"/>
          <w:color w:val="auto"/>
          <w:kern w:val="0"/>
          <w:sz w:val="24"/>
          <w:szCs w:val="24"/>
          <w:highlight w:val="none"/>
          <w:lang w:eastAsia="zh-CN"/>
        </w:rPr>
        <w:t>“</w:t>
      </w:r>
      <w:r>
        <w:rPr>
          <w:color w:val="auto"/>
          <w:kern w:val="0"/>
          <w:sz w:val="24"/>
          <w:szCs w:val="24"/>
          <w:highlight w:val="none"/>
        </w:rPr>
        <w:t>弱</w:t>
      </w:r>
      <w:r>
        <w:rPr>
          <w:rFonts w:hint="eastAsia"/>
          <w:color w:val="auto"/>
          <w:kern w:val="0"/>
          <w:sz w:val="24"/>
          <w:szCs w:val="24"/>
          <w:highlight w:val="none"/>
          <w:lang w:eastAsia="zh-CN"/>
        </w:rPr>
        <w:t>”</w:t>
      </w:r>
      <w:r>
        <w:rPr>
          <w:color w:val="auto"/>
          <w:kern w:val="0"/>
          <w:sz w:val="24"/>
          <w:szCs w:val="24"/>
          <w:highlight w:val="none"/>
        </w:rPr>
        <w:t>。</w:t>
      </w:r>
    </w:p>
    <w:p w14:paraId="65F6648D">
      <w:pPr>
        <w:pStyle w:val="199"/>
        <w:spacing w:before="120"/>
        <w:ind w:firstLine="480"/>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7.3-1</w:t>
      </w:r>
      <w:r>
        <w:rPr>
          <w:rFonts w:hint="eastAsia"/>
          <w:color w:val="auto"/>
          <w:sz w:val="24"/>
          <w:highlight w:val="none"/>
        </w:rPr>
        <w:t xml:space="preserve">    天然包气带防污性能分级参照表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842"/>
      </w:tblGrid>
      <w:tr w14:paraId="1D19F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noWrap w:val="0"/>
            <w:vAlign w:val="top"/>
          </w:tcPr>
          <w:p w14:paraId="203765E6">
            <w:pPr>
              <w:pStyle w:val="245"/>
              <w:spacing w:line="240" w:lineRule="auto"/>
              <w:jc w:val="center"/>
              <w:rPr>
                <w:rFonts w:hint="eastAsia"/>
                <w:color w:val="auto"/>
                <w:highlight w:val="none"/>
              </w:rPr>
            </w:pPr>
            <w:r>
              <w:rPr>
                <w:rFonts w:hint="eastAsia"/>
                <w:color w:val="auto"/>
                <w:highlight w:val="none"/>
              </w:rPr>
              <w:t>分级</w:t>
            </w:r>
          </w:p>
        </w:tc>
        <w:tc>
          <w:tcPr>
            <w:tcW w:w="7840" w:type="dxa"/>
            <w:tcBorders>
              <w:tl2br w:val="nil"/>
              <w:tr2bl w:val="nil"/>
            </w:tcBorders>
            <w:noWrap w:val="0"/>
            <w:vAlign w:val="top"/>
          </w:tcPr>
          <w:p w14:paraId="044BC6E5">
            <w:pPr>
              <w:pStyle w:val="245"/>
              <w:spacing w:line="240" w:lineRule="auto"/>
              <w:jc w:val="center"/>
              <w:rPr>
                <w:rFonts w:hint="eastAsia"/>
                <w:color w:val="auto"/>
                <w:highlight w:val="none"/>
              </w:rPr>
            </w:pPr>
            <w:r>
              <w:rPr>
                <w:rFonts w:hint="eastAsia"/>
                <w:color w:val="auto"/>
                <w:highlight w:val="none"/>
              </w:rPr>
              <w:t>包气带岩土的渗透性能</w:t>
            </w:r>
          </w:p>
        </w:tc>
      </w:tr>
      <w:tr w14:paraId="65591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noWrap w:val="0"/>
            <w:vAlign w:val="center"/>
          </w:tcPr>
          <w:p w14:paraId="59FBA91D">
            <w:pPr>
              <w:pStyle w:val="245"/>
              <w:spacing w:line="240" w:lineRule="auto"/>
              <w:jc w:val="center"/>
              <w:rPr>
                <w:rFonts w:hint="eastAsia"/>
                <w:color w:val="auto"/>
                <w:highlight w:val="none"/>
              </w:rPr>
            </w:pPr>
            <w:r>
              <w:rPr>
                <w:rFonts w:hint="eastAsia"/>
                <w:color w:val="auto"/>
                <w:highlight w:val="none"/>
              </w:rPr>
              <w:t>强</w:t>
            </w:r>
          </w:p>
        </w:tc>
        <w:tc>
          <w:tcPr>
            <w:tcW w:w="7840" w:type="dxa"/>
            <w:tcBorders>
              <w:tl2br w:val="nil"/>
              <w:tr2bl w:val="nil"/>
            </w:tcBorders>
            <w:noWrap w:val="0"/>
            <w:vAlign w:val="top"/>
          </w:tcPr>
          <w:p w14:paraId="26EFF38C">
            <w:pPr>
              <w:pStyle w:val="245"/>
              <w:spacing w:line="240" w:lineRule="auto"/>
              <w:jc w:val="center"/>
              <w:rPr>
                <w:rFonts w:hint="eastAsia"/>
                <w:color w:val="auto"/>
                <w:highlight w:val="none"/>
              </w:rPr>
            </w:pPr>
            <w:r>
              <w:rPr>
                <w:rFonts w:hint="eastAsia"/>
                <w:color w:val="auto"/>
                <w:highlight w:val="none"/>
              </w:rPr>
              <w:t>岩（土）层单层厚度Mb≥1.0m，渗透系数K≤1×10-6cm/s，且分布连续稳定</w:t>
            </w:r>
          </w:p>
        </w:tc>
      </w:tr>
      <w:tr w14:paraId="733FB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noWrap w:val="0"/>
            <w:vAlign w:val="center"/>
          </w:tcPr>
          <w:p w14:paraId="7770ADAA">
            <w:pPr>
              <w:pStyle w:val="245"/>
              <w:spacing w:line="240" w:lineRule="auto"/>
              <w:jc w:val="center"/>
              <w:rPr>
                <w:rFonts w:hint="eastAsia"/>
                <w:color w:val="auto"/>
                <w:highlight w:val="none"/>
              </w:rPr>
            </w:pPr>
            <w:r>
              <w:rPr>
                <w:rFonts w:hint="eastAsia"/>
                <w:color w:val="auto"/>
                <w:highlight w:val="none"/>
              </w:rPr>
              <w:t>中</w:t>
            </w:r>
          </w:p>
        </w:tc>
        <w:tc>
          <w:tcPr>
            <w:tcW w:w="7840" w:type="dxa"/>
            <w:tcBorders>
              <w:tl2br w:val="nil"/>
              <w:tr2bl w:val="nil"/>
            </w:tcBorders>
            <w:noWrap w:val="0"/>
            <w:vAlign w:val="top"/>
          </w:tcPr>
          <w:p w14:paraId="5A261664">
            <w:pPr>
              <w:pStyle w:val="245"/>
              <w:spacing w:line="240" w:lineRule="auto"/>
              <w:jc w:val="center"/>
              <w:rPr>
                <w:rFonts w:hint="eastAsia"/>
                <w:color w:val="auto"/>
                <w:highlight w:val="none"/>
              </w:rPr>
            </w:pPr>
            <w:r>
              <w:rPr>
                <w:rFonts w:hint="eastAsia"/>
                <w:color w:val="auto"/>
                <w:highlight w:val="none"/>
              </w:rPr>
              <w:t>岩土层单层厚度0.5m≤Mb＜1.0m，渗透系数K≤1×10-6cm/s，且分布连续稳定；</w:t>
            </w:r>
          </w:p>
          <w:p w14:paraId="19464E62">
            <w:pPr>
              <w:pStyle w:val="245"/>
              <w:spacing w:line="240" w:lineRule="auto"/>
              <w:jc w:val="center"/>
              <w:rPr>
                <w:rFonts w:hint="eastAsia"/>
                <w:color w:val="auto"/>
                <w:highlight w:val="none"/>
              </w:rPr>
            </w:pPr>
            <w:r>
              <w:rPr>
                <w:rFonts w:hint="eastAsia"/>
                <w:color w:val="auto"/>
                <w:highlight w:val="none"/>
              </w:rPr>
              <w:t>岩土层单层厚度Mb≥1.0m，渗透系数1×10-6cm/s＜K≤1×10-4cm/s，且分布连续稳定</w:t>
            </w:r>
          </w:p>
        </w:tc>
      </w:tr>
      <w:tr w14:paraId="1B39A8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noWrap w:val="0"/>
            <w:vAlign w:val="center"/>
          </w:tcPr>
          <w:p w14:paraId="23D5F2FF">
            <w:pPr>
              <w:pStyle w:val="245"/>
              <w:spacing w:line="240" w:lineRule="auto"/>
              <w:jc w:val="center"/>
              <w:rPr>
                <w:rFonts w:hint="eastAsia"/>
                <w:color w:val="auto"/>
                <w:highlight w:val="none"/>
              </w:rPr>
            </w:pPr>
            <w:r>
              <w:rPr>
                <w:rFonts w:hint="eastAsia"/>
                <w:color w:val="auto"/>
                <w:highlight w:val="none"/>
              </w:rPr>
              <w:t>弱</w:t>
            </w:r>
          </w:p>
        </w:tc>
        <w:tc>
          <w:tcPr>
            <w:tcW w:w="7840" w:type="dxa"/>
            <w:tcBorders>
              <w:tl2br w:val="nil"/>
              <w:tr2bl w:val="nil"/>
            </w:tcBorders>
            <w:noWrap w:val="0"/>
            <w:vAlign w:val="top"/>
          </w:tcPr>
          <w:p w14:paraId="084E2AC1">
            <w:pPr>
              <w:pStyle w:val="245"/>
              <w:spacing w:line="240" w:lineRule="auto"/>
              <w:jc w:val="center"/>
              <w:rPr>
                <w:rFonts w:hint="eastAsia"/>
                <w:color w:val="auto"/>
                <w:highlight w:val="none"/>
              </w:rPr>
            </w:pPr>
            <w:r>
              <w:rPr>
                <w:rFonts w:hint="eastAsia"/>
                <w:color w:val="auto"/>
                <w:highlight w:val="none"/>
              </w:rPr>
              <w:t>岩（土）层不满足上述“强”和“中”条件</w:t>
            </w:r>
          </w:p>
        </w:tc>
      </w:tr>
    </w:tbl>
    <w:p w14:paraId="60410892">
      <w:pPr>
        <w:autoSpaceDE w:val="0"/>
        <w:autoSpaceDN w:val="0"/>
        <w:adjustRightInd w:val="0"/>
        <w:snapToGrid w:val="0"/>
        <w:spacing w:line="480" w:lineRule="exact"/>
        <w:ind w:firstLine="480" w:firstLineChars="200"/>
        <w:jc w:val="left"/>
        <w:rPr>
          <w:color w:val="auto"/>
          <w:kern w:val="0"/>
          <w:sz w:val="24"/>
          <w:szCs w:val="24"/>
          <w:highlight w:val="none"/>
        </w:rPr>
      </w:pPr>
      <w:r>
        <w:rPr>
          <w:color w:val="auto"/>
          <w:kern w:val="0"/>
          <w:sz w:val="24"/>
          <w:szCs w:val="24"/>
          <w:highlight w:val="none"/>
        </w:rPr>
        <w:t>（2）污染物控制难易程度</w:t>
      </w:r>
    </w:p>
    <w:p w14:paraId="1DFB48C4">
      <w:pPr>
        <w:autoSpaceDE w:val="0"/>
        <w:autoSpaceDN w:val="0"/>
        <w:adjustRightInd w:val="0"/>
        <w:snapToGrid w:val="0"/>
        <w:spacing w:line="480" w:lineRule="exact"/>
        <w:ind w:firstLine="480" w:firstLineChars="200"/>
        <w:jc w:val="left"/>
        <w:rPr>
          <w:color w:val="auto"/>
          <w:kern w:val="0"/>
          <w:sz w:val="24"/>
          <w:szCs w:val="24"/>
          <w:highlight w:val="none"/>
        </w:rPr>
      </w:pPr>
      <w:r>
        <w:rPr>
          <w:color w:val="auto"/>
          <w:kern w:val="0"/>
          <w:sz w:val="24"/>
          <w:szCs w:val="24"/>
          <w:highlight w:val="none"/>
        </w:rPr>
        <w:t>按照HJ610-2016要求，其项目厂区各设施及建构筑物污染物难易控制程度需要进行分级。根据项目实际情况，其分级情况见表</w:t>
      </w:r>
      <w:r>
        <w:rPr>
          <w:rFonts w:hint="eastAsia"/>
          <w:color w:val="auto"/>
          <w:kern w:val="0"/>
          <w:sz w:val="24"/>
          <w:szCs w:val="24"/>
          <w:highlight w:val="none"/>
          <w:lang w:val="en-US" w:eastAsia="zh-CN"/>
        </w:rPr>
        <w:t>7.3-2</w:t>
      </w:r>
      <w:r>
        <w:rPr>
          <w:color w:val="auto"/>
          <w:kern w:val="0"/>
          <w:sz w:val="24"/>
          <w:szCs w:val="24"/>
          <w:highlight w:val="none"/>
        </w:rPr>
        <w:t>所示。</w:t>
      </w:r>
    </w:p>
    <w:p w14:paraId="5F42A311">
      <w:pPr>
        <w:pStyle w:val="199"/>
        <w:spacing w:before="120"/>
        <w:ind w:firstLine="480"/>
        <w:rPr>
          <w:rFonts w:hint="eastAsia"/>
          <w:color w:val="auto"/>
          <w:sz w:val="24"/>
          <w:highlight w:val="none"/>
        </w:rPr>
      </w:pPr>
      <w:r>
        <w:rPr>
          <w:rFonts w:hint="eastAsia"/>
          <w:color w:val="auto"/>
          <w:sz w:val="24"/>
          <w:highlight w:val="none"/>
        </w:rPr>
        <w:t>表7.</w:t>
      </w:r>
      <w:r>
        <w:rPr>
          <w:rFonts w:hint="eastAsia"/>
          <w:color w:val="auto"/>
          <w:sz w:val="24"/>
          <w:highlight w:val="none"/>
          <w:lang w:val="en-US" w:eastAsia="zh-CN"/>
        </w:rPr>
        <w:t>3-2</w:t>
      </w:r>
      <w:r>
        <w:rPr>
          <w:rFonts w:hint="eastAsia"/>
          <w:color w:val="auto"/>
          <w:sz w:val="24"/>
          <w:highlight w:val="none"/>
        </w:rPr>
        <w:t xml:space="preserve">   污染物控制难易程度分级参照表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4"/>
      </w:tblGrid>
      <w:tr w14:paraId="37B90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top"/>
          </w:tcPr>
          <w:p w14:paraId="4820A67F">
            <w:pPr>
              <w:pStyle w:val="245"/>
              <w:spacing w:line="240" w:lineRule="auto"/>
              <w:jc w:val="center"/>
              <w:rPr>
                <w:rFonts w:hint="eastAsia"/>
                <w:color w:val="auto"/>
                <w:highlight w:val="none"/>
              </w:rPr>
            </w:pPr>
            <w:r>
              <w:rPr>
                <w:rFonts w:hint="eastAsia"/>
                <w:color w:val="auto"/>
                <w:highlight w:val="none"/>
              </w:rPr>
              <w:t>污染控制难易程度</w:t>
            </w:r>
          </w:p>
        </w:tc>
        <w:tc>
          <w:tcPr>
            <w:tcW w:w="6422" w:type="dxa"/>
            <w:tcBorders>
              <w:tl2br w:val="nil"/>
              <w:tr2bl w:val="nil"/>
            </w:tcBorders>
            <w:noWrap w:val="0"/>
            <w:vAlign w:val="top"/>
          </w:tcPr>
          <w:p w14:paraId="3F9E4B25">
            <w:pPr>
              <w:pStyle w:val="245"/>
              <w:spacing w:line="240" w:lineRule="auto"/>
              <w:jc w:val="center"/>
              <w:rPr>
                <w:rFonts w:hint="eastAsia"/>
                <w:color w:val="auto"/>
                <w:highlight w:val="none"/>
              </w:rPr>
            </w:pPr>
            <w:r>
              <w:rPr>
                <w:rFonts w:hint="eastAsia"/>
                <w:color w:val="auto"/>
                <w:highlight w:val="none"/>
              </w:rPr>
              <w:t>主要特征</w:t>
            </w:r>
          </w:p>
        </w:tc>
      </w:tr>
      <w:tr w14:paraId="2DE7D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49CC6942">
            <w:pPr>
              <w:pStyle w:val="245"/>
              <w:spacing w:line="240" w:lineRule="auto"/>
              <w:jc w:val="center"/>
              <w:rPr>
                <w:rFonts w:hint="eastAsia"/>
                <w:color w:val="auto"/>
                <w:highlight w:val="none"/>
              </w:rPr>
            </w:pPr>
            <w:r>
              <w:rPr>
                <w:rFonts w:hint="eastAsia"/>
                <w:color w:val="auto"/>
                <w:highlight w:val="none"/>
              </w:rPr>
              <w:t>难</w:t>
            </w:r>
          </w:p>
        </w:tc>
        <w:tc>
          <w:tcPr>
            <w:tcW w:w="6422" w:type="dxa"/>
            <w:tcBorders>
              <w:tl2br w:val="nil"/>
              <w:tr2bl w:val="nil"/>
            </w:tcBorders>
            <w:noWrap w:val="0"/>
            <w:vAlign w:val="top"/>
          </w:tcPr>
          <w:p w14:paraId="66ED0F0B">
            <w:pPr>
              <w:pStyle w:val="245"/>
              <w:spacing w:line="240" w:lineRule="auto"/>
              <w:jc w:val="center"/>
              <w:rPr>
                <w:rFonts w:hint="eastAsia"/>
                <w:color w:val="auto"/>
                <w:highlight w:val="none"/>
              </w:rPr>
            </w:pPr>
            <w:r>
              <w:rPr>
                <w:rFonts w:hint="eastAsia"/>
                <w:color w:val="auto"/>
                <w:highlight w:val="none"/>
              </w:rPr>
              <w:t>对地下水环境有污染的物料或污染物渗漏后，不能及时发现和处理</w:t>
            </w:r>
          </w:p>
        </w:tc>
      </w:tr>
      <w:tr w14:paraId="12B5D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254481EF">
            <w:pPr>
              <w:pStyle w:val="245"/>
              <w:spacing w:line="240" w:lineRule="auto"/>
              <w:jc w:val="center"/>
              <w:rPr>
                <w:rFonts w:hint="eastAsia"/>
                <w:color w:val="auto"/>
                <w:highlight w:val="none"/>
              </w:rPr>
            </w:pPr>
            <w:r>
              <w:rPr>
                <w:rFonts w:hint="eastAsia"/>
                <w:color w:val="auto"/>
                <w:highlight w:val="none"/>
              </w:rPr>
              <w:t>易</w:t>
            </w:r>
          </w:p>
        </w:tc>
        <w:tc>
          <w:tcPr>
            <w:tcW w:w="6422" w:type="dxa"/>
            <w:tcBorders>
              <w:tl2br w:val="nil"/>
              <w:tr2bl w:val="nil"/>
            </w:tcBorders>
            <w:noWrap w:val="0"/>
            <w:vAlign w:val="top"/>
          </w:tcPr>
          <w:p w14:paraId="673BA3E6">
            <w:pPr>
              <w:pStyle w:val="245"/>
              <w:spacing w:line="240" w:lineRule="auto"/>
              <w:jc w:val="center"/>
              <w:rPr>
                <w:rFonts w:hint="eastAsia"/>
                <w:color w:val="auto"/>
                <w:highlight w:val="none"/>
              </w:rPr>
            </w:pPr>
            <w:r>
              <w:rPr>
                <w:rFonts w:hint="eastAsia"/>
                <w:color w:val="auto"/>
                <w:highlight w:val="none"/>
              </w:rPr>
              <w:t>对地下水环境有污染的物料或染物渗漏后，可及时发现和处理</w:t>
            </w:r>
          </w:p>
        </w:tc>
      </w:tr>
    </w:tbl>
    <w:p w14:paraId="2D9A7136">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val="en-US" w:eastAsia="zh-CN"/>
        </w:rPr>
        <w:t>本</w:t>
      </w:r>
      <w:r>
        <w:rPr>
          <w:color w:val="auto"/>
          <w:sz w:val="24"/>
          <w:szCs w:val="24"/>
          <w:highlight w:val="none"/>
        </w:rPr>
        <w:t>项目</w:t>
      </w:r>
      <w:r>
        <w:rPr>
          <w:rFonts w:hint="eastAsia"/>
          <w:color w:val="auto"/>
          <w:sz w:val="24"/>
          <w:szCs w:val="24"/>
          <w:highlight w:val="none"/>
          <w:lang w:val="en-US" w:eastAsia="zh-CN"/>
        </w:rPr>
        <w:t>厂区内浮选车间、</w:t>
      </w:r>
      <w:r>
        <w:rPr>
          <w:color w:val="auto"/>
          <w:sz w:val="24"/>
          <w:szCs w:val="24"/>
          <w:highlight w:val="none"/>
        </w:rPr>
        <w:t>循环水池</w:t>
      </w:r>
      <w:r>
        <w:rPr>
          <w:rFonts w:hint="eastAsia"/>
          <w:color w:val="auto"/>
          <w:sz w:val="24"/>
          <w:szCs w:val="24"/>
          <w:highlight w:val="none"/>
          <w:lang w:eastAsia="zh-CN"/>
        </w:rPr>
        <w:t>、</w:t>
      </w:r>
      <w:r>
        <w:rPr>
          <w:rFonts w:hint="eastAsia"/>
          <w:color w:val="auto"/>
          <w:sz w:val="24"/>
          <w:szCs w:val="24"/>
          <w:highlight w:val="none"/>
          <w:lang w:val="en-US" w:eastAsia="zh-CN"/>
        </w:rPr>
        <w:t>危废暂存间</w:t>
      </w:r>
      <w:r>
        <w:rPr>
          <w:color w:val="auto"/>
          <w:sz w:val="24"/>
          <w:szCs w:val="24"/>
          <w:highlight w:val="none"/>
        </w:rPr>
        <w:t>等</w:t>
      </w:r>
      <w:r>
        <w:rPr>
          <w:rFonts w:hint="eastAsia"/>
          <w:color w:val="auto"/>
          <w:sz w:val="24"/>
          <w:szCs w:val="24"/>
          <w:highlight w:val="none"/>
          <w:lang w:val="en-US" w:eastAsia="zh-CN"/>
        </w:rPr>
        <w:t>水</w:t>
      </w:r>
      <w:r>
        <w:rPr>
          <w:color w:val="auto"/>
          <w:sz w:val="24"/>
          <w:szCs w:val="24"/>
          <w:highlight w:val="none"/>
        </w:rPr>
        <w:t>污染物泄漏后，可及时发现和处理的地面以上设备或建筑物，污染控制难易程度确定为</w:t>
      </w:r>
      <w:r>
        <w:rPr>
          <w:rFonts w:hint="eastAsia"/>
          <w:color w:val="auto"/>
          <w:sz w:val="24"/>
          <w:szCs w:val="24"/>
          <w:highlight w:val="none"/>
          <w:lang w:eastAsia="zh-CN"/>
        </w:rPr>
        <w:t>“</w:t>
      </w:r>
      <w:r>
        <w:rPr>
          <w:color w:val="auto"/>
          <w:sz w:val="24"/>
          <w:szCs w:val="24"/>
          <w:highlight w:val="none"/>
        </w:rPr>
        <w:t>易</w:t>
      </w:r>
      <w:r>
        <w:rPr>
          <w:rFonts w:hint="eastAsia"/>
          <w:color w:val="auto"/>
          <w:sz w:val="24"/>
          <w:szCs w:val="24"/>
          <w:highlight w:val="none"/>
          <w:lang w:eastAsia="zh-CN"/>
        </w:rPr>
        <w:t>”</w:t>
      </w:r>
      <w:r>
        <w:rPr>
          <w:color w:val="auto"/>
          <w:sz w:val="24"/>
          <w:szCs w:val="24"/>
          <w:highlight w:val="none"/>
        </w:rPr>
        <w:t>。</w:t>
      </w:r>
    </w:p>
    <w:p w14:paraId="2B0C61FB">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（3）污染物类型</w:t>
      </w:r>
    </w:p>
    <w:p w14:paraId="34A4A456">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val="en-US" w:eastAsia="zh-CN"/>
        </w:rPr>
        <w:t>本项目产生废机油中含有“</w:t>
      </w:r>
      <w:r>
        <w:rPr>
          <w:color w:val="auto"/>
          <w:sz w:val="24"/>
          <w:szCs w:val="24"/>
          <w:highlight w:val="none"/>
        </w:rPr>
        <w:t>持久性有机污染物</w:t>
      </w:r>
      <w:r>
        <w:rPr>
          <w:rFonts w:hint="eastAsia"/>
          <w:color w:val="auto"/>
          <w:sz w:val="24"/>
          <w:szCs w:val="24"/>
          <w:highlight w:val="none"/>
          <w:lang w:val="en-US" w:eastAsia="zh-CN"/>
        </w:rPr>
        <w:t>”</w:t>
      </w:r>
      <w:r>
        <w:rPr>
          <w:color w:val="auto"/>
          <w:sz w:val="24"/>
          <w:szCs w:val="24"/>
          <w:highlight w:val="none"/>
        </w:rPr>
        <w:t>，</w:t>
      </w:r>
      <w:r>
        <w:rPr>
          <w:rFonts w:hint="eastAsia"/>
          <w:color w:val="auto"/>
          <w:sz w:val="24"/>
          <w:szCs w:val="24"/>
          <w:highlight w:val="none"/>
          <w:lang w:val="en-US" w:eastAsia="zh-CN"/>
        </w:rPr>
        <w:t>因此，判定本项目</w:t>
      </w:r>
      <w:r>
        <w:rPr>
          <w:color w:val="auto"/>
          <w:sz w:val="24"/>
          <w:szCs w:val="24"/>
          <w:highlight w:val="none"/>
        </w:rPr>
        <w:t>污染物类型</w:t>
      </w:r>
      <w:r>
        <w:rPr>
          <w:rFonts w:hint="eastAsia"/>
          <w:color w:val="auto"/>
          <w:sz w:val="24"/>
          <w:szCs w:val="24"/>
          <w:highlight w:val="none"/>
          <w:lang w:val="en-US" w:eastAsia="zh-CN"/>
        </w:rPr>
        <w:t>涉及</w:t>
      </w:r>
      <w:r>
        <w:rPr>
          <w:rFonts w:hint="eastAsia"/>
          <w:color w:val="auto"/>
          <w:sz w:val="24"/>
          <w:szCs w:val="24"/>
          <w:highlight w:val="none"/>
          <w:lang w:eastAsia="zh-CN"/>
        </w:rPr>
        <w:t>“</w:t>
      </w:r>
      <w:r>
        <w:rPr>
          <w:color w:val="auto"/>
          <w:sz w:val="24"/>
          <w:szCs w:val="24"/>
          <w:highlight w:val="none"/>
        </w:rPr>
        <w:t>重金属、持久性有机污染物</w:t>
      </w:r>
      <w:r>
        <w:rPr>
          <w:rFonts w:hint="eastAsia"/>
          <w:color w:val="auto"/>
          <w:sz w:val="24"/>
          <w:szCs w:val="24"/>
          <w:highlight w:val="none"/>
          <w:lang w:eastAsia="zh-CN"/>
        </w:rPr>
        <w:t>”</w:t>
      </w:r>
      <w:r>
        <w:rPr>
          <w:color w:val="auto"/>
          <w:sz w:val="24"/>
          <w:szCs w:val="24"/>
          <w:highlight w:val="none"/>
        </w:rPr>
        <w:t>。</w:t>
      </w:r>
    </w:p>
    <w:p w14:paraId="0A45A295">
      <w:pPr>
        <w:adjustRightInd w:val="0"/>
        <w:snapToGrid w:val="0"/>
        <w:spacing w:line="480" w:lineRule="exact"/>
        <w:ind w:firstLine="480" w:firstLineChars="200"/>
        <w:rPr>
          <w:color w:val="auto"/>
          <w:sz w:val="24"/>
          <w:szCs w:val="24"/>
          <w:highlight w:val="none"/>
        </w:rPr>
      </w:pPr>
      <w:r>
        <w:rPr>
          <w:color w:val="auto"/>
          <w:sz w:val="24"/>
          <w:szCs w:val="24"/>
          <w:highlight w:val="none"/>
        </w:rPr>
        <w:t>（4）场地防渗分区确定</w:t>
      </w:r>
    </w:p>
    <w:p w14:paraId="06FCD3B6">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根据建设项目地下水污染防渗分区参照表，详见表</w:t>
      </w:r>
      <w:r>
        <w:rPr>
          <w:rFonts w:hint="eastAsia"/>
          <w:color w:val="auto"/>
          <w:sz w:val="24"/>
          <w:szCs w:val="24"/>
          <w:highlight w:val="none"/>
          <w:lang w:val="en-US" w:eastAsia="zh-CN"/>
        </w:rPr>
        <w:t>7.3-3</w:t>
      </w:r>
      <w:r>
        <w:rPr>
          <w:color w:val="auto"/>
          <w:sz w:val="24"/>
          <w:szCs w:val="24"/>
          <w:highlight w:val="none"/>
        </w:rPr>
        <w:t>。</w:t>
      </w:r>
    </w:p>
    <w:p w14:paraId="5E8C41C5">
      <w:pPr>
        <w:pStyle w:val="199"/>
        <w:spacing w:before="120"/>
        <w:ind w:firstLine="480"/>
        <w:rPr>
          <w:rFonts w:hint="eastAsia"/>
          <w:color w:val="auto"/>
          <w:sz w:val="24"/>
          <w:highlight w:val="none"/>
        </w:rPr>
      </w:pPr>
      <w:r>
        <w:rPr>
          <w:rFonts w:hint="eastAsia"/>
          <w:color w:val="auto"/>
          <w:sz w:val="24"/>
          <w:highlight w:val="none"/>
        </w:rPr>
        <w:t>表7.</w:t>
      </w:r>
      <w:r>
        <w:rPr>
          <w:rFonts w:hint="eastAsia"/>
          <w:color w:val="auto"/>
          <w:sz w:val="24"/>
          <w:highlight w:val="none"/>
          <w:lang w:val="en-US" w:eastAsia="zh-CN"/>
        </w:rPr>
        <w:t>3-3</w:t>
      </w:r>
      <w:r>
        <w:rPr>
          <w:rFonts w:hint="eastAsia"/>
          <w:color w:val="auto"/>
          <w:sz w:val="24"/>
          <w:highlight w:val="none"/>
        </w:rPr>
        <w:t xml:space="preserve">   地下水污染防渗分区参照表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559"/>
        <w:gridCol w:w="1134"/>
        <w:gridCol w:w="1701"/>
        <w:gridCol w:w="2739"/>
      </w:tblGrid>
      <w:tr w14:paraId="6818B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tcBorders>
              <w:tl2br w:val="nil"/>
              <w:tr2bl w:val="nil"/>
            </w:tcBorders>
            <w:noWrap w:val="0"/>
            <w:vAlign w:val="center"/>
          </w:tcPr>
          <w:p w14:paraId="4D09149F">
            <w:pPr>
              <w:pStyle w:val="245"/>
              <w:spacing w:line="240" w:lineRule="auto"/>
              <w:jc w:val="center"/>
              <w:rPr>
                <w:rFonts w:hint="eastAsia"/>
                <w:color w:val="auto"/>
                <w:highlight w:val="none"/>
              </w:rPr>
            </w:pPr>
            <w:r>
              <w:rPr>
                <w:rFonts w:hint="eastAsia"/>
                <w:color w:val="auto"/>
                <w:highlight w:val="none"/>
              </w:rPr>
              <w:t>防渗区域</w:t>
            </w:r>
          </w:p>
        </w:tc>
        <w:tc>
          <w:tcPr>
            <w:tcW w:w="1559" w:type="dxa"/>
            <w:tcBorders>
              <w:tl2br w:val="nil"/>
              <w:tr2bl w:val="nil"/>
            </w:tcBorders>
            <w:noWrap w:val="0"/>
            <w:vAlign w:val="center"/>
          </w:tcPr>
          <w:p w14:paraId="75FCD60A">
            <w:pPr>
              <w:pStyle w:val="245"/>
              <w:spacing w:line="240" w:lineRule="auto"/>
              <w:jc w:val="center"/>
              <w:rPr>
                <w:rFonts w:hint="eastAsia"/>
                <w:color w:val="auto"/>
                <w:highlight w:val="none"/>
              </w:rPr>
            </w:pPr>
            <w:r>
              <w:rPr>
                <w:rFonts w:hint="eastAsia"/>
                <w:color w:val="auto"/>
                <w:highlight w:val="none"/>
              </w:rPr>
              <w:t>天然包气带</w:t>
            </w:r>
          </w:p>
          <w:p w14:paraId="3D0C5EB6">
            <w:pPr>
              <w:pStyle w:val="245"/>
              <w:spacing w:line="240" w:lineRule="auto"/>
              <w:jc w:val="center"/>
              <w:rPr>
                <w:rFonts w:hint="eastAsia"/>
                <w:color w:val="auto"/>
                <w:highlight w:val="none"/>
              </w:rPr>
            </w:pPr>
            <w:r>
              <w:rPr>
                <w:rFonts w:hint="eastAsia"/>
                <w:color w:val="auto"/>
                <w:highlight w:val="none"/>
              </w:rPr>
              <w:t>防污性能</w:t>
            </w:r>
          </w:p>
        </w:tc>
        <w:tc>
          <w:tcPr>
            <w:tcW w:w="1134" w:type="dxa"/>
            <w:tcBorders>
              <w:tl2br w:val="nil"/>
              <w:tr2bl w:val="nil"/>
            </w:tcBorders>
            <w:noWrap w:val="0"/>
            <w:vAlign w:val="center"/>
          </w:tcPr>
          <w:p w14:paraId="6924D109">
            <w:pPr>
              <w:pStyle w:val="245"/>
              <w:spacing w:line="240" w:lineRule="auto"/>
              <w:jc w:val="center"/>
              <w:rPr>
                <w:rFonts w:hint="eastAsia"/>
                <w:color w:val="auto"/>
                <w:highlight w:val="none"/>
              </w:rPr>
            </w:pPr>
            <w:r>
              <w:rPr>
                <w:rFonts w:hint="eastAsia"/>
                <w:color w:val="auto"/>
                <w:highlight w:val="none"/>
              </w:rPr>
              <w:t>污染控制难易程度</w:t>
            </w:r>
          </w:p>
        </w:tc>
        <w:tc>
          <w:tcPr>
            <w:tcW w:w="1701" w:type="dxa"/>
            <w:tcBorders>
              <w:tl2br w:val="nil"/>
              <w:tr2bl w:val="nil"/>
            </w:tcBorders>
            <w:noWrap w:val="0"/>
            <w:vAlign w:val="center"/>
          </w:tcPr>
          <w:p w14:paraId="22A593CA">
            <w:pPr>
              <w:pStyle w:val="245"/>
              <w:spacing w:line="240" w:lineRule="auto"/>
              <w:jc w:val="center"/>
              <w:rPr>
                <w:rFonts w:hint="eastAsia"/>
                <w:color w:val="auto"/>
                <w:highlight w:val="none"/>
              </w:rPr>
            </w:pPr>
            <w:r>
              <w:rPr>
                <w:rFonts w:hint="eastAsia"/>
                <w:color w:val="auto"/>
                <w:highlight w:val="none"/>
              </w:rPr>
              <w:t>污染物类型</w:t>
            </w:r>
          </w:p>
        </w:tc>
        <w:tc>
          <w:tcPr>
            <w:tcW w:w="2737" w:type="dxa"/>
            <w:tcBorders>
              <w:tl2br w:val="nil"/>
              <w:tr2bl w:val="nil"/>
            </w:tcBorders>
            <w:noWrap w:val="0"/>
            <w:vAlign w:val="center"/>
          </w:tcPr>
          <w:p w14:paraId="2206995A">
            <w:pPr>
              <w:pStyle w:val="245"/>
              <w:spacing w:line="240" w:lineRule="auto"/>
              <w:jc w:val="center"/>
              <w:rPr>
                <w:rFonts w:hint="eastAsia"/>
                <w:color w:val="auto"/>
                <w:highlight w:val="none"/>
              </w:rPr>
            </w:pPr>
            <w:r>
              <w:rPr>
                <w:rFonts w:hint="eastAsia"/>
                <w:color w:val="auto"/>
                <w:highlight w:val="none"/>
              </w:rPr>
              <w:t>污染防渗技术要求</w:t>
            </w:r>
          </w:p>
        </w:tc>
      </w:tr>
      <w:tr w14:paraId="21F02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tcBorders>
              <w:tl2br w:val="nil"/>
              <w:tr2bl w:val="nil"/>
            </w:tcBorders>
            <w:noWrap w:val="0"/>
            <w:vAlign w:val="center"/>
          </w:tcPr>
          <w:p w14:paraId="127F3EF4">
            <w:pPr>
              <w:pStyle w:val="245"/>
              <w:spacing w:line="240" w:lineRule="auto"/>
              <w:jc w:val="center"/>
              <w:rPr>
                <w:rFonts w:hint="eastAsia"/>
                <w:color w:val="auto"/>
                <w:highlight w:val="none"/>
              </w:rPr>
            </w:pPr>
            <w:r>
              <w:rPr>
                <w:rFonts w:hint="eastAsia"/>
                <w:color w:val="auto"/>
                <w:highlight w:val="none"/>
              </w:rPr>
              <w:t>重点防渗区</w:t>
            </w:r>
          </w:p>
        </w:tc>
        <w:tc>
          <w:tcPr>
            <w:tcW w:w="1559" w:type="dxa"/>
            <w:tcBorders>
              <w:tl2br w:val="nil"/>
              <w:tr2bl w:val="nil"/>
            </w:tcBorders>
            <w:noWrap w:val="0"/>
            <w:vAlign w:val="center"/>
          </w:tcPr>
          <w:p w14:paraId="330F00C0">
            <w:pPr>
              <w:pStyle w:val="245"/>
              <w:spacing w:line="240" w:lineRule="auto"/>
              <w:jc w:val="center"/>
              <w:rPr>
                <w:rFonts w:hint="eastAsia"/>
                <w:color w:val="auto"/>
                <w:highlight w:val="none"/>
              </w:rPr>
            </w:pPr>
            <w:r>
              <w:rPr>
                <w:rFonts w:hint="eastAsia"/>
                <w:color w:val="auto"/>
                <w:highlight w:val="none"/>
              </w:rPr>
              <w:t>弱</w:t>
            </w:r>
          </w:p>
        </w:tc>
        <w:tc>
          <w:tcPr>
            <w:tcW w:w="1134" w:type="dxa"/>
            <w:tcBorders>
              <w:tl2br w:val="nil"/>
              <w:tr2bl w:val="nil"/>
            </w:tcBorders>
            <w:noWrap w:val="0"/>
            <w:vAlign w:val="center"/>
          </w:tcPr>
          <w:p w14:paraId="25611BFD">
            <w:pPr>
              <w:pStyle w:val="245"/>
              <w:spacing w:line="240" w:lineRule="auto"/>
              <w:jc w:val="center"/>
              <w:rPr>
                <w:rFonts w:hint="eastAsia"/>
                <w:color w:val="auto"/>
                <w:highlight w:val="none"/>
              </w:rPr>
            </w:pPr>
            <w:r>
              <w:rPr>
                <w:rFonts w:hint="eastAsia"/>
                <w:color w:val="auto"/>
                <w:highlight w:val="none"/>
              </w:rPr>
              <w:t>难</w:t>
            </w:r>
          </w:p>
        </w:tc>
        <w:tc>
          <w:tcPr>
            <w:tcW w:w="1701" w:type="dxa"/>
            <w:vMerge w:val="restart"/>
            <w:tcBorders>
              <w:tl2br w:val="nil"/>
              <w:tr2bl w:val="nil"/>
            </w:tcBorders>
            <w:noWrap w:val="0"/>
            <w:vAlign w:val="center"/>
          </w:tcPr>
          <w:p w14:paraId="4421F190">
            <w:pPr>
              <w:pStyle w:val="245"/>
              <w:spacing w:line="240" w:lineRule="auto"/>
              <w:jc w:val="center"/>
              <w:rPr>
                <w:rFonts w:hint="eastAsia"/>
                <w:color w:val="auto"/>
                <w:highlight w:val="none"/>
              </w:rPr>
            </w:pPr>
            <w:r>
              <w:rPr>
                <w:rFonts w:hint="eastAsia"/>
                <w:b/>
                <w:bCs/>
                <w:color w:val="auto"/>
                <w:highlight w:val="none"/>
              </w:rPr>
              <w:t>重金属、持久性有机污染物</w:t>
            </w:r>
          </w:p>
        </w:tc>
        <w:tc>
          <w:tcPr>
            <w:tcW w:w="2737" w:type="dxa"/>
            <w:vMerge w:val="restart"/>
            <w:tcBorders>
              <w:tl2br w:val="nil"/>
              <w:tr2bl w:val="nil"/>
            </w:tcBorders>
            <w:noWrap w:val="0"/>
            <w:vAlign w:val="center"/>
          </w:tcPr>
          <w:p w14:paraId="25907814">
            <w:pPr>
              <w:pStyle w:val="245"/>
              <w:spacing w:line="240" w:lineRule="auto"/>
              <w:jc w:val="center"/>
              <w:rPr>
                <w:rFonts w:hint="eastAsia"/>
                <w:color w:val="auto"/>
                <w:highlight w:val="none"/>
              </w:rPr>
            </w:pPr>
            <w:r>
              <w:rPr>
                <w:rFonts w:hint="eastAsia"/>
                <w:color w:val="auto"/>
                <w:highlight w:val="none"/>
              </w:rPr>
              <w:t>等效黏土防渗层Mb≥6.0m，</w:t>
            </w:r>
          </w:p>
          <w:p w14:paraId="19871CBF">
            <w:pPr>
              <w:pStyle w:val="245"/>
              <w:spacing w:line="240" w:lineRule="auto"/>
              <w:jc w:val="center"/>
              <w:rPr>
                <w:rFonts w:hint="eastAsia"/>
                <w:color w:val="auto"/>
                <w:highlight w:val="none"/>
              </w:rPr>
            </w:pPr>
            <w:r>
              <w:rPr>
                <w:rFonts w:hint="eastAsia"/>
                <w:color w:val="auto"/>
                <w:highlight w:val="none"/>
              </w:rPr>
              <w:t>K≤1×10</w:t>
            </w:r>
            <w:r>
              <w:rPr>
                <w:rFonts w:hint="eastAsia"/>
                <w:color w:val="auto"/>
                <w:highlight w:val="none"/>
                <w:vertAlign w:val="superscript"/>
              </w:rPr>
              <w:t>-7</w:t>
            </w:r>
            <w:r>
              <w:rPr>
                <w:rFonts w:hint="eastAsia"/>
                <w:color w:val="auto"/>
                <w:highlight w:val="none"/>
              </w:rPr>
              <w:t>cm/s，</w:t>
            </w:r>
          </w:p>
          <w:p w14:paraId="7FF2259C">
            <w:pPr>
              <w:pStyle w:val="245"/>
              <w:spacing w:line="240" w:lineRule="auto"/>
              <w:jc w:val="center"/>
              <w:rPr>
                <w:rFonts w:hint="eastAsia"/>
                <w:color w:val="auto"/>
                <w:highlight w:val="none"/>
              </w:rPr>
            </w:pPr>
            <w:r>
              <w:rPr>
                <w:rFonts w:hint="eastAsia"/>
                <w:color w:val="auto"/>
                <w:highlight w:val="none"/>
              </w:rPr>
              <w:t>或参考GB18598执行</w:t>
            </w:r>
          </w:p>
        </w:tc>
      </w:tr>
      <w:tr w14:paraId="196C1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tcBorders>
              <w:tl2br w:val="nil"/>
              <w:tr2bl w:val="nil"/>
            </w:tcBorders>
            <w:noWrap w:val="0"/>
            <w:vAlign w:val="center"/>
          </w:tcPr>
          <w:p w14:paraId="42473E5C">
            <w:pPr>
              <w:pStyle w:val="245"/>
              <w:spacing w:line="240" w:lineRule="auto"/>
              <w:jc w:val="center"/>
              <w:rPr>
                <w:rFonts w:hint="eastAsia"/>
                <w:color w:val="auto"/>
                <w:highlight w:val="none"/>
              </w:rPr>
            </w:pPr>
          </w:p>
        </w:tc>
        <w:tc>
          <w:tcPr>
            <w:tcW w:w="1559" w:type="dxa"/>
            <w:tcBorders>
              <w:tl2br w:val="nil"/>
              <w:tr2bl w:val="nil"/>
            </w:tcBorders>
            <w:noWrap w:val="0"/>
            <w:vAlign w:val="center"/>
          </w:tcPr>
          <w:p w14:paraId="4FCD206A">
            <w:pPr>
              <w:pStyle w:val="245"/>
              <w:spacing w:line="240" w:lineRule="auto"/>
              <w:jc w:val="center"/>
              <w:rPr>
                <w:rFonts w:hint="eastAsia"/>
                <w:color w:val="auto"/>
                <w:highlight w:val="none"/>
              </w:rPr>
            </w:pPr>
            <w:r>
              <w:rPr>
                <w:rFonts w:hint="eastAsia"/>
                <w:color w:val="auto"/>
                <w:highlight w:val="none"/>
              </w:rPr>
              <w:t>中-强</w:t>
            </w:r>
          </w:p>
        </w:tc>
        <w:tc>
          <w:tcPr>
            <w:tcW w:w="1134" w:type="dxa"/>
            <w:tcBorders>
              <w:tl2br w:val="nil"/>
              <w:tr2bl w:val="nil"/>
            </w:tcBorders>
            <w:noWrap w:val="0"/>
            <w:vAlign w:val="center"/>
          </w:tcPr>
          <w:p w14:paraId="08CFB9AC">
            <w:pPr>
              <w:pStyle w:val="245"/>
              <w:spacing w:line="240" w:lineRule="auto"/>
              <w:jc w:val="center"/>
              <w:rPr>
                <w:rFonts w:hint="eastAsia"/>
                <w:color w:val="auto"/>
                <w:highlight w:val="none"/>
              </w:rPr>
            </w:pPr>
            <w:r>
              <w:rPr>
                <w:rFonts w:hint="eastAsia"/>
                <w:color w:val="auto"/>
                <w:highlight w:val="none"/>
              </w:rPr>
              <w:t>难</w:t>
            </w:r>
          </w:p>
        </w:tc>
        <w:tc>
          <w:tcPr>
            <w:tcW w:w="1701" w:type="dxa"/>
            <w:vMerge w:val="continue"/>
            <w:tcBorders>
              <w:tl2br w:val="nil"/>
              <w:tr2bl w:val="nil"/>
            </w:tcBorders>
            <w:noWrap w:val="0"/>
            <w:vAlign w:val="center"/>
          </w:tcPr>
          <w:p w14:paraId="6DBAB970">
            <w:pPr>
              <w:pStyle w:val="245"/>
              <w:spacing w:line="240" w:lineRule="auto"/>
              <w:jc w:val="center"/>
              <w:rPr>
                <w:rFonts w:hint="eastAsia"/>
                <w:color w:val="auto"/>
                <w:highlight w:val="none"/>
              </w:rPr>
            </w:pPr>
          </w:p>
        </w:tc>
        <w:tc>
          <w:tcPr>
            <w:tcW w:w="2737" w:type="dxa"/>
            <w:vMerge w:val="continue"/>
            <w:tcBorders>
              <w:tl2br w:val="nil"/>
              <w:tr2bl w:val="nil"/>
            </w:tcBorders>
            <w:noWrap w:val="0"/>
            <w:vAlign w:val="center"/>
          </w:tcPr>
          <w:p w14:paraId="26479CAC">
            <w:pPr>
              <w:pStyle w:val="245"/>
              <w:spacing w:line="240" w:lineRule="auto"/>
              <w:jc w:val="center"/>
              <w:rPr>
                <w:rFonts w:hint="eastAsia"/>
                <w:color w:val="auto"/>
                <w:highlight w:val="none"/>
              </w:rPr>
            </w:pPr>
          </w:p>
        </w:tc>
      </w:tr>
      <w:tr w14:paraId="19880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tcBorders>
              <w:tl2br w:val="nil"/>
              <w:tr2bl w:val="nil"/>
            </w:tcBorders>
            <w:noWrap w:val="0"/>
            <w:vAlign w:val="center"/>
          </w:tcPr>
          <w:p w14:paraId="6465A89B">
            <w:pPr>
              <w:pStyle w:val="245"/>
              <w:spacing w:line="240" w:lineRule="auto"/>
              <w:jc w:val="center"/>
              <w:rPr>
                <w:rFonts w:hint="eastAsia"/>
                <w:color w:val="auto"/>
                <w:highlight w:val="none"/>
              </w:rPr>
            </w:pPr>
          </w:p>
        </w:tc>
        <w:tc>
          <w:tcPr>
            <w:tcW w:w="1559" w:type="dxa"/>
            <w:tcBorders>
              <w:tl2br w:val="nil"/>
              <w:tr2bl w:val="nil"/>
            </w:tcBorders>
            <w:noWrap w:val="0"/>
            <w:vAlign w:val="center"/>
          </w:tcPr>
          <w:p w14:paraId="3205FDA7">
            <w:pPr>
              <w:pStyle w:val="245"/>
              <w:spacing w:line="240" w:lineRule="auto"/>
              <w:jc w:val="center"/>
              <w:rPr>
                <w:rFonts w:hint="eastAsia"/>
                <w:b/>
                <w:bCs/>
                <w:color w:val="auto"/>
                <w:highlight w:val="none"/>
              </w:rPr>
            </w:pPr>
            <w:r>
              <w:rPr>
                <w:rFonts w:hint="eastAsia"/>
                <w:b/>
                <w:bCs/>
                <w:color w:val="auto"/>
                <w:highlight w:val="none"/>
              </w:rPr>
              <w:t>弱</w:t>
            </w:r>
          </w:p>
        </w:tc>
        <w:tc>
          <w:tcPr>
            <w:tcW w:w="1134" w:type="dxa"/>
            <w:tcBorders>
              <w:tl2br w:val="nil"/>
              <w:tr2bl w:val="nil"/>
            </w:tcBorders>
            <w:noWrap w:val="0"/>
            <w:vAlign w:val="center"/>
          </w:tcPr>
          <w:p w14:paraId="09995E6B">
            <w:pPr>
              <w:pStyle w:val="245"/>
              <w:spacing w:line="240" w:lineRule="auto"/>
              <w:jc w:val="center"/>
              <w:rPr>
                <w:rFonts w:hint="eastAsia"/>
                <w:b/>
                <w:bCs/>
                <w:color w:val="auto"/>
                <w:highlight w:val="none"/>
              </w:rPr>
            </w:pPr>
            <w:r>
              <w:rPr>
                <w:rFonts w:hint="eastAsia"/>
                <w:b/>
                <w:bCs/>
                <w:color w:val="auto"/>
                <w:highlight w:val="none"/>
              </w:rPr>
              <w:t>易</w:t>
            </w:r>
          </w:p>
        </w:tc>
        <w:tc>
          <w:tcPr>
            <w:tcW w:w="1701" w:type="dxa"/>
            <w:vMerge w:val="continue"/>
            <w:tcBorders>
              <w:tl2br w:val="nil"/>
              <w:tr2bl w:val="nil"/>
            </w:tcBorders>
            <w:noWrap w:val="0"/>
            <w:vAlign w:val="center"/>
          </w:tcPr>
          <w:p w14:paraId="515DF5C0">
            <w:pPr>
              <w:pStyle w:val="245"/>
              <w:spacing w:line="240" w:lineRule="auto"/>
              <w:jc w:val="center"/>
              <w:rPr>
                <w:rFonts w:hint="eastAsia"/>
                <w:color w:val="auto"/>
                <w:highlight w:val="none"/>
              </w:rPr>
            </w:pPr>
          </w:p>
        </w:tc>
        <w:tc>
          <w:tcPr>
            <w:tcW w:w="2737" w:type="dxa"/>
            <w:vMerge w:val="continue"/>
            <w:tcBorders>
              <w:tl2br w:val="nil"/>
              <w:tr2bl w:val="nil"/>
            </w:tcBorders>
            <w:noWrap w:val="0"/>
            <w:vAlign w:val="center"/>
          </w:tcPr>
          <w:p w14:paraId="4515D7C8">
            <w:pPr>
              <w:pStyle w:val="245"/>
              <w:spacing w:line="240" w:lineRule="auto"/>
              <w:jc w:val="center"/>
              <w:rPr>
                <w:rFonts w:hint="eastAsia"/>
                <w:color w:val="auto"/>
                <w:highlight w:val="none"/>
              </w:rPr>
            </w:pPr>
          </w:p>
        </w:tc>
      </w:tr>
      <w:tr w14:paraId="63706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tcBorders>
              <w:tl2br w:val="nil"/>
              <w:tr2bl w:val="nil"/>
            </w:tcBorders>
            <w:noWrap w:val="0"/>
            <w:vAlign w:val="center"/>
          </w:tcPr>
          <w:p w14:paraId="741A7A33">
            <w:pPr>
              <w:pStyle w:val="245"/>
              <w:spacing w:line="240" w:lineRule="auto"/>
              <w:jc w:val="center"/>
              <w:rPr>
                <w:rFonts w:hint="eastAsia"/>
                <w:color w:val="auto"/>
                <w:highlight w:val="none"/>
              </w:rPr>
            </w:pPr>
            <w:r>
              <w:rPr>
                <w:rFonts w:hint="eastAsia"/>
                <w:color w:val="auto"/>
                <w:highlight w:val="none"/>
              </w:rPr>
              <w:t>一般防渗区</w:t>
            </w:r>
          </w:p>
        </w:tc>
        <w:tc>
          <w:tcPr>
            <w:tcW w:w="1559" w:type="dxa"/>
            <w:tcBorders>
              <w:tl2br w:val="nil"/>
              <w:tr2bl w:val="nil"/>
            </w:tcBorders>
            <w:noWrap w:val="0"/>
            <w:vAlign w:val="center"/>
          </w:tcPr>
          <w:p w14:paraId="737E930D">
            <w:pPr>
              <w:pStyle w:val="245"/>
              <w:spacing w:line="240" w:lineRule="auto"/>
              <w:jc w:val="center"/>
              <w:rPr>
                <w:rFonts w:hint="eastAsia"/>
                <w:b/>
                <w:bCs/>
                <w:color w:val="auto"/>
                <w:highlight w:val="none"/>
              </w:rPr>
            </w:pPr>
            <w:r>
              <w:rPr>
                <w:rFonts w:hint="eastAsia"/>
                <w:b/>
                <w:bCs/>
                <w:color w:val="auto"/>
                <w:highlight w:val="none"/>
              </w:rPr>
              <w:t>弱</w:t>
            </w:r>
          </w:p>
        </w:tc>
        <w:tc>
          <w:tcPr>
            <w:tcW w:w="1134" w:type="dxa"/>
            <w:tcBorders>
              <w:tl2br w:val="nil"/>
              <w:tr2bl w:val="nil"/>
            </w:tcBorders>
            <w:noWrap w:val="0"/>
            <w:vAlign w:val="center"/>
          </w:tcPr>
          <w:p w14:paraId="018A8142">
            <w:pPr>
              <w:pStyle w:val="245"/>
              <w:spacing w:line="240" w:lineRule="auto"/>
              <w:jc w:val="center"/>
              <w:rPr>
                <w:rFonts w:hint="eastAsia"/>
                <w:b/>
                <w:bCs/>
                <w:color w:val="auto"/>
                <w:highlight w:val="none"/>
              </w:rPr>
            </w:pPr>
            <w:r>
              <w:rPr>
                <w:rFonts w:hint="eastAsia"/>
                <w:b/>
                <w:bCs/>
                <w:color w:val="auto"/>
                <w:highlight w:val="none"/>
              </w:rPr>
              <w:t>易-难</w:t>
            </w:r>
          </w:p>
        </w:tc>
        <w:tc>
          <w:tcPr>
            <w:tcW w:w="1701" w:type="dxa"/>
            <w:vMerge w:val="restart"/>
            <w:tcBorders>
              <w:tl2br w:val="nil"/>
              <w:tr2bl w:val="nil"/>
            </w:tcBorders>
            <w:noWrap w:val="0"/>
            <w:vAlign w:val="center"/>
          </w:tcPr>
          <w:p w14:paraId="2126BDF5">
            <w:pPr>
              <w:pStyle w:val="245"/>
              <w:spacing w:line="240" w:lineRule="auto"/>
              <w:jc w:val="center"/>
              <w:rPr>
                <w:rFonts w:hint="eastAsia"/>
                <w:color w:val="auto"/>
                <w:highlight w:val="none"/>
              </w:rPr>
            </w:pPr>
            <w:r>
              <w:rPr>
                <w:rFonts w:hint="eastAsia"/>
                <w:b/>
                <w:bCs/>
                <w:color w:val="auto"/>
                <w:highlight w:val="none"/>
              </w:rPr>
              <w:t>其他类型</w:t>
            </w:r>
          </w:p>
        </w:tc>
        <w:tc>
          <w:tcPr>
            <w:tcW w:w="2737" w:type="dxa"/>
            <w:vMerge w:val="restart"/>
            <w:tcBorders>
              <w:tl2br w:val="nil"/>
              <w:tr2bl w:val="nil"/>
            </w:tcBorders>
            <w:noWrap w:val="0"/>
            <w:vAlign w:val="center"/>
          </w:tcPr>
          <w:p w14:paraId="4597085C">
            <w:pPr>
              <w:pStyle w:val="245"/>
              <w:spacing w:line="240" w:lineRule="auto"/>
              <w:jc w:val="center"/>
              <w:rPr>
                <w:rFonts w:hint="eastAsia"/>
                <w:color w:val="auto"/>
                <w:highlight w:val="none"/>
              </w:rPr>
            </w:pPr>
            <w:r>
              <w:rPr>
                <w:rFonts w:hint="eastAsia"/>
                <w:color w:val="auto"/>
                <w:highlight w:val="none"/>
              </w:rPr>
              <w:t>等效粘土防渗层Mb≥1.5m，</w:t>
            </w:r>
          </w:p>
          <w:p w14:paraId="1386F45C">
            <w:pPr>
              <w:pStyle w:val="245"/>
              <w:spacing w:line="240" w:lineRule="auto"/>
              <w:jc w:val="center"/>
              <w:rPr>
                <w:rFonts w:hint="eastAsia"/>
                <w:color w:val="auto"/>
                <w:highlight w:val="none"/>
              </w:rPr>
            </w:pPr>
            <w:r>
              <w:rPr>
                <w:rFonts w:hint="eastAsia"/>
                <w:color w:val="auto"/>
                <w:highlight w:val="none"/>
              </w:rPr>
              <w:t>K≤1×10</w:t>
            </w:r>
            <w:r>
              <w:rPr>
                <w:rFonts w:hint="eastAsia"/>
                <w:color w:val="auto"/>
                <w:highlight w:val="none"/>
                <w:vertAlign w:val="superscript"/>
              </w:rPr>
              <w:t>-7</w:t>
            </w:r>
            <w:r>
              <w:rPr>
                <w:rFonts w:hint="eastAsia"/>
                <w:color w:val="auto"/>
                <w:highlight w:val="none"/>
              </w:rPr>
              <w:t>cm/s，</w:t>
            </w:r>
          </w:p>
          <w:p w14:paraId="7B79C605">
            <w:pPr>
              <w:pStyle w:val="245"/>
              <w:spacing w:line="240" w:lineRule="auto"/>
              <w:jc w:val="center"/>
              <w:rPr>
                <w:rFonts w:hint="eastAsia"/>
                <w:color w:val="auto"/>
                <w:highlight w:val="none"/>
              </w:rPr>
            </w:pPr>
            <w:r>
              <w:rPr>
                <w:rFonts w:hint="eastAsia"/>
                <w:color w:val="auto"/>
                <w:highlight w:val="none"/>
              </w:rPr>
              <w:t>或参考GB16889 执行</w:t>
            </w:r>
          </w:p>
        </w:tc>
      </w:tr>
      <w:tr w14:paraId="79070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tcBorders>
              <w:tl2br w:val="nil"/>
              <w:tr2bl w:val="nil"/>
            </w:tcBorders>
            <w:noWrap w:val="0"/>
            <w:vAlign w:val="center"/>
          </w:tcPr>
          <w:p w14:paraId="334C5A80">
            <w:pPr>
              <w:pStyle w:val="245"/>
              <w:spacing w:line="240" w:lineRule="auto"/>
              <w:jc w:val="center"/>
              <w:rPr>
                <w:rFonts w:hint="eastAsia"/>
                <w:color w:val="auto"/>
                <w:highlight w:val="none"/>
              </w:rPr>
            </w:pPr>
          </w:p>
        </w:tc>
        <w:tc>
          <w:tcPr>
            <w:tcW w:w="1559" w:type="dxa"/>
            <w:tcBorders>
              <w:tl2br w:val="nil"/>
              <w:tr2bl w:val="nil"/>
            </w:tcBorders>
            <w:noWrap w:val="0"/>
            <w:vAlign w:val="center"/>
          </w:tcPr>
          <w:p w14:paraId="5E9E3116">
            <w:pPr>
              <w:pStyle w:val="245"/>
              <w:spacing w:line="240" w:lineRule="auto"/>
              <w:jc w:val="center"/>
              <w:rPr>
                <w:rFonts w:hint="eastAsia"/>
                <w:color w:val="auto"/>
                <w:highlight w:val="none"/>
              </w:rPr>
            </w:pPr>
            <w:r>
              <w:rPr>
                <w:rFonts w:hint="eastAsia"/>
                <w:color w:val="auto"/>
                <w:highlight w:val="none"/>
              </w:rPr>
              <w:t>中-强</w:t>
            </w:r>
          </w:p>
        </w:tc>
        <w:tc>
          <w:tcPr>
            <w:tcW w:w="1134" w:type="dxa"/>
            <w:tcBorders>
              <w:tl2br w:val="nil"/>
              <w:tr2bl w:val="nil"/>
            </w:tcBorders>
            <w:noWrap w:val="0"/>
            <w:vAlign w:val="center"/>
          </w:tcPr>
          <w:p w14:paraId="6397FEA7">
            <w:pPr>
              <w:pStyle w:val="245"/>
              <w:spacing w:line="240" w:lineRule="auto"/>
              <w:jc w:val="center"/>
              <w:rPr>
                <w:rFonts w:hint="eastAsia"/>
                <w:color w:val="auto"/>
                <w:highlight w:val="none"/>
              </w:rPr>
            </w:pPr>
            <w:r>
              <w:rPr>
                <w:rFonts w:hint="eastAsia"/>
                <w:color w:val="auto"/>
                <w:highlight w:val="none"/>
              </w:rPr>
              <w:t>难</w:t>
            </w:r>
          </w:p>
        </w:tc>
        <w:tc>
          <w:tcPr>
            <w:tcW w:w="1701" w:type="dxa"/>
            <w:vMerge w:val="continue"/>
            <w:tcBorders>
              <w:tl2br w:val="nil"/>
              <w:tr2bl w:val="nil"/>
            </w:tcBorders>
            <w:noWrap w:val="0"/>
            <w:vAlign w:val="center"/>
          </w:tcPr>
          <w:p w14:paraId="2E2CA383">
            <w:pPr>
              <w:pStyle w:val="245"/>
              <w:spacing w:line="240" w:lineRule="auto"/>
              <w:jc w:val="center"/>
              <w:rPr>
                <w:rFonts w:hint="eastAsia"/>
                <w:color w:val="auto"/>
                <w:highlight w:val="none"/>
              </w:rPr>
            </w:pPr>
          </w:p>
        </w:tc>
        <w:tc>
          <w:tcPr>
            <w:tcW w:w="2737" w:type="dxa"/>
            <w:vMerge w:val="continue"/>
            <w:tcBorders>
              <w:tl2br w:val="nil"/>
              <w:tr2bl w:val="nil"/>
            </w:tcBorders>
            <w:noWrap w:val="0"/>
            <w:vAlign w:val="center"/>
          </w:tcPr>
          <w:p w14:paraId="584DB11D">
            <w:pPr>
              <w:pStyle w:val="245"/>
              <w:spacing w:line="240" w:lineRule="auto"/>
              <w:jc w:val="center"/>
              <w:rPr>
                <w:rFonts w:hint="eastAsia"/>
                <w:color w:val="auto"/>
                <w:highlight w:val="none"/>
              </w:rPr>
            </w:pPr>
          </w:p>
        </w:tc>
      </w:tr>
      <w:tr w14:paraId="60ADD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tcBorders>
              <w:tl2br w:val="nil"/>
              <w:tr2bl w:val="nil"/>
            </w:tcBorders>
            <w:noWrap w:val="0"/>
            <w:vAlign w:val="center"/>
          </w:tcPr>
          <w:p w14:paraId="177E6EA3">
            <w:pPr>
              <w:pStyle w:val="245"/>
              <w:spacing w:line="240" w:lineRule="auto"/>
              <w:jc w:val="center"/>
              <w:rPr>
                <w:rFonts w:hint="eastAsia"/>
                <w:color w:val="auto"/>
                <w:highlight w:val="none"/>
              </w:rPr>
            </w:pPr>
          </w:p>
        </w:tc>
        <w:tc>
          <w:tcPr>
            <w:tcW w:w="1559" w:type="dxa"/>
            <w:tcBorders>
              <w:tl2br w:val="nil"/>
              <w:tr2bl w:val="nil"/>
            </w:tcBorders>
            <w:noWrap w:val="0"/>
            <w:vAlign w:val="center"/>
          </w:tcPr>
          <w:p w14:paraId="068821B3">
            <w:pPr>
              <w:pStyle w:val="245"/>
              <w:spacing w:line="240" w:lineRule="auto"/>
              <w:jc w:val="center"/>
              <w:rPr>
                <w:rFonts w:hint="eastAsia"/>
                <w:color w:val="auto"/>
                <w:highlight w:val="none"/>
              </w:rPr>
            </w:pPr>
            <w:r>
              <w:rPr>
                <w:rFonts w:hint="eastAsia"/>
                <w:color w:val="auto"/>
                <w:highlight w:val="none"/>
              </w:rPr>
              <w:t>中</w:t>
            </w:r>
          </w:p>
        </w:tc>
        <w:tc>
          <w:tcPr>
            <w:tcW w:w="1134" w:type="dxa"/>
            <w:tcBorders>
              <w:tl2br w:val="nil"/>
              <w:tr2bl w:val="nil"/>
            </w:tcBorders>
            <w:noWrap w:val="0"/>
            <w:vAlign w:val="center"/>
          </w:tcPr>
          <w:p w14:paraId="333EAE26">
            <w:pPr>
              <w:pStyle w:val="245"/>
              <w:spacing w:line="240" w:lineRule="auto"/>
              <w:jc w:val="center"/>
              <w:rPr>
                <w:rFonts w:hint="eastAsia"/>
                <w:color w:val="auto"/>
                <w:highlight w:val="none"/>
              </w:rPr>
            </w:pPr>
            <w:r>
              <w:rPr>
                <w:rFonts w:hint="eastAsia"/>
                <w:color w:val="auto"/>
                <w:highlight w:val="none"/>
              </w:rPr>
              <w:t>易</w:t>
            </w:r>
          </w:p>
        </w:tc>
        <w:tc>
          <w:tcPr>
            <w:tcW w:w="1701" w:type="dxa"/>
            <w:vMerge w:val="restart"/>
            <w:tcBorders>
              <w:tl2br w:val="nil"/>
              <w:tr2bl w:val="nil"/>
            </w:tcBorders>
            <w:noWrap w:val="0"/>
            <w:vAlign w:val="center"/>
          </w:tcPr>
          <w:p w14:paraId="766915FB">
            <w:pPr>
              <w:pStyle w:val="245"/>
              <w:spacing w:line="240" w:lineRule="auto"/>
              <w:jc w:val="center"/>
              <w:rPr>
                <w:rFonts w:hint="eastAsia"/>
                <w:color w:val="auto"/>
                <w:highlight w:val="none"/>
              </w:rPr>
            </w:pPr>
            <w:r>
              <w:rPr>
                <w:rFonts w:hint="eastAsia"/>
                <w:color w:val="auto"/>
                <w:highlight w:val="none"/>
              </w:rPr>
              <w:t>重金属、持久性有机污染物</w:t>
            </w:r>
          </w:p>
        </w:tc>
        <w:tc>
          <w:tcPr>
            <w:tcW w:w="2737" w:type="dxa"/>
            <w:vMerge w:val="continue"/>
            <w:tcBorders>
              <w:tl2br w:val="nil"/>
              <w:tr2bl w:val="nil"/>
            </w:tcBorders>
            <w:noWrap w:val="0"/>
            <w:vAlign w:val="center"/>
          </w:tcPr>
          <w:p w14:paraId="7C97AFB1">
            <w:pPr>
              <w:pStyle w:val="245"/>
              <w:spacing w:line="240" w:lineRule="auto"/>
              <w:jc w:val="center"/>
              <w:rPr>
                <w:rFonts w:hint="eastAsia"/>
                <w:color w:val="auto"/>
                <w:highlight w:val="none"/>
              </w:rPr>
            </w:pPr>
          </w:p>
        </w:tc>
      </w:tr>
      <w:tr w14:paraId="30C55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tcBorders>
              <w:tl2br w:val="nil"/>
              <w:tr2bl w:val="nil"/>
            </w:tcBorders>
            <w:noWrap w:val="0"/>
            <w:vAlign w:val="center"/>
          </w:tcPr>
          <w:p w14:paraId="076143C5">
            <w:pPr>
              <w:pStyle w:val="245"/>
              <w:spacing w:line="240" w:lineRule="auto"/>
              <w:jc w:val="center"/>
              <w:rPr>
                <w:rFonts w:hint="eastAsia"/>
                <w:color w:val="auto"/>
                <w:highlight w:val="none"/>
              </w:rPr>
            </w:pPr>
          </w:p>
        </w:tc>
        <w:tc>
          <w:tcPr>
            <w:tcW w:w="1559" w:type="dxa"/>
            <w:tcBorders>
              <w:tl2br w:val="nil"/>
              <w:tr2bl w:val="nil"/>
            </w:tcBorders>
            <w:noWrap w:val="0"/>
            <w:vAlign w:val="center"/>
          </w:tcPr>
          <w:p w14:paraId="43256797">
            <w:pPr>
              <w:pStyle w:val="245"/>
              <w:spacing w:line="240" w:lineRule="auto"/>
              <w:jc w:val="center"/>
              <w:rPr>
                <w:rFonts w:hint="eastAsia"/>
                <w:color w:val="auto"/>
                <w:highlight w:val="none"/>
              </w:rPr>
            </w:pPr>
            <w:r>
              <w:rPr>
                <w:rFonts w:hint="eastAsia"/>
                <w:color w:val="auto"/>
                <w:highlight w:val="none"/>
              </w:rPr>
              <w:t>强</w:t>
            </w:r>
          </w:p>
        </w:tc>
        <w:tc>
          <w:tcPr>
            <w:tcW w:w="1134" w:type="dxa"/>
            <w:tcBorders>
              <w:tl2br w:val="nil"/>
              <w:tr2bl w:val="nil"/>
            </w:tcBorders>
            <w:noWrap w:val="0"/>
            <w:vAlign w:val="center"/>
          </w:tcPr>
          <w:p w14:paraId="74BE4058">
            <w:pPr>
              <w:pStyle w:val="245"/>
              <w:spacing w:line="240" w:lineRule="auto"/>
              <w:jc w:val="center"/>
              <w:rPr>
                <w:rFonts w:hint="eastAsia"/>
                <w:color w:val="auto"/>
                <w:highlight w:val="none"/>
              </w:rPr>
            </w:pPr>
            <w:r>
              <w:rPr>
                <w:rFonts w:hint="eastAsia"/>
                <w:color w:val="auto"/>
                <w:highlight w:val="none"/>
              </w:rPr>
              <w:t>易</w:t>
            </w:r>
          </w:p>
        </w:tc>
        <w:tc>
          <w:tcPr>
            <w:tcW w:w="1701" w:type="dxa"/>
            <w:vMerge w:val="continue"/>
            <w:tcBorders>
              <w:tl2br w:val="nil"/>
              <w:tr2bl w:val="nil"/>
            </w:tcBorders>
            <w:noWrap w:val="0"/>
            <w:vAlign w:val="center"/>
          </w:tcPr>
          <w:p w14:paraId="5481AD80">
            <w:pPr>
              <w:pStyle w:val="245"/>
              <w:spacing w:line="240" w:lineRule="auto"/>
              <w:jc w:val="center"/>
              <w:rPr>
                <w:rFonts w:hint="eastAsia"/>
                <w:color w:val="auto"/>
                <w:highlight w:val="none"/>
              </w:rPr>
            </w:pPr>
          </w:p>
        </w:tc>
        <w:tc>
          <w:tcPr>
            <w:tcW w:w="2737" w:type="dxa"/>
            <w:vMerge w:val="continue"/>
            <w:tcBorders>
              <w:tl2br w:val="nil"/>
              <w:tr2bl w:val="nil"/>
            </w:tcBorders>
            <w:noWrap w:val="0"/>
            <w:vAlign w:val="center"/>
          </w:tcPr>
          <w:p w14:paraId="33EC07E8">
            <w:pPr>
              <w:pStyle w:val="245"/>
              <w:spacing w:line="240" w:lineRule="auto"/>
              <w:jc w:val="center"/>
              <w:rPr>
                <w:rFonts w:hint="eastAsia"/>
                <w:color w:val="auto"/>
                <w:highlight w:val="none"/>
              </w:rPr>
            </w:pPr>
          </w:p>
        </w:tc>
      </w:tr>
      <w:tr w14:paraId="67891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tcBorders>
              <w:tl2br w:val="nil"/>
              <w:tr2bl w:val="nil"/>
            </w:tcBorders>
            <w:noWrap w:val="0"/>
            <w:vAlign w:val="center"/>
          </w:tcPr>
          <w:p w14:paraId="22B4A534">
            <w:pPr>
              <w:pStyle w:val="245"/>
              <w:spacing w:line="240" w:lineRule="auto"/>
              <w:jc w:val="center"/>
              <w:rPr>
                <w:rFonts w:hint="eastAsia"/>
                <w:color w:val="auto"/>
                <w:highlight w:val="none"/>
              </w:rPr>
            </w:pPr>
            <w:r>
              <w:rPr>
                <w:rFonts w:hint="eastAsia"/>
                <w:color w:val="auto"/>
                <w:highlight w:val="none"/>
              </w:rPr>
              <w:t>简单防渗区</w:t>
            </w:r>
          </w:p>
        </w:tc>
        <w:tc>
          <w:tcPr>
            <w:tcW w:w="1559" w:type="dxa"/>
            <w:tcBorders>
              <w:tl2br w:val="nil"/>
              <w:tr2bl w:val="nil"/>
            </w:tcBorders>
            <w:noWrap w:val="0"/>
            <w:vAlign w:val="center"/>
          </w:tcPr>
          <w:p w14:paraId="5135D764">
            <w:pPr>
              <w:pStyle w:val="245"/>
              <w:spacing w:line="240" w:lineRule="auto"/>
              <w:jc w:val="center"/>
              <w:rPr>
                <w:rFonts w:hint="eastAsia"/>
                <w:color w:val="auto"/>
                <w:highlight w:val="none"/>
              </w:rPr>
            </w:pPr>
            <w:r>
              <w:rPr>
                <w:rFonts w:hint="eastAsia"/>
                <w:color w:val="auto"/>
                <w:highlight w:val="none"/>
              </w:rPr>
              <w:t>中-强</w:t>
            </w:r>
          </w:p>
        </w:tc>
        <w:tc>
          <w:tcPr>
            <w:tcW w:w="1134" w:type="dxa"/>
            <w:tcBorders>
              <w:tl2br w:val="nil"/>
              <w:tr2bl w:val="nil"/>
            </w:tcBorders>
            <w:noWrap w:val="0"/>
            <w:vAlign w:val="center"/>
          </w:tcPr>
          <w:p w14:paraId="4228CA96">
            <w:pPr>
              <w:pStyle w:val="245"/>
              <w:spacing w:line="240" w:lineRule="auto"/>
              <w:jc w:val="center"/>
              <w:rPr>
                <w:rFonts w:hint="eastAsia"/>
                <w:color w:val="auto"/>
                <w:highlight w:val="none"/>
              </w:rPr>
            </w:pPr>
            <w:r>
              <w:rPr>
                <w:rFonts w:hint="eastAsia"/>
                <w:color w:val="auto"/>
                <w:highlight w:val="none"/>
              </w:rPr>
              <w:t>易</w:t>
            </w:r>
          </w:p>
        </w:tc>
        <w:tc>
          <w:tcPr>
            <w:tcW w:w="1701" w:type="dxa"/>
            <w:tcBorders>
              <w:tl2br w:val="nil"/>
              <w:tr2bl w:val="nil"/>
            </w:tcBorders>
            <w:noWrap w:val="0"/>
            <w:vAlign w:val="center"/>
          </w:tcPr>
          <w:p w14:paraId="5651C20D">
            <w:pPr>
              <w:pStyle w:val="245"/>
              <w:spacing w:line="240" w:lineRule="auto"/>
              <w:jc w:val="center"/>
              <w:rPr>
                <w:rFonts w:hint="eastAsia"/>
                <w:color w:val="auto"/>
                <w:highlight w:val="none"/>
              </w:rPr>
            </w:pPr>
            <w:r>
              <w:rPr>
                <w:rFonts w:hint="eastAsia"/>
                <w:color w:val="auto"/>
                <w:highlight w:val="none"/>
              </w:rPr>
              <w:t>其他类型</w:t>
            </w:r>
          </w:p>
        </w:tc>
        <w:tc>
          <w:tcPr>
            <w:tcW w:w="2737" w:type="dxa"/>
            <w:tcBorders>
              <w:tl2br w:val="nil"/>
              <w:tr2bl w:val="nil"/>
            </w:tcBorders>
            <w:noWrap w:val="0"/>
            <w:vAlign w:val="center"/>
          </w:tcPr>
          <w:p w14:paraId="3E502C31">
            <w:pPr>
              <w:pStyle w:val="245"/>
              <w:spacing w:line="240" w:lineRule="auto"/>
              <w:jc w:val="center"/>
              <w:rPr>
                <w:rFonts w:hint="eastAsia"/>
                <w:color w:val="auto"/>
                <w:highlight w:val="none"/>
              </w:rPr>
            </w:pPr>
            <w:r>
              <w:rPr>
                <w:rFonts w:hint="eastAsia"/>
                <w:color w:val="auto"/>
                <w:highlight w:val="none"/>
              </w:rPr>
              <w:t>一般地面硬化</w:t>
            </w:r>
          </w:p>
        </w:tc>
      </w:tr>
    </w:tbl>
    <w:p w14:paraId="15F4F5D3">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本项目场地包气带防污性能为</w:t>
      </w:r>
      <w:r>
        <w:rPr>
          <w:rFonts w:hint="eastAsia"/>
          <w:color w:val="auto"/>
          <w:sz w:val="24"/>
          <w:szCs w:val="24"/>
          <w:highlight w:val="none"/>
          <w:lang w:eastAsia="zh-CN"/>
        </w:rPr>
        <w:t>“</w:t>
      </w:r>
      <w:r>
        <w:rPr>
          <w:color w:val="auto"/>
          <w:sz w:val="24"/>
          <w:szCs w:val="24"/>
          <w:highlight w:val="none"/>
        </w:rPr>
        <w:t>弱</w:t>
      </w:r>
      <w:r>
        <w:rPr>
          <w:rFonts w:hint="eastAsia"/>
          <w:color w:val="auto"/>
          <w:sz w:val="24"/>
          <w:szCs w:val="24"/>
          <w:highlight w:val="none"/>
          <w:lang w:eastAsia="zh-CN"/>
        </w:rPr>
        <w:t>”</w:t>
      </w:r>
      <w:r>
        <w:rPr>
          <w:color w:val="auto"/>
          <w:sz w:val="24"/>
          <w:szCs w:val="24"/>
          <w:highlight w:val="none"/>
        </w:rPr>
        <w:t>，危废暂存间</w:t>
      </w:r>
      <w:r>
        <w:rPr>
          <w:rFonts w:hint="eastAsia"/>
          <w:color w:val="auto"/>
          <w:sz w:val="24"/>
          <w:szCs w:val="24"/>
          <w:highlight w:val="none"/>
          <w:lang w:val="en-US" w:eastAsia="zh-CN"/>
        </w:rPr>
        <w:t>等区域</w:t>
      </w:r>
      <w:r>
        <w:rPr>
          <w:color w:val="auto"/>
          <w:sz w:val="24"/>
          <w:szCs w:val="24"/>
          <w:highlight w:val="none"/>
        </w:rPr>
        <w:t>污染控制难易程度分级为</w:t>
      </w:r>
      <w:r>
        <w:rPr>
          <w:rFonts w:hint="eastAsia"/>
          <w:color w:val="auto"/>
          <w:sz w:val="24"/>
          <w:szCs w:val="24"/>
          <w:highlight w:val="none"/>
          <w:lang w:eastAsia="zh-CN"/>
        </w:rPr>
        <w:t>“</w:t>
      </w:r>
      <w:r>
        <w:rPr>
          <w:rFonts w:hint="eastAsia"/>
          <w:color w:val="auto"/>
          <w:sz w:val="24"/>
          <w:szCs w:val="24"/>
          <w:highlight w:val="none"/>
          <w:lang w:val="en-US" w:eastAsia="zh-CN"/>
        </w:rPr>
        <w:t>易</w:t>
      </w:r>
      <w:r>
        <w:rPr>
          <w:rFonts w:hint="eastAsia"/>
          <w:color w:val="auto"/>
          <w:sz w:val="24"/>
          <w:szCs w:val="24"/>
          <w:highlight w:val="none"/>
          <w:lang w:eastAsia="zh-CN"/>
        </w:rPr>
        <w:t>”</w:t>
      </w:r>
      <w:r>
        <w:rPr>
          <w:color w:val="auto"/>
          <w:sz w:val="24"/>
          <w:szCs w:val="24"/>
          <w:highlight w:val="none"/>
        </w:rPr>
        <w:t>，</w:t>
      </w:r>
      <w:r>
        <w:rPr>
          <w:rFonts w:hint="eastAsia"/>
          <w:color w:val="auto"/>
          <w:sz w:val="24"/>
          <w:szCs w:val="24"/>
          <w:highlight w:val="none"/>
          <w:lang w:val="en-US" w:eastAsia="zh-CN"/>
        </w:rPr>
        <w:t>涉及</w:t>
      </w:r>
      <w:r>
        <w:rPr>
          <w:color w:val="auto"/>
          <w:sz w:val="24"/>
          <w:szCs w:val="24"/>
          <w:highlight w:val="none"/>
        </w:rPr>
        <w:t>污染物类型为</w:t>
      </w:r>
      <w:r>
        <w:rPr>
          <w:rFonts w:hint="eastAsia"/>
          <w:color w:val="auto"/>
          <w:sz w:val="24"/>
          <w:szCs w:val="24"/>
          <w:highlight w:val="none"/>
          <w:lang w:eastAsia="zh-CN"/>
        </w:rPr>
        <w:t>“</w:t>
      </w:r>
      <w:r>
        <w:rPr>
          <w:color w:val="auto"/>
          <w:sz w:val="24"/>
          <w:szCs w:val="24"/>
          <w:highlight w:val="none"/>
        </w:rPr>
        <w:t>重金属、持久性有机污染物</w:t>
      </w:r>
      <w:r>
        <w:rPr>
          <w:rFonts w:hint="eastAsia"/>
          <w:color w:val="auto"/>
          <w:sz w:val="24"/>
          <w:szCs w:val="24"/>
          <w:highlight w:val="none"/>
          <w:lang w:eastAsia="zh-CN"/>
        </w:rPr>
        <w:t>”</w:t>
      </w:r>
      <w:r>
        <w:rPr>
          <w:color w:val="auto"/>
          <w:sz w:val="24"/>
          <w:szCs w:val="24"/>
          <w:highlight w:val="none"/>
        </w:rPr>
        <w:t>，防渗分区为</w:t>
      </w:r>
      <w:r>
        <w:rPr>
          <w:rFonts w:hint="eastAsia"/>
          <w:color w:val="auto"/>
          <w:sz w:val="24"/>
          <w:szCs w:val="24"/>
          <w:highlight w:val="none"/>
          <w:lang w:eastAsia="zh-CN"/>
        </w:rPr>
        <w:t>“</w:t>
      </w:r>
      <w:r>
        <w:rPr>
          <w:color w:val="auto"/>
          <w:sz w:val="24"/>
          <w:szCs w:val="24"/>
          <w:highlight w:val="none"/>
        </w:rPr>
        <w:t>重点防渗区</w:t>
      </w:r>
      <w:r>
        <w:rPr>
          <w:rFonts w:hint="eastAsia"/>
          <w:color w:val="auto"/>
          <w:sz w:val="24"/>
          <w:szCs w:val="24"/>
          <w:highlight w:val="none"/>
          <w:lang w:eastAsia="zh-CN"/>
        </w:rPr>
        <w:t>”；</w:t>
      </w:r>
      <w:r>
        <w:rPr>
          <w:rFonts w:hint="eastAsia"/>
          <w:color w:val="auto"/>
          <w:sz w:val="24"/>
          <w:szCs w:val="24"/>
          <w:highlight w:val="none"/>
          <w:lang w:val="en-US" w:eastAsia="zh-CN"/>
        </w:rPr>
        <w:t>原矿石堆存库、破碎筛分车间、浮选车间、循环水池、尾矿砂贮存库及及萤石精粉堆存库涉及污染物类型为“其他类型”，</w:t>
      </w:r>
      <w:r>
        <w:rPr>
          <w:color w:val="auto"/>
          <w:sz w:val="24"/>
          <w:szCs w:val="24"/>
          <w:highlight w:val="none"/>
        </w:rPr>
        <w:t>防渗分区为</w:t>
      </w:r>
      <w:r>
        <w:rPr>
          <w:rFonts w:hint="eastAsia"/>
          <w:color w:val="auto"/>
          <w:sz w:val="24"/>
          <w:szCs w:val="24"/>
          <w:highlight w:val="none"/>
          <w:lang w:eastAsia="zh-CN"/>
        </w:rPr>
        <w:t>“</w:t>
      </w:r>
      <w:r>
        <w:rPr>
          <w:rFonts w:hint="eastAsia"/>
          <w:color w:val="auto"/>
          <w:sz w:val="24"/>
          <w:szCs w:val="24"/>
          <w:highlight w:val="none"/>
          <w:lang w:val="en-US" w:eastAsia="zh-CN"/>
        </w:rPr>
        <w:t>一般</w:t>
      </w:r>
      <w:r>
        <w:rPr>
          <w:color w:val="auto"/>
          <w:sz w:val="24"/>
          <w:szCs w:val="24"/>
          <w:highlight w:val="none"/>
        </w:rPr>
        <w:t>防渗区</w:t>
      </w:r>
      <w:r>
        <w:rPr>
          <w:rFonts w:hint="eastAsia"/>
          <w:color w:val="auto"/>
          <w:sz w:val="24"/>
          <w:szCs w:val="24"/>
          <w:highlight w:val="none"/>
          <w:lang w:eastAsia="zh-CN"/>
        </w:rPr>
        <w:t>”；</w:t>
      </w:r>
      <w:r>
        <w:rPr>
          <w:rFonts w:hint="eastAsia"/>
          <w:color w:val="auto"/>
          <w:sz w:val="24"/>
          <w:szCs w:val="24"/>
          <w:highlight w:val="none"/>
          <w:lang w:val="en-US" w:eastAsia="zh-CN"/>
        </w:rPr>
        <w:t>厂区道路为“简单防渗区”</w:t>
      </w:r>
      <w:r>
        <w:rPr>
          <w:color w:val="auto"/>
          <w:sz w:val="24"/>
          <w:szCs w:val="24"/>
          <w:highlight w:val="none"/>
        </w:rPr>
        <w:t>。</w:t>
      </w:r>
    </w:p>
    <w:p w14:paraId="0F392ACF">
      <w:pPr>
        <w:adjustRightInd w:val="0"/>
        <w:snapToGrid w:val="0"/>
        <w:spacing w:line="480" w:lineRule="exact"/>
        <w:ind w:firstLine="480" w:firstLineChars="200"/>
        <w:rPr>
          <w:color w:val="auto"/>
          <w:sz w:val="24"/>
          <w:szCs w:val="24"/>
          <w:highlight w:val="none"/>
        </w:rPr>
      </w:pPr>
      <w:r>
        <w:rPr>
          <w:color w:val="auto"/>
          <w:sz w:val="24"/>
          <w:szCs w:val="24"/>
          <w:highlight w:val="none"/>
        </w:rPr>
        <w:t>本项目具体防渗措施见表</w:t>
      </w:r>
      <w:r>
        <w:rPr>
          <w:rFonts w:hint="eastAsia"/>
          <w:color w:val="auto"/>
          <w:sz w:val="24"/>
          <w:szCs w:val="24"/>
          <w:highlight w:val="none"/>
          <w:lang w:val="en-US" w:eastAsia="zh-CN"/>
        </w:rPr>
        <w:t>7.3-4</w:t>
      </w:r>
      <w:r>
        <w:rPr>
          <w:color w:val="auto"/>
          <w:sz w:val="24"/>
          <w:szCs w:val="24"/>
          <w:highlight w:val="none"/>
        </w:rPr>
        <w:t>，</w:t>
      </w:r>
      <w:r>
        <w:rPr>
          <w:rFonts w:hint="eastAsia"/>
          <w:color w:val="auto"/>
          <w:sz w:val="24"/>
          <w:szCs w:val="24"/>
          <w:highlight w:val="none"/>
          <w:lang w:val="en-US" w:eastAsia="zh-CN"/>
        </w:rPr>
        <w:t>附图2</w:t>
      </w:r>
      <w:r>
        <w:rPr>
          <w:color w:val="auto"/>
          <w:sz w:val="24"/>
          <w:szCs w:val="24"/>
          <w:highlight w:val="none"/>
        </w:rPr>
        <w:t>。</w:t>
      </w:r>
    </w:p>
    <w:p w14:paraId="523DE3E8">
      <w:pPr>
        <w:pStyle w:val="199"/>
        <w:spacing w:before="120"/>
        <w:ind w:firstLine="480"/>
        <w:rPr>
          <w:rFonts w:hint="eastAsia"/>
          <w:color w:val="auto"/>
          <w:sz w:val="24"/>
          <w:highlight w:val="none"/>
        </w:rPr>
      </w:pPr>
      <w:r>
        <w:rPr>
          <w:rFonts w:hint="eastAsia"/>
          <w:color w:val="auto"/>
          <w:sz w:val="24"/>
          <w:highlight w:val="none"/>
        </w:rPr>
        <w:t>表7.</w:t>
      </w:r>
      <w:r>
        <w:rPr>
          <w:rFonts w:hint="eastAsia"/>
          <w:color w:val="auto"/>
          <w:sz w:val="24"/>
          <w:highlight w:val="none"/>
          <w:lang w:val="en-US" w:eastAsia="zh-CN"/>
        </w:rPr>
        <w:t>3-3</w:t>
      </w:r>
      <w:r>
        <w:rPr>
          <w:rFonts w:hint="eastAsia"/>
          <w:color w:val="auto"/>
          <w:sz w:val="24"/>
          <w:highlight w:val="none"/>
        </w:rPr>
        <w:t xml:space="preserve">   </w:t>
      </w:r>
      <w:r>
        <w:rPr>
          <w:rFonts w:hint="eastAsia"/>
          <w:color w:val="auto"/>
          <w:sz w:val="24"/>
          <w:highlight w:val="none"/>
          <w:lang w:val="en-US" w:eastAsia="zh-CN"/>
        </w:rPr>
        <w:t>本</w:t>
      </w:r>
      <w:r>
        <w:rPr>
          <w:rFonts w:hint="eastAsia"/>
          <w:color w:val="auto"/>
          <w:sz w:val="24"/>
          <w:highlight w:val="none"/>
        </w:rPr>
        <w:t>项目污染分区及采取的防渗措施一览表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76"/>
        <w:gridCol w:w="3687"/>
        <w:gridCol w:w="2879"/>
      </w:tblGrid>
      <w:tr w14:paraId="6FD1C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noWrap w:val="0"/>
            <w:vAlign w:val="center"/>
          </w:tcPr>
          <w:p w14:paraId="3EB5D385">
            <w:pPr>
              <w:pStyle w:val="245"/>
              <w:spacing w:line="240" w:lineRule="auto"/>
              <w:jc w:val="center"/>
              <w:rPr>
                <w:rFonts w:hint="eastAsia"/>
                <w:color w:val="auto"/>
                <w:highlight w:val="none"/>
              </w:rPr>
            </w:pPr>
            <w:r>
              <w:rPr>
                <w:rFonts w:hint="eastAsia"/>
                <w:color w:val="auto"/>
                <w:highlight w:val="none"/>
              </w:rPr>
              <w:t>序号</w:t>
            </w:r>
          </w:p>
        </w:tc>
        <w:tc>
          <w:tcPr>
            <w:tcW w:w="1276" w:type="dxa"/>
            <w:tcBorders>
              <w:tl2br w:val="nil"/>
              <w:tr2bl w:val="nil"/>
            </w:tcBorders>
            <w:noWrap w:val="0"/>
            <w:vAlign w:val="center"/>
          </w:tcPr>
          <w:p w14:paraId="571ED137">
            <w:pPr>
              <w:pStyle w:val="245"/>
              <w:spacing w:line="240" w:lineRule="auto"/>
              <w:jc w:val="center"/>
              <w:rPr>
                <w:rFonts w:hint="eastAsia"/>
                <w:color w:val="auto"/>
                <w:highlight w:val="none"/>
              </w:rPr>
            </w:pPr>
            <w:r>
              <w:rPr>
                <w:rFonts w:hint="eastAsia"/>
                <w:color w:val="auto"/>
                <w:highlight w:val="none"/>
              </w:rPr>
              <w:t>污染分区</w:t>
            </w:r>
          </w:p>
        </w:tc>
        <w:tc>
          <w:tcPr>
            <w:tcW w:w="3687" w:type="dxa"/>
            <w:tcBorders>
              <w:tl2br w:val="nil"/>
              <w:tr2bl w:val="nil"/>
            </w:tcBorders>
            <w:noWrap w:val="0"/>
            <w:vAlign w:val="center"/>
          </w:tcPr>
          <w:p w14:paraId="69D50948">
            <w:pPr>
              <w:pStyle w:val="245"/>
              <w:spacing w:line="240" w:lineRule="auto"/>
              <w:jc w:val="center"/>
              <w:rPr>
                <w:rFonts w:hint="eastAsia"/>
                <w:color w:val="auto"/>
                <w:highlight w:val="none"/>
              </w:rPr>
            </w:pPr>
            <w:r>
              <w:rPr>
                <w:rFonts w:hint="eastAsia"/>
                <w:color w:val="auto"/>
                <w:highlight w:val="none"/>
              </w:rPr>
              <w:t>名称</w:t>
            </w:r>
          </w:p>
        </w:tc>
        <w:tc>
          <w:tcPr>
            <w:tcW w:w="2879" w:type="dxa"/>
            <w:tcBorders>
              <w:tl2br w:val="nil"/>
              <w:tr2bl w:val="nil"/>
            </w:tcBorders>
            <w:noWrap w:val="0"/>
            <w:vAlign w:val="center"/>
          </w:tcPr>
          <w:p w14:paraId="21320351">
            <w:pPr>
              <w:pStyle w:val="245"/>
              <w:spacing w:line="240" w:lineRule="auto"/>
              <w:jc w:val="center"/>
              <w:rPr>
                <w:rFonts w:hint="eastAsia"/>
                <w:color w:val="auto"/>
                <w:highlight w:val="none"/>
              </w:rPr>
            </w:pPr>
            <w:r>
              <w:rPr>
                <w:rFonts w:hint="eastAsia"/>
                <w:color w:val="auto"/>
                <w:highlight w:val="none"/>
              </w:rPr>
              <w:t>防渗效果</w:t>
            </w:r>
          </w:p>
        </w:tc>
      </w:tr>
      <w:tr w14:paraId="73674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noWrap w:val="0"/>
            <w:vAlign w:val="center"/>
          </w:tcPr>
          <w:p w14:paraId="444D2592">
            <w:pPr>
              <w:pStyle w:val="245"/>
              <w:spacing w:line="240" w:lineRule="auto"/>
              <w:jc w:val="center"/>
              <w:rPr>
                <w:rFonts w:hint="eastAsia"/>
                <w:color w:val="auto"/>
                <w:highlight w:val="none"/>
              </w:rPr>
            </w:pPr>
            <w:r>
              <w:rPr>
                <w:rFonts w:hint="eastAsia"/>
                <w:color w:val="auto"/>
                <w:highlight w:val="none"/>
              </w:rPr>
              <w:t>1</w:t>
            </w:r>
          </w:p>
        </w:tc>
        <w:tc>
          <w:tcPr>
            <w:tcW w:w="1276" w:type="dxa"/>
            <w:tcBorders>
              <w:tl2br w:val="nil"/>
              <w:tr2bl w:val="nil"/>
            </w:tcBorders>
            <w:noWrap w:val="0"/>
            <w:vAlign w:val="center"/>
          </w:tcPr>
          <w:p w14:paraId="13754D40">
            <w:pPr>
              <w:pStyle w:val="245"/>
              <w:spacing w:line="240" w:lineRule="auto"/>
              <w:jc w:val="center"/>
              <w:rPr>
                <w:rFonts w:hint="eastAsia"/>
                <w:color w:val="auto"/>
                <w:highlight w:val="none"/>
              </w:rPr>
            </w:pPr>
            <w:r>
              <w:rPr>
                <w:rFonts w:hint="eastAsia"/>
                <w:color w:val="auto"/>
                <w:highlight w:val="none"/>
              </w:rPr>
              <w:t>重点防渗区</w:t>
            </w:r>
          </w:p>
        </w:tc>
        <w:tc>
          <w:tcPr>
            <w:tcW w:w="3687" w:type="dxa"/>
            <w:tcBorders>
              <w:tl2br w:val="nil"/>
              <w:tr2bl w:val="nil"/>
            </w:tcBorders>
            <w:noWrap w:val="0"/>
            <w:vAlign w:val="center"/>
          </w:tcPr>
          <w:p w14:paraId="08B7B6AA">
            <w:pPr>
              <w:pStyle w:val="245"/>
              <w:spacing w:line="240" w:lineRule="auto"/>
              <w:jc w:val="center"/>
              <w:rPr>
                <w:rFonts w:hint="eastAsia"/>
                <w:color w:val="auto"/>
                <w:highlight w:val="none"/>
              </w:rPr>
            </w:pPr>
            <w:r>
              <w:rPr>
                <w:rFonts w:hint="eastAsia"/>
                <w:color w:val="auto"/>
                <w:highlight w:val="none"/>
              </w:rPr>
              <w:t>危废暂存间</w:t>
            </w:r>
          </w:p>
        </w:tc>
        <w:tc>
          <w:tcPr>
            <w:tcW w:w="2879" w:type="dxa"/>
            <w:tcBorders>
              <w:tl2br w:val="nil"/>
              <w:tr2bl w:val="nil"/>
            </w:tcBorders>
            <w:noWrap w:val="0"/>
            <w:vAlign w:val="center"/>
          </w:tcPr>
          <w:p w14:paraId="3DAE2E5F">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按照</w:t>
            </w:r>
            <w:r>
              <w:rPr>
                <w:color w:val="auto"/>
                <w:highlight w:val="none"/>
                <w:lang w:val="zh-CN"/>
              </w:rPr>
              <w:t>《危险废物贮存污染控制标准》（GB18597-2023）</w:t>
            </w:r>
            <w:r>
              <w:rPr>
                <w:rFonts w:hint="eastAsia"/>
                <w:color w:val="auto"/>
                <w:highlight w:val="none"/>
                <w:lang w:val="zh-CN"/>
              </w:rPr>
              <w:t>，</w:t>
            </w:r>
            <w:r>
              <w:rPr>
                <w:rFonts w:hint="eastAsia"/>
                <w:b w:val="0"/>
                <w:color w:val="auto"/>
                <w:kern w:val="0"/>
                <w:highlight w:val="none"/>
                <w:lang w:val="en-US" w:eastAsia="zh-CN"/>
              </w:rPr>
              <w:t xml:space="preserve">防渗层至少 1 m 厚黏土层（渗透系数不大于 10 </w:t>
            </w:r>
            <w:r>
              <w:rPr>
                <w:rFonts w:hint="eastAsia"/>
                <w:b w:val="0"/>
                <w:color w:val="auto"/>
                <w:kern w:val="0"/>
                <w:highlight w:val="none"/>
                <w:vertAlign w:val="superscript"/>
                <w:lang w:val="en-US" w:eastAsia="zh-CN"/>
              </w:rPr>
              <w:t xml:space="preserve">-7 </w:t>
            </w:r>
            <w:r>
              <w:rPr>
                <w:rFonts w:hint="eastAsia"/>
                <w:b w:val="0"/>
                <w:color w:val="auto"/>
                <w:kern w:val="0"/>
                <w:highlight w:val="none"/>
                <w:lang w:val="en-US" w:eastAsia="zh-CN"/>
              </w:rPr>
              <w:t>cm/s），或至少2 mm 厚高密度聚乙烯膜等人工防渗材料（渗透系数不大于 10</w:t>
            </w:r>
            <w:r>
              <w:rPr>
                <w:rFonts w:hint="eastAsia"/>
                <w:b w:val="0"/>
                <w:color w:val="auto"/>
                <w:kern w:val="0"/>
                <w:highlight w:val="none"/>
                <w:vertAlign w:val="superscript"/>
                <w:lang w:val="en-US" w:eastAsia="zh-CN"/>
              </w:rPr>
              <w:t xml:space="preserve"> -10 </w:t>
            </w:r>
            <w:r>
              <w:rPr>
                <w:rFonts w:hint="eastAsia"/>
                <w:b w:val="0"/>
                <w:color w:val="auto"/>
                <w:kern w:val="0"/>
                <w:highlight w:val="none"/>
                <w:lang w:val="en-US" w:eastAsia="zh-CN"/>
              </w:rPr>
              <w:t>cm/s），或其他防渗性能等效的材料。</w:t>
            </w:r>
          </w:p>
        </w:tc>
      </w:tr>
      <w:tr w14:paraId="059D7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noWrap w:val="0"/>
            <w:vAlign w:val="center"/>
          </w:tcPr>
          <w:p w14:paraId="25A1D87D">
            <w:pPr>
              <w:pStyle w:val="245"/>
              <w:spacing w:line="240" w:lineRule="auto"/>
              <w:jc w:val="center"/>
              <w:rPr>
                <w:rFonts w:hint="eastAsia"/>
                <w:color w:val="auto"/>
                <w:highlight w:val="none"/>
              </w:rPr>
            </w:pPr>
            <w:r>
              <w:rPr>
                <w:rFonts w:hint="eastAsia"/>
                <w:color w:val="auto"/>
                <w:highlight w:val="none"/>
              </w:rPr>
              <w:t>2</w:t>
            </w:r>
          </w:p>
        </w:tc>
        <w:tc>
          <w:tcPr>
            <w:tcW w:w="1276" w:type="dxa"/>
            <w:tcBorders>
              <w:tl2br w:val="nil"/>
              <w:tr2bl w:val="nil"/>
            </w:tcBorders>
            <w:noWrap w:val="0"/>
            <w:vAlign w:val="center"/>
          </w:tcPr>
          <w:p w14:paraId="32238424">
            <w:pPr>
              <w:pStyle w:val="245"/>
              <w:spacing w:line="240" w:lineRule="auto"/>
              <w:jc w:val="center"/>
              <w:rPr>
                <w:rFonts w:hint="eastAsia"/>
                <w:color w:val="auto"/>
                <w:highlight w:val="none"/>
              </w:rPr>
            </w:pPr>
            <w:r>
              <w:rPr>
                <w:rFonts w:hint="eastAsia"/>
                <w:color w:val="auto"/>
                <w:highlight w:val="none"/>
              </w:rPr>
              <w:t>一般防渗区</w:t>
            </w:r>
          </w:p>
        </w:tc>
        <w:tc>
          <w:tcPr>
            <w:tcW w:w="3687" w:type="dxa"/>
            <w:tcBorders>
              <w:tl2br w:val="nil"/>
              <w:tr2bl w:val="nil"/>
            </w:tcBorders>
            <w:noWrap w:val="0"/>
            <w:vAlign w:val="center"/>
          </w:tcPr>
          <w:p w14:paraId="492164CD">
            <w:pPr>
              <w:pStyle w:val="245"/>
              <w:spacing w:line="240" w:lineRule="auto"/>
              <w:jc w:val="center"/>
              <w:rPr>
                <w:rFonts w:hint="eastAsia"/>
                <w:color w:val="auto"/>
                <w:highlight w:val="none"/>
              </w:rPr>
            </w:pPr>
            <w:r>
              <w:rPr>
                <w:rFonts w:hint="eastAsia" w:eastAsia="宋体"/>
                <w:color w:val="auto"/>
                <w:highlight w:val="none"/>
                <w:lang w:val="en-US" w:eastAsia="zh-CN"/>
              </w:rPr>
              <w:t>原矿石堆存库、破碎筛分车间、浮选车间、循环水池、尾矿砂贮存库及及萤石精粉堆存库</w:t>
            </w:r>
          </w:p>
        </w:tc>
        <w:tc>
          <w:tcPr>
            <w:tcW w:w="2879" w:type="dxa"/>
            <w:tcBorders>
              <w:tl2br w:val="nil"/>
              <w:tr2bl w:val="nil"/>
            </w:tcBorders>
            <w:noWrap w:val="0"/>
            <w:vAlign w:val="center"/>
          </w:tcPr>
          <w:p w14:paraId="441E140D">
            <w:pPr>
              <w:pStyle w:val="245"/>
              <w:spacing w:line="240" w:lineRule="auto"/>
              <w:jc w:val="center"/>
              <w:rPr>
                <w:rFonts w:hint="eastAsia"/>
                <w:color w:val="auto"/>
                <w:highlight w:val="none"/>
              </w:rPr>
            </w:pPr>
            <w:r>
              <w:rPr>
                <w:rFonts w:hint="eastAsia"/>
                <w:color w:val="auto"/>
                <w:highlight w:val="none"/>
                <w:lang w:val="en-US" w:eastAsia="zh-CN"/>
              </w:rPr>
              <w:t>采用抗渗混凝土进行基础防渗，</w:t>
            </w:r>
            <w:r>
              <w:rPr>
                <w:rFonts w:hint="eastAsia"/>
                <w:color w:val="auto"/>
                <w:highlight w:val="none"/>
              </w:rPr>
              <w:t>防渗要求满足等效黏土防渗层Mb≥1.5m，K≤1×10</w:t>
            </w:r>
            <w:r>
              <w:rPr>
                <w:rFonts w:hint="eastAsia"/>
                <w:color w:val="auto"/>
                <w:highlight w:val="none"/>
                <w:vertAlign w:val="superscript"/>
              </w:rPr>
              <w:t>-7</w:t>
            </w:r>
            <w:r>
              <w:rPr>
                <w:rFonts w:hint="eastAsia"/>
                <w:color w:val="auto"/>
                <w:highlight w:val="none"/>
              </w:rPr>
              <w:t>cm/s</w:t>
            </w:r>
          </w:p>
        </w:tc>
      </w:tr>
      <w:tr w14:paraId="05CEB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tcBorders>
              <w:tl2br w:val="nil"/>
              <w:tr2bl w:val="nil"/>
            </w:tcBorders>
            <w:noWrap w:val="0"/>
            <w:vAlign w:val="center"/>
          </w:tcPr>
          <w:p w14:paraId="72F28287">
            <w:pPr>
              <w:pStyle w:val="245"/>
              <w:spacing w:line="240" w:lineRule="auto"/>
              <w:jc w:val="center"/>
              <w:rPr>
                <w:rFonts w:hint="eastAsia"/>
                <w:color w:val="auto"/>
                <w:highlight w:val="none"/>
              </w:rPr>
            </w:pPr>
            <w:r>
              <w:rPr>
                <w:rFonts w:hint="eastAsia"/>
                <w:color w:val="auto"/>
                <w:highlight w:val="none"/>
              </w:rPr>
              <w:t>3</w:t>
            </w:r>
          </w:p>
        </w:tc>
        <w:tc>
          <w:tcPr>
            <w:tcW w:w="1276" w:type="dxa"/>
            <w:tcBorders>
              <w:tl2br w:val="nil"/>
              <w:tr2bl w:val="nil"/>
            </w:tcBorders>
            <w:noWrap w:val="0"/>
            <w:vAlign w:val="center"/>
          </w:tcPr>
          <w:p w14:paraId="5862E62F">
            <w:pPr>
              <w:pStyle w:val="245"/>
              <w:spacing w:line="240" w:lineRule="auto"/>
              <w:jc w:val="center"/>
              <w:rPr>
                <w:rFonts w:hint="eastAsia"/>
                <w:color w:val="auto"/>
                <w:highlight w:val="none"/>
              </w:rPr>
            </w:pPr>
            <w:r>
              <w:rPr>
                <w:rFonts w:hint="eastAsia"/>
                <w:color w:val="auto"/>
                <w:highlight w:val="none"/>
              </w:rPr>
              <w:t>简单防渗区</w:t>
            </w:r>
          </w:p>
        </w:tc>
        <w:tc>
          <w:tcPr>
            <w:tcW w:w="3687" w:type="dxa"/>
            <w:tcBorders>
              <w:tl2br w:val="nil"/>
              <w:tr2bl w:val="nil"/>
            </w:tcBorders>
            <w:noWrap w:val="0"/>
            <w:vAlign w:val="center"/>
          </w:tcPr>
          <w:p w14:paraId="1C21D041">
            <w:pPr>
              <w:pStyle w:val="245"/>
              <w:spacing w:line="240" w:lineRule="auto"/>
              <w:jc w:val="center"/>
              <w:rPr>
                <w:rFonts w:hint="eastAsia"/>
                <w:color w:val="auto"/>
                <w:highlight w:val="none"/>
              </w:rPr>
            </w:pPr>
            <w:r>
              <w:rPr>
                <w:rFonts w:hint="eastAsia"/>
                <w:color w:val="auto"/>
                <w:highlight w:val="none"/>
              </w:rPr>
              <w:t>厂区道路</w:t>
            </w:r>
          </w:p>
        </w:tc>
        <w:tc>
          <w:tcPr>
            <w:tcW w:w="2879" w:type="dxa"/>
            <w:tcBorders>
              <w:tl2br w:val="nil"/>
              <w:tr2bl w:val="nil"/>
            </w:tcBorders>
            <w:noWrap w:val="0"/>
            <w:vAlign w:val="center"/>
          </w:tcPr>
          <w:p w14:paraId="029C7895">
            <w:pPr>
              <w:pStyle w:val="245"/>
              <w:spacing w:line="240" w:lineRule="auto"/>
              <w:jc w:val="center"/>
              <w:rPr>
                <w:rFonts w:hint="eastAsia"/>
                <w:color w:val="auto"/>
                <w:highlight w:val="none"/>
              </w:rPr>
            </w:pPr>
            <w:r>
              <w:rPr>
                <w:rFonts w:hint="eastAsia"/>
                <w:color w:val="auto"/>
                <w:highlight w:val="none"/>
              </w:rPr>
              <w:t>一般地面硬化</w:t>
            </w:r>
          </w:p>
        </w:tc>
      </w:tr>
    </w:tbl>
    <w:p w14:paraId="5EAD6A61">
      <w:pPr>
        <w:autoSpaceDE w:val="0"/>
        <w:autoSpaceDN w:val="0"/>
        <w:adjustRightInd w:val="0"/>
        <w:snapToGrid w:val="0"/>
        <w:spacing w:line="480" w:lineRule="exact"/>
        <w:rPr>
          <w:b/>
          <w:bCs/>
          <w:color w:val="auto"/>
          <w:sz w:val="24"/>
          <w:szCs w:val="24"/>
          <w:highlight w:val="none"/>
        </w:rPr>
      </w:pPr>
      <w:r>
        <w:rPr>
          <w:rFonts w:hint="eastAsia"/>
          <w:b/>
          <w:bCs/>
          <w:color w:val="auto"/>
          <w:sz w:val="24"/>
          <w:szCs w:val="24"/>
          <w:highlight w:val="none"/>
        </w:rPr>
        <w:t>3、</w:t>
      </w:r>
      <w:r>
        <w:rPr>
          <w:b/>
          <w:bCs/>
          <w:color w:val="auto"/>
          <w:sz w:val="24"/>
          <w:szCs w:val="24"/>
          <w:highlight w:val="none"/>
        </w:rPr>
        <w:t>地下水环境监测与管理</w:t>
      </w:r>
    </w:p>
    <w:p w14:paraId="5B02A25B">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为及时而准确的掌握项目厂区及周边地下水环境质量状况，发现问题及时解决，切实加强环境保护与环境管理。在项目厂区建设过程中及投产运行期，建立地下水环境监控体系，包括建立地下水监控网点，建立完善监测制度。同时，委托第三方有监测资质单位进行定期监测。</w:t>
      </w:r>
    </w:p>
    <w:p w14:paraId="094F0EED">
      <w:pPr>
        <w:autoSpaceDE w:val="0"/>
        <w:autoSpaceDN w:val="0"/>
        <w:adjustRightInd w:val="0"/>
        <w:snapToGrid w:val="0"/>
        <w:spacing w:line="480" w:lineRule="exact"/>
        <w:ind w:firstLine="480" w:firstLineChars="200"/>
        <w:rPr>
          <w:rFonts w:hint="default" w:eastAsia="宋体"/>
          <w:color w:val="auto"/>
          <w:sz w:val="24"/>
          <w:szCs w:val="24"/>
          <w:highlight w:val="none"/>
          <w:lang w:val="en-US" w:eastAsia="zh-CN"/>
        </w:rPr>
      </w:pPr>
      <w:r>
        <w:rPr>
          <w:rFonts w:hint="eastAsia"/>
          <w:color w:val="auto"/>
          <w:sz w:val="24"/>
          <w:szCs w:val="24"/>
          <w:highlight w:val="none"/>
          <w:lang w:val="en-US" w:eastAsia="zh-CN"/>
        </w:rPr>
        <w:t>（1）监测布点方案</w:t>
      </w:r>
    </w:p>
    <w:p w14:paraId="7D8EC21A">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根据《环境影响评价技术导则</w:t>
      </w:r>
      <w:r>
        <w:rPr>
          <w:rFonts w:hint="eastAsia"/>
          <w:color w:val="auto"/>
          <w:sz w:val="24"/>
          <w:szCs w:val="24"/>
          <w:highlight w:val="none"/>
          <w:lang w:val="en-US" w:eastAsia="zh-CN"/>
        </w:rPr>
        <w:t>-</w:t>
      </w:r>
      <w:r>
        <w:rPr>
          <w:color w:val="auto"/>
          <w:sz w:val="24"/>
          <w:szCs w:val="24"/>
          <w:highlight w:val="none"/>
        </w:rPr>
        <w:t>地下水环境》（HJ610-2016），“</w:t>
      </w:r>
      <w:r>
        <w:rPr>
          <w:rFonts w:hint="eastAsia"/>
          <w:color w:val="auto"/>
          <w:sz w:val="24"/>
          <w:szCs w:val="24"/>
          <w:highlight w:val="none"/>
          <w:lang w:val="en-US" w:eastAsia="zh-CN"/>
        </w:rPr>
        <w:t>三</w:t>
      </w:r>
      <w:r>
        <w:rPr>
          <w:color w:val="auto"/>
          <w:sz w:val="24"/>
          <w:szCs w:val="24"/>
          <w:highlight w:val="none"/>
        </w:rPr>
        <w:t>级评价项目，一般不少于</w:t>
      </w:r>
      <w:r>
        <w:rPr>
          <w:rFonts w:hint="eastAsia"/>
          <w:color w:val="auto"/>
          <w:sz w:val="24"/>
          <w:szCs w:val="24"/>
          <w:highlight w:val="none"/>
          <w:lang w:val="en-US" w:eastAsia="zh-CN"/>
        </w:rPr>
        <w:t>1</w:t>
      </w:r>
      <w:r>
        <w:rPr>
          <w:color w:val="auto"/>
          <w:sz w:val="24"/>
          <w:szCs w:val="24"/>
          <w:highlight w:val="none"/>
        </w:rPr>
        <w:t>个地下水跟踪监测井，结合预测评价结果和应急响应时间要求，在重点污染风险源增设监测点。根据</w:t>
      </w:r>
      <w:r>
        <w:rPr>
          <w:rFonts w:hint="eastAsia"/>
          <w:color w:val="auto"/>
          <w:sz w:val="24"/>
          <w:szCs w:val="24"/>
          <w:highlight w:val="none"/>
          <w:lang w:val="en-US" w:eastAsia="zh-CN"/>
        </w:rPr>
        <w:t>项目厂区布置及地下水流向</w:t>
      </w:r>
      <w:r>
        <w:rPr>
          <w:color w:val="auto"/>
          <w:sz w:val="24"/>
          <w:szCs w:val="24"/>
          <w:highlight w:val="none"/>
        </w:rPr>
        <w:t>，项目厂区</w:t>
      </w:r>
      <w:r>
        <w:rPr>
          <w:rFonts w:hint="eastAsia"/>
          <w:color w:val="auto"/>
          <w:sz w:val="24"/>
          <w:szCs w:val="24"/>
          <w:highlight w:val="none"/>
          <w:lang w:val="en-US" w:eastAsia="zh-CN"/>
        </w:rPr>
        <w:t>东北角</w:t>
      </w:r>
      <w:r>
        <w:rPr>
          <w:color w:val="auto"/>
          <w:sz w:val="24"/>
          <w:szCs w:val="24"/>
          <w:highlight w:val="none"/>
        </w:rPr>
        <w:t>布设</w:t>
      </w:r>
      <w:r>
        <w:rPr>
          <w:rFonts w:hint="eastAsia"/>
          <w:color w:val="auto"/>
          <w:sz w:val="24"/>
          <w:szCs w:val="24"/>
          <w:highlight w:val="none"/>
          <w:lang w:val="en-US" w:eastAsia="zh-CN"/>
        </w:rPr>
        <w:t>1</w:t>
      </w:r>
      <w:r>
        <w:rPr>
          <w:color w:val="auto"/>
          <w:sz w:val="24"/>
          <w:szCs w:val="24"/>
          <w:highlight w:val="none"/>
        </w:rPr>
        <w:t>个地下水跟踪监测井，</w:t>
      </w:r>
      <w:r>
        <w:rPr>
          <w:rFonts w:hint="eastAsia"/>
          <w:color w:val="auto"/>
          <w:sz w:val="24"/>
          <w:szCs w:val="24"/>
          <w:highlight w:val="none"/>
          <w:lang w:val="en-US" w:eastAsia="zh-CN"/>
        </w:rPr>
        <w:t>为厂区地下水下游跟踪监测井</w:t>
      </w:r>
      <w:r>
        <w:rPr>
          <w:color w:val="auto"/>
          <w:sz w:val="24"/>
          <w:szCs w:val="24"/>
          <w:highlight w:val="none"/>
        </w:rPr>
        <w:t>，</w:t>
      </w:r>
      <w:r>
        <w:rPr>
          <w:rFonts w:hint="eastAsia"/>
          <w:color w:val="auto"/>
          <w:sz w:val="24"/>
          <w:szCs w:val="24"/>
          <w:highlight w:val="none"/>
          <w:lang w:val="en-US" w:eastAsia="zh-CN"/>
        </w:rPr>
        <w:t>布点情况</w:t>
      </w:r>
      <w:r>
        <w:rPr>
          <w:color w:val="auto"/>
          <w:sz w:val="24"/>
          <w:szCs w:val="24"/>
          <w:highlight w:val="none"/>
        </w:rPr>
        <w:t>详见下</w:t>
      </w:r>
      <w:r>
        <w:rPr>
          <w:rFonts w:hint="eastAsia"/>
          <w:color w:val="auto"/>
          <w:sz w:val="24"/>
          <w:szCs w:val="24"/>
          <w:highlight w:val="none"/>
          <w:lang w:val="en-US" w:eastAsia="zh-CN"/>
        </w:rPr>
        <w:t>附</w:t>
      </w:r>
      <w:r>
        <w:rPr>
          <w:color w:val="auto"/>
          <w:sz w:val="24"/>
          <w:szCs w:val="24"/>
          <w:highlight w:val="none"/>
        </w:rPr>
        <w:t>图</w:t>
      </w:r>
      <w:r>
        <w:rPr>
          <w:rFonts w:hint="eastAsia"/>
          <w:color w:val="auto"/>
          <w:sz w:val="24"/>
          <w:szCs w:val="24"/>
          <w:highlight w:val="none"/>
          <w:lang w:val="en-US" w:eastAsia="zh-CN"/>
        </w:rPr>
        <w:t>2</w:t>
      </w:r>
      <w:r>
        <w:rPr>
          <w:color w:val="auto"/>
          <w:sz w:val="24"/>
          <w:szCs w:val="24"/>
          <w:highlight w:val="none"/>
        </w:rPr>
        <w:t>和下表</w:t>
      </w:r>
      <w:r>
        <w:rPr>
          <w:rFonts w:hint="eastAsia"/>
          <w:color w:val="auto"/>
          <w:sz w:val="24"/>
          <w:szCs w:val="24"/>
          <w:highlight w:val="none"/>
          <w:lang w:val="en-US" w:eastAsia="zh-CN"/>
        </w:rPr>
        <w:t>7.3-4</w:t>
      </w:r>
      <w:r>
        <w:rPr>
          <w:color w:val="auto"/>
          <w:sz w:val="24"/>
          <w:szCs w:val="24"/>
          <w:highlight w:val="none"/>
        </w:rPr>
        <w:t>。</w:t>
      </w:r>
    </w:p>
    <w:p w14:paraId="16BEF50F">
      <w:pPr>
        <w:pStyle w:val="199"/>
        <w:spacing w:before="120"/>
        <w:ind w:firstLine="480"/>
        <w:rPr>
          <w:rFonts w:hint="eastAsia"/>
          <w:color w:val="auto"/>
          <w:sz w:val="24"/>
          <w:highlight w:val="none"/>
        </w:rPr>
      </w:pPr>
      <w:r>
        <w:rPr>
          <w:rFonts w:hint="eastAsia"/>
          <w:color w:val="auto"/>
          <w:sz w:val="24"/>
          <w:highlight w:val="none"/>
        </w:rPr>
        <w:t>表</w:t>
      </w:r>
      <w:r>
        <w:rPr>
          <w:rFonts w:hint="eastAsia"/>
          <w:color w:val="auto"/>
          <w:sz w:val="24"/>
          <w:highlight w:val="none"/>
          <w:lang w:val="en-US" w:eastAsia="zh-CN"/>
        </w:rPr>
        <w:t>7.3-4</w:t>
      </w:r>
      <w:r>
        <w:rPr>
          <w:rFonts w:hint="eastAsia"/>
          <w:color w:val="auto"/>
          <w:sz w:val="24"/>
          <w:highlight w:val="none"/>
        </w:rPr>
        <w:t xml:space="preserve">   地下水环境</w:t>
      </w:r>
      <w:r>
        <w:rPr>
          <w:rFonts w:hint="eastAsia"/>
          <w:color w:val="auto"/>
          <w:sz w:val="24"/>
          <w:highlight w:val="none"/>
          <w:lang w:val="en-US" w:eastAsia="zh-CN"/>
        </w:rPr>
        <w:t>跟踪</w:t>
      </w:r>
      <w:r>
        <w:rPr>
          <w:rFonts w:hint="eastAsia"/>
          <w:color w:val="auto"/>
          <w:sz w:val="24"/>
          <w:highlight w:val="none"/>
        </w:rPr>
        <w:t>监测点一览表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2202"/>
        <w:gridCol w:w="1934"/>
        <w:gridCol w:w="1832"/>
        <w:gridCol w:w="1574"/>
      </w:tblGrid>
      <w:tr w14:paraId="0D00D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tcBorders>
              <w:tl2br w:val="nil"/>
              <w:tr2bl w:val="nil"/>
            </w:tcBorders>
            <w:noWrap w:val="0"/>
            <w:vAlign w:val="center"/>
          </w:tcPr>
          <w:p w14:paraId="25A23965">
            <w:pPr>
              <w:pStyle w:val="245"/>
              <w:spacing w:line="240" w:lineRule="auto"/>
              <w:jc w:val="center"/>
              <w:rPr>
                <w:rFonts w:hint="eastAsia"/>
                <w:color w:val="auto"/>
                <w:highlight w:val="none"/>
              </w:rPr>
            </w:pPr>
            <w:r>
              <w:rPr>
                <w:rFonts w:hint="eastAsia"/>
                <w:color w:val="auto"/>
                <w:highlight w:val="none"/>
              </w:rPr>
              <w:t>编号</w:t>
            </w:r>
          </w:p>
        </w:tc>
        <w:tc>
          <w:tcPr>
            <w:tcW w:w="1292" w:type="pct"/>
            <w:tcBorders>
              <w:tl2br w:val="nil"/>
              <w:tr2bl w:val="nil"/>
            </w:tcBorders>
            <w:noWrap w:val="0"/>
            <w:vAlign w:val="center"/>
          </w:tcPr>
          <w:p w14:paraId="3F5DF2F9">
            <w:pPr>
              <w:pStyle w:val="245"/>
              <w:spacing w:line="240" w:lineRule="auto"/>
              <w:jc w:val="center"/>
              <w:rPr>
                <w:rFonts w:hint="eastAsia"/>
                <w:color w:val="auto"/>
                <w:highlight w:val="none"/>
              </w:rPr>
            </w:pPr>
            <w:r>
              <w:rPr>
                <w:rFonts w:hint="eastAsia"/>
                <w:color w:val="auto"/>
                <w:highlight w:val="none"/>
              </w:rPr>
              <w:t>方位</w:t>
            </w:r>
          </w:p>
        </w:tc>
        <w:tc>
          <w:tcPr>
            <w:tcW w:w="1135" w:type="pct"/>
            <w:tcBorders>
              <w:tl2br w:val="nil"/>
              <w:tr2bl w:val="nil"/>
            </w:tcBorders>
            <w:noWrap w:val="0"/>
            <w:vAlign w:val="center"/>
          </w:tcPr>
          <w:p w14:paraId="57E97396">
            <w:pPr>
              <w:pStyle w:val="245"/>
              <w:spacing w:line="240" w:lineRule="auto"/>
              <w:jc w:val="center"/>
              <w:rPr>
                <w:rFonts w:hint="eastAsia"/>
                <w:color w:val="auto"/>
                <w:highlight w:val="none"/>
              </w:rPr>
            </w:pPr>
            <w:r>
              <w:rPr>
                <w:rFonts w:hint="eastAsia"/>
                <w:color w:val="auto"/>
                <w:highlight w:val="none"/>
              </w:rPr>
              <w:t>位置</w:t>
            </w:r>
          </w:p>
        </w:tc>
        <w:tc>
          <w:tcPr>
            <w:tcW w:w="1075" w:type="pct"/>
            <w:tcBorders>
              <w:tl2br w:val="nil"/>
              <w:tr2bl w:val="nil"/>
            </w:tcBorders>
            <w:noWrap w:val="0"/>
            <w:vAlign w:val="center"/>
          </w:tcPr>
          <w:p w14:paraId="5F4E4266">
            <w:pPr>
              <w:pStyle w:val="245"/>
              <w:spacing w:line="240" w:lineRule="auto"/>
              <w:jc w:val="center"/>
              <w:rPr>
                <w:rFonts w:hint="eastAsia"/>
                <w:color w:val="auto"/>
                <w:highlight w:val="none"/>
              </w:rPr>
            </w:pPr>
            <w:r>
              <w:rPr>
                <w:rFonts w:hint="eastAsia"/>
                <w:color w:val="auto"/>
                <w:highlight w:val="none"/>
              </w:rPr>
              <w:t>功能</w:t>
            </w:r>
          </w:p>
        </w:tc>
        <w:tc>
          <w:tcPr>
            <w:tcW w:w="924" w:type="pct"/>
            <w:tcBorders>
              <w:tl2br w:val="nil"/>
              <w:tr2bl w:val="nil"/>
            </w:tcBorders>
            <w:noWrap w:val="0"/>
            <w:vAlign w:val="center"/>
          </w:tcPr>
          <w:p w14:paraId="07FE832F">
            <w:pPr>
              <w:pStyle w:val="245"/>
              <w:spacing w:line="240" w:lineRule="auto"/>
              <w:jc w:val="center"/>
              <w:rPr>
                <w:rFonts w:hint="eastAsia"/>
                <w:color w:val="auto"/>
                <w:highlight w:val="none"/>
              </w:rPr>
            </w:pPr>
            <w:r>
              <w:rPr>
                <w:rFonts w:hint="eastAsia"/>
                <w:color w:val="auto"/>
                <w:highlight w:val="none"/>
              </w:rPr>
              <w:t>监测层位</w:t>
            </w:r>
          </w:p>
        </w:tc>
      </w:tr>
      <w:tr w14:paraId="2AC2A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tcBorders>
              <w:tl2br w:val="nil"/>
              <w:tr2bl w:val="nil"/>
            </w:tcBorders>
            <w:noWrap w:val="0"/>
            <w:vAlign w:val="center"/>
          </w:tcPr>
          <w:p w14:paraId="1AE3AC9F">
            <w:pPr>
              <w:pStyle w:val="245"/>
              <w:spacing w:line="240" w:lineRule="auto"/>
              <w:jc w:val="center"/>
              <w:rPr>
                <w:rFonts w:hint="eastAsia" w:eastAsia="宋体"/>
                <w:color w:val="auto"/>
                <w:highlight w:val="none"/>
                <w:lang w:eastAsia="zh-CN"/>
              </w:rPr>
            </w:pPr>
            <w:r>
              <w:rPr>
                <w:rFonts w:hint="eastAsia"/>
                <w:color w:val="auto"/>
                <w:highlight w:val="none"/>
                <w:lang w:val="en-US" w:eastAsia="zh-CN"/>
              </w:rPr>
              <w:t>1</w:t>
            </w:r>
          </w:p>
        </w:tc>
        <w:tc>
          <w:tcPr>
            <w:tcW w:w="1292" w:type="pct"/>
            <w:tcBorders>
              <w:tl2br w:val="nil"/>
              <w:tr2bl w:val="nil"/>
            </w:tcBorders>
            <w:noWrap w:val="0"/>
            <w:vAlign w:val="center"/>
          </w:tcPr>
          <w:p w14:paraId="472F7AD5">
            <w:pPr>
              <w:pStyle w:val="245"/>
              <w:spacing w:line="240" w:lineRule="auto"/>
              <w:jc w:val="center"/>
              <w:rPr>
                <w:rFonts w:hint="eastAsia"/>
                <w:color w:val="auto"/>
                <w:highlight w:val="none"/>
              </w:rPr>
            </w:pPr>
            <w:r>
              <w:rPr>
                <w:rFonts w:hint="eastAsia"/>
                <w:color w:val="auto"/>
                <w:highlight w:val="none"/>
              </w:rPr>
              <w:t>厂区地下水下游</w:t>
            </w:r>
          </w:p>
        </w:tc>
        <w:tc>
          <w:tcPr>
            <w:tcW w:w="1135" w:type="pct"/>
            <w:tcBorders>
              <w:tl2br w:val="nil"/>
              <w:tr2bl w:val="nil"/>
            </w:tcBorders>
            <w:noWrap w:val="0"/>
            <w:vAlign w:val="center"/>
          </w:tcPr>
          <w:p w14:paraId="39408D32">
            <w:pPr>
              <w:pStyle w:val="245"/>
              <w:spacing w:line="240" w:lineRule="auto"/>
              <w:jc w:val="center"/>
              <w:rPr>
                <w:rFonts w:hint="default" w:eastAsia="宋体"/>
                <w:color w:val="auto"/>
                <w:highlight w:val="none"/>
                <w:lang w:val="en-US" w:eastAsia="zh-CN"/>
              </w:rPr>
            </w:pPr>
            <w:r>
              <w:rPr>
                <w:rFonts w:hint="eastAsia"/>
                <w:color w:val="auto"/>
                <w:highlight w:val="none"/>
              </w:rPr>
              <w:t>厂区</w:t>
            </w:r>
            <w:r>
              <w:rPr>
                <w:rFonts w:hint="eastAsia"/>
                <w:color w:val="auto"/>
                <w:highlight w:val="none"/>
                <w:lang w:val="en-US" w:eastAsia="zh-CN"/>
              </w:rPr>
              <w:t>东北角</w:t>
            </w:r>
          </w:p>
        </w:tc>
        <w:tc>
          <w:tcPr>
            <w:tcW w:w="1075" w:type="pct"/>
            <w:tcBorders>
              <w:tl2br w:val="nil"/>
              <w:tr2bl w:val="nil"/>
            </w:tcBorders>
            <w:noWrap w:val="0"/>
            <w:vAlign w:val="center"/>
          </w:tcPr>
          <w:p w14:paraId="49F3408E">
            <w:pPr>
              <w:pStyle w:val="245"/>
              <w:spacing w:line="240" w:lineRule="auto"/>
              <w:jc w:val="center"/>
              <w:rPr>
                <w:rFonts w:hint="eastAsia"/>
                <w:color w:val="auto"/>
                <w:highlight w:val="none"/>
              </w:rPr>
            </w:pPr>
            <w:r>
              <w:rPr>
                <w:rFonts w:hint="eastAsia"/>
                <w:color w:val="auto"/>
                <w:highlight w:val="none"/>
              </w:rPr>
              <w:t>跟踪监测井</w:t>
            </w:r>
          </w:p>
        </w:tc>
        <w:tc>
          <w:tcPr>
            <w:tcW w:w="924" w:type="pct"/>
            <w:tcBorders>
              <w:tl2br w:val="nil"/>
              <w:tr2bl w:val="nil"/>
            </w:tcBorders>
            <w:noWrap w:val="0"/>
            <w:vAlign w:val="center"/>
          </w:tcPr>
          <w:p w14:paraId="75DFA493">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潜水</w:t>
            </w:r>
          </w:p>
        </w:tc>
      </w:tr>
    </w:tbl>
    <w:p w14:paraId="2704267A">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lang w:val="en-US" w:eastAsia="zh-CN"/>
        </w:rPr>
        <w:t>2</w:t>
      </w:r>
      <w:r>
        <w:rPr>
          <w:color w:val="auto"/>
          <w:sz w:val="24"/>
          <w:szCs w:val="24"/>
          <w:highlight w:val="none"/>
        </w:rPr>
        <w:t>）地下水监测因子</w:t>
      </w:r>
    </w:p>
    <w:p w14:paraId="018821EE">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K</w:t>
      </w:r>
      <w:r>
        <w:rPr>
          <w:color w:val="auto"/>
          <w:sz w:val="24"/>
          <w:szCs w:val="24"/>
          <w:highlight w:val="none"/>
          <w:vertAlign w:val="superscript"/>
        </w:rPr>
        <w:t>+</w:t>
      </w:r>
      <w:r>
        <w:rPr>
          <w:color w:val="auto"/>
          <w:sz w:val="24"/>
          <w:szCs w:val="24"/>
          <w:highlight w:val="none"/>
        </w:rPr>
        <w:t>、Na</w:t>
      </w:r>
      <w:r>
        <w:rPr>
          <w:color w:val="auto"/>
          <w:sz w:val="24"/>
          <w:szCs w:val="24"/>
          <w:highlight w:val="none"/>
          <w:vertAlign w:val="superscript"/>
        </w:rPr>
        <w:t>+</w:t>
      </w:r>
      <w:r>
        <w:rPr>
          <w:color w:val="auto"/>
          <w:sz w:val="24"/>
          <w:szCs w:val="24"/>
          <w:highlight w:val="none"/>
        </w:rPr>
        <w:t>、Ca</w:t>
      </w:r>
      <w:r>
        <w:rPr>
          <w:color w:val="auto"/>
          <w:sz w:val="24"/>
          <w:szCs w:val="24"/>
          <w:highlight w:val="none"/>
          <w:vertAlign w:val="superscript"/>
        </w:rPr>
        <w:t>2+</w:t>
      </w:r>
      <w:r>
        <w:rPr>
          <w:color w:val="auto"/>
          <w:sz w:val="24"/>
          <w:szCs w:val="24"/>
          <w:highlight w:val="none"/>
        </w:rPr>
        <w:t>、Mg</w:t>
      </w:r>
      <w:r>
        <w:rPr>
          <w:color w:val="auto"/>
          <w:sz w:val="24"/>
          <w:szCs w:val="24"/>
          <w:highlight w:val="none"/>
          <w:vertAlign w:val="superscript"/>
        </w:rPr>
        <w:t>2+</w:t>
      </w:r>
      <w:r>
        <w:rPr>
          <w:color w:val="auto"/>
          <w:sz w:val="24"/>
          <w:szCs w:val="24"/>
          <w:highlight w:val="none"/>
        </w:rPr>
        <w:t>、CO</w:t>
      </w:r>
      <w:r>
        <w:rPr>
          <w:color w:val="auto"/>
          <w:sz w:val="24"/>
          <w:szCs w:val="24"/>
          <w:highlight w:val="none"/>
          <w:vertAlign w:val="subscript"/>
        </w:rPr>
        <w:t>3</w:t>
      </w:r>
      <w:r>
        <w:rPr>
          <w:color w:val="auto"/>
          <w:sz w:val="24"/>
          <w:szCs w:val="24"/>
          <w:highlight w:val="none"/>
          <w:vertAlign w:val="superscript"/>
        </w:rPr>
        <w:t>2-</w:t>
      </w:r>
      <w:r>
        <w:rPr>
          <w:color w:val="auto"/>
          <w:sz w:val="24"/>
          <w:szCs w:val="24"/>
          <w:highlight w:val="none"/>
        </w:rPr>
        <w:t>、HCO</w:t>
      </w:r>
      <w:r>
        <w:rPr>
          <w:color w:val="auto"/>
          <w:sz w:val="24"/>
          <w:szCs w:val="24"/>
          <w:highlight w:val="none"/>
          <w:vertAlign w:val="superscript"/>
        </w:rPr>
        <w:t>3-</w:t>
      </w:r>
      <w:r>
        <w:rPr>
          <w:color w:val="auto"/>
          <w:sz w:val="24"/>
          <w:szCs w:val="24"/>
          <w:highlight w:val="none"/>
        </w:rPr>
        <w:t>、Cl</w:t>
      </w:r>
      <w:r>
        <w:rPr>
          <w:color w:val="auto"/>
          <w:sz w:val="24"/>
          <w:szCs w:val="24"/>
          <w:highlight w:val="none"/>
          <w:vertAlign w:val="superscript"/>
        </w:rPr>
        <w:t>-</w:t>
      </w:r>
      <w:r>
        <w:rPr>
          <w:color w:val="auto"/>
          <w:sz w:val="24"/>
          <w:szCs w:val="24"/>
          <w:highlight w:val="none"/>
        </w:rPr>
        <w:t>、SO</w:t>
      </w:r>
      <w:r>
        <w:rPr>
          <w:color w:val="auto"/>
          <w:sz w:val="24"/>
          <w:szCs w:val="24"/>
          <w:highlight w:val="none"/>
          <w:vertAlign w:val="subscript"/>
        </w:rPr>
        <w:t>4</w:t>
      </w:r>
      <w:r>
        <w:rPr>
          <w:color w:val="auto"/>
          <w:sz w:val="24"/>
          <w:szCs w:val="24"/>
          <w:highlight w:val="none"/>
          <w:vertAlign w:val="superscript"/>
        </w:rPr>
        <w:t>2-</w:t>
      </w:r>
      <w:r>
        <w:rPr>
          <w:color w:val="auto"/>
          <w:sz w:val="24"/>
          <w:szCs w:val="24"/>
          <w:highlight w:val="none"/>
        </w:rPr>
        <w:t>、pH、氨氮（以N计）、硝酸盐（以N计）、亚硝酸盐（以N计）、挥发性酚类、氰化物、砷、汞、铬（六价）、总硬度、铅、氟化物、镉、铁、锰、溶解性总固体、高锰酸盐指数、氯化物、硫酸盐、总大肠菌群、菌落总数。</w:t>
      </w:r>
    </w:p>
    <w:p w14:paraId="507D73BA">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lang w:val="en-US" w:eastAsia="zh-CN"/>
        </w:rPr>
        <w:t>3</w:t>
      </w:r>
      <w:r>
        <w:rPr>
          <w:color w:val="auto"/>
          <w:sz w:val="24"/>
          <w:szCs w:val="24"/>
          <w:highlight w:val="none"/>
        </w:rPr>
        <w:t>）监测频次</w:t>
      </w:r>
    </w:p>
    <w:p w14:paraId="45A856E0">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具体参照《地下水环境监测技术规范》（HJ164-2020）：</w:t>
      </w:r>
    </w:p>
    <w:p w14:paraId="7E50B4DD">
      <w:pPr>
        <w:autoSpaceDE w:val="0"/>
        <w:autoSpaceDN w:val="0"/>
        <w:adjustRightInd w:val="0"/>
        <w:snapToGrid w:val="0"/>
        <w:spacing w:line="480" w:lineRule="exact"/>
        <w:ind w:firstLine="480" w:firstLineChars="200"/>
        <w:rPr>
          <w:color w:val="auto"/>
          <w:sz w:val="24"/>
          <w:szCs w:val="24"/>
          <w:highlight w:val="none"/>
        </w:rPr>
      </w:pPr>
      <w:r>
        <w:rPr>
          <w:rFonts w:hint="default"/>
          <w:color w:val="auto"/>
          <w:sz w:val="24"/>
          <w:szCs w:val="24"/>
          <w:highlight w:val="none"/>
          <w:lang w:val="en-US" w:eastAsia="zh-CN"/>
        </w:rPr>
        <w:t>①</w:t>
      </w:r>
      <w:r>
        <w:rPr>
          <w:rFonts w:hint="eastAsia"/>
          <w:color w:val="auto"/>
          <w:sz w:val="24"/>
          <w:szCs w:val="24"/>
          <w:highlight w:val="none"/>
          <w:lang w:val="en-US" w:eastAsia="zh-CN"/>
        </w:rPr>
        <w:t>地下水跟踪</w:t>
      </w:r>
      <w:r>
        <w:rPr>
          <w:color w:val="auto"/>
          <w:sz w:val="24"/>
          <w:szCs w:val="24"/>
          <w:highlight w:val="none"/>
        </w:rPr>
        <w:t>监测井，采样频次不少于每年2次</w:t>
      </w:r>
      <w:r>
        <w:rPr>
          <w:rFonts w:hint="eastAsia"/>
          <w:color w:val="auto"/>
          <w:sz w:val="24"/>
          <w:szCs w:val="24"/>
          <w:highlight w:val="none"/>
          <w:lang w:eastAsia="zh-CN"/>
        </w:rPr>
        <w:t>，</w:t>
      </w:r>
      <w:r>
        <w:rPr>
          <w:rFonts w:hint="eastAsia"/>
          <w:color w:val="auto"/>
          <w:sz w:val="24"/>
          <w:szCs w:val="24"/>
          <w:highlight w:val="none"/>
          <w:lang w:val="en-US" w:eastAsia="zh-CN"/>
        </w:rPr>
        <w:t>1次/半年</w:t>
      </w:r>
      <w:r>
        <w:rPr>
          <w:color w:val="auto"/>
          <w:sz w:val="24"/>
          <w:szCs w:val="24"/>
          <w:highlight w:val="none"/>
        </w:rPr>
        <w:t>；</w:t>
      </w:r>
    </w:p>
    <w:p w14:paraId="524CE67E">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 2 \* GB3 </w:instrText>
      </w:r>
      <w:r>
        <w:rPr>
          <w:color w:val="auto"/>
          <w:sz w:val="24"/>
          <w:szCs w:val="24"/>
          <w:highlight w:val="none"/>
        </w:rPr>
        <w:fldChar w:fldCharType="separate"/>
      </w:r>
      <w:r>
        <w:rPr>
          <w:rFonts w:hint="eastAsia"/>
          <w:color w:val="auto"/>
          <w:sz w:val="24"/>
          <w:szCs w:val="24"/>
          <w:highlight w:val="none"/>
        </w:rPr>
        <w:t>②</w:t>
      </w:r>
      <w:r>
        <w:rPr>
          <w:color w:val="auto"/>
          <w:sz w:val="24"/>
          <w:szCs w:val="24"/>
          <w:highlight w:val="none"/>
        </w:rPr>
        <w:fldChar w:fldCharType="end"/>
      </w:r>
      <w:r>
        <w:rPr>
          <w:color w:val="auto"/>
          <w:sz w:val="24"/>
          <w:szCs w:val="24"/>
          <w:highlight w:val="none"/>
        </w:rPr>
        <w:t>如发现异常或发生事故，加密监测频次，并分析污染原因，确定泄漏污染源，及时采取对应应急措施</w:t>
      </w:r>
      <w:r>
        <w:rPr>
          <w:rFonts w:hint="eastAsia"/>
          <w:color w:val="auto"/>
          <w:sz w:val="24"/>
          <w:szCs w:val="24"/>
          <w:highlight w:val="none"/>
          <w:lang w:eastAsia="zh-CN"/>
        </w:rPr>
        <w:t>，</w:t>
      </w:r>
      <w:r>
        <w:rPr>
          <w:color w:val="auto"/>
          <w:sz w:val="24"/>
          <w:szCs w:val="24"/>
          <w:highlight w:val="none"/>
        </w:rPr>
        <w:t>防止污染范围进一步扩大。</w:t>
      </w:r>
    </w:p>
    <w:p w14:paraId="0835DA55">
      <w:pPr>
        <w:autoSpaceDE w:val="0"/>
        <w:autoSpaceDN w:val="0"/>
        <w:adjustRightInd w:val="0"/>
        <w:snapToGrid w:val="0"/>
        <w:spacing w:line="480" w:lineRule="exact"/>
        <w:ind w:firstLine="480" w:firstLineChars="200"/>
        <w:rPr>
          <w:rFonts w:hint="default" w:eastAsia="宋体"/>
          <w:color w:val="auto"/>
          <w:sz w:val="24"/>
          <w:szCs w:val="24"/>
          <w:highlight w:val="none"/>
          <w:lang w:val="en-US" w:eastAsia="zh-CN"/>
        </w:rPr>
      </w:pPr>
      <w:r>
        <w:rPr>
          <w:color w:val="auto"/>
          <w:sz w:val="24"/>
          <w:szCs w:val="24"/>
          <w:highlight w:val="none"/>
        </w:rPr>
        <w:t>（</w:t>
      </w:r>
      <w:r>
        <w:rPr>
          <w:rFonts w:hint="eastAsia"/>
          <w:color w:val="auto"/>
          <w:sz w:val="24"/>
          <w:szCs w:val="24"/>
          <w:highlight w:val="none"/>
          <w:lang w:val="en-US" w:eastAsia="zh-CN"/>
        </w:rPr>
        <w:t>4</w:t>
      </w:r>
      <w:r>
        <w:rPr>
          <w:color w:val="auto"/>
          <w:sz w:val="24"/>
          <w:szCs w:val="24"/>
          <w:highlight w:val="none"/>
        </w:rPr>
        <w:t>）</w:t>
      </w:r>
      <w:r>
        <w:rPr>
          <w:rFonts w:hint="eastAsia"/>
          <w:color w:val="auto"/>
          <w:sz w:val="24"/>
          <w:szCs w:val="24"/>
          <w:highlight w:val="none"/>
          <w:lang w:val="en-US" w:eastAsia="zh-CN"/>
        </w:rPr>
        <w:t>执行标准</w:t>
      </w:r>
    </w:p>
    <w:p w14:paraId="13306223">
      <w:pPr>
        <w:autoSpaceDE w:val="0"/>
        <w:autoSpaceDN w:val="0"/>
        <w:adjustRightInd w:val="0"/>
        <w:snapToGrid w:val="0"/>
        <w:spacing w:line="480" w:lineRule="exact"/>
        <w:ind w:firstLine="480" w:firstLineChars="200"/>
        <w:rPr>
          <w:rFonts w:hint="eastAsia" w:eastAsia="宋体"/>
          <w:color w:val="auto"/>
          <w:sz w:val="24"/>
          <w:szCs w:val="24"/>
          <w:highlight w:val="none"/>
          <w:lang w:eastAsia="zh-CN"/>
        </w:rPr>
      </w:pPr>
      <w:r>
        <w:rPr>
          <w:rFonts w:hint="eastAsia"/>
          <w:color w:val="auto"/>
          <w:highlight w:val="none"/>
        </w:rPr>
        <w:t>执行《地下水质量标准》</w:t>
      </w:r>
      <w:r>
        <w:rPr>
          <w:color w:val="auto"/>
          <w:highlight w:val="none"/>
        </w:rPr>
        <w:t>(GB/T14848-2017</w:t>
      </w:r>
      <w:r>
        <w:rPr>
          <w:rFonts w:hint="eastAsia"/>
          <w:color w:val="auto"/>
          <w:highlight w:val="none"/>
        </w:rPr>
        <w:t>）中的</w:t>
      </w:r>
      <w:r>
        <w:rPr>
          <w:rFonts w:hint="eastAsia" w:hAnsi="宋体" w:cs="宋体"/>
          <w:color w:val="auto"/>
          <w:highlight w:val="none"/>
        </w:rPr>
        <w:t>Ⅲ</w:t>
      </w:r>
      <w:r>
        <w:rPr>
          <w:rFonts w:hint="eastAsia"/>
          <w:color w:val="auto"/>
          <w:highlight w:val="none"/>
        </w:rPr>
        <w:t>类标准</w:t>
      </w:r>
      <w:r>
        <w:rPr>
          <w:rFonts w:hint="eastAsia"/>
          <w:color w:val="auto"/>
          <w:highlight w:val="none"/>
          <w:lang w:eastAsia="zh-CN"/>
        </w:rPr>
        <w:t>。</w:t>
      </w:r>
    </w:p>
    <w:p w14:paraId="6187F79A">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lang w:val="en-US" w:eastAsia="zh-CN"/>
        </w:rPr>
        <w:t>5</w:t>
      </w:r>
      <w:r>
        <w:rPr>
          <w:color w:val="auto"/>
          <w:sz w:val="24"/>
          <w:szCs w:val="24"/>
          <w:highlight w:val="none"/>
        </w:rPr>
        <w:t>）监测数据管理</w:t>
      </w:r>
    </w:p>
    <w:p w14:paraId="73A1F172">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上述监测结果应按相关规定及时建立档案，并定期向所在地环境保护行政主管部门汇报</w:t>
      </w:r>
      <w:r>
        <w:rPr>
          <w:rFonts w:hint="eastAsia"/>
          <w:color w:val="auto"/>
          <w:sz w:val="24"/>
          <w:szCs w:val="24"/>
          <w:highlight w:val="none"/>
          <w:lang w:eastAsia="zh-CN"/>
        </w:rPr>
        <w:t>，</w:t>
      </w:r>
      <w:r>
        <w:rPr>
          <w:rFonts w:hint="eastAsia"/>
          <w:color w:val="auto"/>
          <w:sz w:val="24"/>
          <w:szCs w:val="24"/>
          <w:highlight w:val="none"/>
          <w:lang w:val="en-US" w:eastAsia="zh-CN"/>
        </w:rPr>
        <w:t>向公众</w:t>
      </w:r>
      <w:r>
        <w:rPr>
          <w:color w:val="auto"/>
          <w:sz w:val="24"/>
          <w:szCs w:val="24"/>
          <w:highlight w:val="none"/>
        </w:rPr>
        <w:t>公开常规监测数据。</w:t>
      </w:r>
    </w:p>
    <w:p w14:paraId="3E7524E4">
      <w:pPr>
        <w:autoSpaceDE w:val="0"/>
        <w:autoSpaceDN w:val="0"/>
        <w:adjustRightInd w:val="0"/>
        <w:snapToGrid w:val="0"/>
        <w:spacing w:line="480" w:lineRule="exact"/>
        <w:ind w:firstLine="482" w:firstLineChars="200"/>
        <w:rPr>
          <w:b/>
          <w:bCs/>
          <w:color w:val="auto"/>
          <w:sz w:val="24"/>
          <w:szCs w:val="24"/>
          <w:highlight w:val="none"/>
        </w:rPr>
      </w:pPr>
      <w:r>
        <w:rPr>
          <w:rFonts w:hint="eastAsia"/>
          <w:b/>
          <w:bCs/>
          <w:color w:val="auto"/>
          <w:sz w:val="24"/>
          <w:szCs w:val="24"/>
          <w:highlight w:val="none"/>
        </w:rPr>
        <w:t>4、</w:t>
      </w:r>
      <w:r>
        <w:rPr>
          <w:b/>
          <w:bCs/>
          <w:color w:val="auto"/>
          <w:sz w:val="24"/>
          <w:szCs w:val="24"/>
          <w:highlight w:val="none"/>
        </w:rPr>
        <w:t>应急响应</w:t>
      </w:r>
    </w:p>
    <w:p w14:paraId="5AF46B4F">
      <w:pPr>
        <w:autoSpaceDE w:val="0"/>
        <w:autoSpaceDN w:val="0"/>
        <w:adjustRightInd w:val="0"/>
        <w:snapToGrid w:val="0"/>
        <w:spacing w:line="480" w:lineRule="exact"/>
        <w:ind w:firstLine="480" w:firstLineChars="200"/>
        <w:rPr>
          <w:color w:val="auto"/>
          <w:sz w:val="24"/>
          <w:szCs w:val="24"/>
          <w:highlight w:val="none"/>
        </w:rPr>
      </w:pPr>
      <w:bookmarkStart w:id="223" w:name="_Toc24447643"/>
      <w:bookmarkStart w:id="224" w:name="_Toc24340248"/>
      <w:bookmarkStart w:id="225" w:name="_Toc24447204"/>
      <w:bookmarkStart w:id="226" w:name="_Toc58916183"/>
      <w:r>
        <w:rPr>
          <w:color w:val="auto"/>
          <w:sz w:val="24"/>
          <w:szCs w:val="24"/>
          <w:highlight w:val="none"/>
        </w:rPr>
        <w:t>若发生突然泄漏事故</w:t>
      </w:r>
      <w:r>
        <w:rPr>
          <w:rFonts w:hint="eastAsia"/>
          <w:color w:val="auto"/>
          <w:sz w:val="24"/>
          <w:szCs w:val="24"/>
          <w:highlight w:val="none"/>
          <w:lang w:val="en-US" w:eastAsia="zh-CN"/>
        </w:rPr>
        <w:t>会</w:t>
      </w:r>
      <w:r>
        <w:rPr>
          <w:color w:val="auto"/>
          <w:sz w:val="24"/>
          <w:szCs w:val="24"/>
          <w:highlight w:val="none"/>
        </w:rPr>
        <w:t>对地下水造成污染</w:t>
      </w:r>
      <w:r>
        <w:rPr>
          <w:rFonts w:hint="eastAsia"/>
          <w:color w:val="auto"/>
          <w:sz w:val="24"/>
          <w:szCs w:val="24"/>
          <w:highlight w:val="none"/>
          <w:lang w:eastAsia="zh-CN"/>
        </w:rPr>
        <w:t>，</w:t>
      </w:r>
      <w:r>
        <w:rPr>
          <w:rFonts w:hint="eastAsia"/>
          <w:color w:val="auto"/>
          <w:sz w:val="24"/>
          <w:szCs w:val="24"/>
          <w:highlight w:val="none"/>
          <w:lang w:val="en-US" w:eastAsia="zh-CN"/>
        </w:rPr>
        <w:t>故企业应制定突发环境事件应急预案，</w:t>
      </w:r>
      <w:r>
        <w:rPr>
          <w:color w:val="auto"/>
          <w:sz w:val="24"/>
          <w:szCs w:val="24"/>
          <w:highlight w:val="none"/>
        </w:rPr>
        <w:t>有序开展地下水污染事故处理，有效控制地下水环境污染范围和程度。结合项目特点，参照有关技术导则，制定地下水污染事故</w:t>
      </w:r>
      <w:r>
        <w:rPr>
          <w:rFonts w:hint="eastAsia"/>
          <w:color w:val="auto"/>
          <w:sz w:val="24"/>
          <w:szCs w:val="24"/>
          <w:highlight w:val="none"/>
          <w:lang w:val="en-US" w:eastAsia="zh-CN"/>
        </w:rPr>
        <w:t>应急</w:t>
      </w:r>
      <w:r>
        <w:rPr>
          <w:color w:val="auto"/>
          <w:sz w:val="24"/>
          <w:szCs w:val="24"/>
          <w:highlight w:val="none"/>
        </w:rPr>
        <w:t>处理程序见下图</w:t>
      </w:r>
      <w:r>
        <w:rPr>
          <w:rFonts w:hint="eastAsia"/>
          <w:color w:val="auto"/>
          <w:sz w:val="24"/>
          <w:szCs w:val="24"/>
          <w:highlight w:val="none"/>
          <w:lang w:val="en-US" w:eastAsia="zh-CN"/>
        </w:rPr>
        <w:t>7.3-1</w:t>
      </w:r>
      <w:r>
        <w:rPr>
          <w:color w:val="auto"/>
          <w:sz w:val="24"/>
          <w:szCs w:val="24"/>
          <w:highlight w:val="none"/>
        </w:rPr>
        <w:t>。</w:t>
      </w:r>
    </w:p>
    <w:p w14:paraId="34CFDA3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position w:val="-107"/>
          <w:highlight w:val="none"/>
        </w:rPr>
      </w:pPr>
      <w:r>
        <w:rPr>
          <w:color w:val="auto"/>
          <w:position w:val="-107"/>
          <w:highlight w:val="none"/>
        </w:rPr>
        <w:drawing>
          <wp:inline distT="0" distB="0" distL="114300" distR="114300">
            <wp:extent cx="5194300" cy="3740150"/>
            <wp:effectExtent l="0" t="0" r="6350" b="12700"/>
            <wp:docPr id="47" name="IM 472"/>
            <wp:cNvGraphicFramePr/>
            <a:graphic xmlns:a="http://schemas.openxmlformats.org/drawingml/2006/main">
              <a:graphicData uri="http://schemas.openxmlformats.org/drawingml/2006/picture">
                <pic:pic xmlns:pic="http://schemas.openxmlformats.org/drawingml/2006/picture">
                  <pic:nvPicPr>
                    <pic:cNvPr id="47" name="IM 472"/>
                    <pic:cNvPicPr/>
                  </pic:nvPicPr>
                  <pic:blipFill>
                    <a:blip r:embed="rId94"/>
                    <a:stretch>
                      <a:fillRect/>
                    </a:stretch>
                  </pic:blipFill>
                  <pic:spPr>
                    <a:xfrm>
                      <a:off x="0" y="0"/>
                      <a:ext cx="5194300" cy="3740150"/>
                    </a:xfrm>
                    <a:prstGeom prst="rect">
                      <a:avLst/>
                    </a:prstGeom>
                    <a:noFill/>
                    <a:ln>
                      <a:noFill/>
                    </a:ln>
                  </pic:spPr>
                </pic:pic>
              </a:graphicData>
            </a:graphic>
          </wp:inline>
        </w:drawing>
      </w:r>
    </w:p>
    <w:p w14:paraId="37480929">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eastAsia"/>
          <w:b/>
          <w:bCs/>
          <w:color w:val="auto"/>
          <w:highlight w:val="none"/>
        </w:rPr>
      </w:pPr>
      <w:r>
        <w:rPr>
          <w:rFonts w:hint="eastAsia"/>
          <w:b/>
          <w:bCs/>
          <w:color w:val="auto"/>
          <w:highlight w:val="none"/>
        </w:rPr>
        <w:t>图</w:t>
      </w:r>
      <w:r>
        <w:rPr>
          <w:rFonts w:hint="eastAsia"/>
          <w:b/>
          <w:bCs/>
          <w:color w:val="auto"/>
          <w:highlight w:val="none"/>
          <w:lang w:val="en-US" w:eastAsia="zh-CN"/>
        </w:rPr>
        <w:t xml:space="preserve">7.3-1   </w:t>
      </w:r>
      <w:r>
        <w:rPr>
          <w:rFonts w:hint="eastAsia"/>
          <w:b/>
          <w:bCs/>
          <w:color w:val="auto"/>
          <w:highlight w:val="none"/>
        </w:rPr>
        <w:t xml:space="preserve"> 地下水污染</w:t>
      </w:r>
      <w:r>
        <w:rPr>
          <w:rFonts w:hint="eastAsia"/>
          <w:b/>
          <w:bCs/>
          <w:color w:val="auto"/>
          <w:highlight w:val="none"/>
          <w:lang w:val="en-US" w:eastAsia="zh-CN"/>
        </w:rPr>
        <w:t>事故应急</w:t>
      </w:r>
      <w:r>
        <w:rPr>
          <w:rFonts w:hint="eastAsia"/>
          <w:b/>
          <w:bCs/>
          <w:color w:val="auto"/>
          <w:highlight w:val="none"/>
        </w:rPr>
        <w:t>处理程</w:t>
      </w:r>
      <w:r>
        <w:rPr>
          <w:rFonts w:hint="eastAsia"/>
          <w:b/>
          <w:bCs/>
          <w:color w:val="auto"/>
          <w:highlight w:val="none"/>
          <w:lang w:val="en-US" w:eastAsia="zh-CN"/>
        </w:rPr>
        <w:t>工作流程</w:t>
      </w:r>
      <w:r>
        <w:rPr>
          <w:rFonts w:hint="eastAsia"/>
          <w:b/>
          <w:bCs/>
          <w:color w:val="auto"/>
          <w:highlight w:val="none"/>
        </w:rPr>
        <w:t>图</w:t>
      </w:r>
    </w:p>
    <w:p w14:paraId="2EFD90FB">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污染事故发生后，应及时进行现场污染控制和处理，包括阻断污染源、清理污染物等措施；及时向各级政府上报。同时对污染事故风险及时作出初步评估。</w:t>
      </w:r>
    </w:p>
    <w:p w14:paraId="5A919908">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一旦发生地下水污染事故，应立即启动应急预案。</w:t>
      </w:r>
    </w:p>
    <w:p w14:paraId="77B14D90">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color w:val="auto"/>
          <w:sz w:val="24"/>
          <w:szCs w:val="24"/>
          <w:highlight w:val="none"/>
        </w:rPr>
        <w:t>一旦地下水监测网监测出地下水受到污染或一旦发现防渗层或管道发生破裂污染地下水，立即对渗漏处进行封堵。</w:t>
      </w:r>
    </w:p>
    <w:p w14:paraId="445CE9E6">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color w:val="auto"/>
          <w:sz w:val="24"/>
          <w:szCs w:val="24"/>
          <w:highlight w:val="none"/>
        </w:rPr>
        <w:t>探明地下水污染深度、范围和污染程度。</w:t>
      </w:r>
    </w:p>
    <w:p w14:paraId="54A83E6D">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color w:val="auto"/>
          <w:sz w:val="24"/>
          <w:szCs w:val="24"/>
          <w:highlight w:val="none"/>
        </w:rPr>
        <w:t>依据探明的地下水污染情况，合理布置截渗井，并进行试抽工作。</w:t>
      </w:r>
    </w:p>
    <w:p w14:paraId="5DEF14F7">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5</w:t>
      </w:r>
      <w:r>
        <w:rPr>
          <w:rFonts w:hint="eastAsia"/>
          <w:color w:val="auto"/>
          <w:sz w:val="24"/>
          <w:szCs w:val="24"/>
          <w:highlight w:val="none"/>
          <w:lang w:eastAsia="zh-CN"/>
        </w:rPr>
        <w:t>）</w:t>
      </w:r>
      <w:r>
        <w:rPr>
          <w:color w:val="auto"/>
          <w:sz w:val="24"/>
          <w:szCs w:val="24"/>
          <w:highlight w:val="none"/>
        </w:rPr>
        <w:t>设计抽水方案进行施工，抽取被污染的地下水体，并依据各井孔出水情况进行 调整。</w:t>
      </w:r>
    </w:p>
    <w:p w14:paraId="7DDCDAD2">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6</w:t>
      </w:r>
      <w:r>
        <w:rPr>
          <w:rFonts w:hint="eastAsia"/>
          <w:color w:val="auto"/>
          <w:sz w:val="24"/>
          <w:szCs w:val="24"/>
          <w:highlight w:val="none"/>
          <w:lang w:eastAsia="zh-CN"/>
        </w:rPr>
        <w:t>）</w:t>
      </w:r>
      <w:r>
        <w:rPr>
          <w:color w:val="auto"/>
          <w:sz w:val="24"/>
          <w:szCs w:val="24"/>
          <w:highlight w:val="none"/>
        </w:rPr>
        <w:t>将抽取的地下水进行集中收集处理，并送实验室进行化验分析。</w:t>
      </w:r>
    </w:p>
    <w:p w14:paraId="395B4A88">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7</w:t>
      </w:r>
      <w:r>
        <w:rPr>
          <w:rFonts w:hint="eastAsia"/>
          <w:color w:val="auto"/>
          <w:sz w:val="24"/>
          <w:szCs w:val="24"/>
          <w:highlight w:val="none"/>
          <w:lang w:eastAsia="zh-CN"/>
        </w:rPr>
        <w:t>）</w:t>
      </w:r>
      <w:r>
        <w:rPr>
          <w:color w:val="auto"/>
          <w:sz w:val="24"/>
          <w:szCs w:val="24"/>
          <w:highlight w:val="none"/>
        </w:rPr>
        <w:t>当地下水中的特征污染物浓度满足地下水功能区划的标准后，逐步停止抽水。</w:t>
      </w:r>
    </w:p>
    <w:p w14:paraId="2144FDC1">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8</w:t>
      </w:r>
      <w:r>
        <w:rPr>
          <w:rFonts w:hint="eastAsia"/>
          <w:color w:val="auto"/>
          <w:sz w:val="24"/>
          <w:szCs w:val="24"/>
          <w:highlight w:val="none"/>
          <w:lang w:eastAsia="zh-CN"/>
        </w:rPr>
        <w:t>）</w:t>
      </w:r>
      <w:r>
        <w:rPr>
          <w:color w:val="auto"/>
          <w:sz w:val="24"/>
          <w:szCs w:val="24"/>
          <w:highlight w:val="none"/>
        </w:rPr>
        <w:t>若抽水难以控制污染羽向下游迁移的趋势，可在综合考虑经济可行性、技术可行性以及环境效益的前提下，在污染羽下游设置隔水帷幕，阻止污染羽向下游迁移；或设置可渗透性反应墙进行原位修复。</w:t>
      </w:r>
    </w:p>
    <w:p w14:paraId="30C274A4">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应急处理结束，在调查监测基础上，对事故所引起的地下水环境风险做出精确综合评价，包括对地下水环境及环境保护目标的短期影响、长期影响等。在事故造成地下水环境污染时，建设单位要提出地下水环境修复治理方案，经地下水环境监管部门审查通过后，组织实施地下水环境污染的修复治理工程，并由地下水环境监管部门进行工程验收。</w:t>
      </w:r>
    </w:p>
    <w:p w14:paraId="5DD4579E">
      <w:pPr>
        <w:pStyle w:val="4"/>
        <w:spacing w:before="120" w:after="120"/>
        <w:rPr>
          <w:color w:val="auto"/>
          <w:highlight w:val="none"/>
        </w:rPr>
      </w:pPr>
      <w:bookmarkStart w:id="227" w:name="_Toc30088"/>
      <w:r>
        <w:rPr>
          <w:rFonts w:hint="eastAsia"/>
          <w:color w:val="auto"/>
          <w:highlight w:val="none"/>
          <w:lang w:val="en-US" w:eastAsia="zh-CN"/>
        </w:rPr>
        <w:t>噪声</w:t>
      </w:r>
      <w:r>
        <w:rPr>
          <w:rFonts w:hint="eastAsia"/>
          <w:color w:val="auto"/>
          <w:highlight w:val="none"/>
        </w:rPr>
        <w:t>污染防治措施</w:t>
      </w:r>
      <w:bookmarkEnd w:id="227"/>
    </w:p>
    <w:p w14:paraId="6AC06C42">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val="en-US" w:eastAsia="zh-CN"/>
        </w:rPr>
        <w:t>本</w:t>
      </w:r>
      <w:r>
        <w:rPr>
          <w:rFonts w:hint="eastAsia"/>
          <w:color w:val="auto"/>
          <w:sz w:val="24"/>
          <w:szCs w:val="24"/>
          <w:highlight w:val="none"/>
          <w:lang w:eastAsia="zh-CN"/>
        </w:rPr>
        <w:t>项目生产运行阶段，产噪设备主要包括给料机、破碎机、振动筛、球磨机、螺旋分级机、浮选机、水环真空泵、浓缩机等生产设备以及装载机、运输车辆。生产设备噪声源强较大，强度范围在60~</w:t>
      </w:r>
      <w:r>
        <w:rPr>
          <w:rFonts w:hint="eastAsia"/>
          <w:color w:val="auto"/>
          <w:sz w:val="24"/>
          <w:szCs w:val="24"/>
          <w:highlight w:val="none"/>
          <w:lang w:val="en-US" w:eastAsia="zh-CN"/>
        </w:rPr>
        <w:t>100</w:t>
      </w:r>
      <w:r>
        <w:rPr>
          <w:rFonts w:hint="eastAsia"/>
          <w:color w:val="auto"/>
          <w:sz w:val="24"/>
          <w:szCs w:val="24"/>
          <w:highlight w:val="none"/>
          <w:lang w:eastAsia="zh-CN"/>
        </w:rPr>
        <w:t>dB（A）。通过采取封闭车间厂房、设备基础减振等降噪措施，可降低设备运行产生的噪声。生产设备噪声和运输车辆噪源强较大，强度范围在60~90dB（A），工程通过采取隔声、减振和合理布局等，降噪效果10~20dB（A）。</w:t>
      </w:r>
    </w:p>
    <w:p w14:paraId="61897BCF">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为降低设备噪声对周围环境的影响，建设单位拟采取以下降噪措施：</w:t>
      </w:r>
    </w:p>
    <w:p w14:paraId="5C197B17">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（1）平面布置将高噪声的设备集中布置，生产区与生活办公区分开布设；</w:t>
      </w:r>
    </w:p>
    <w:p w14:paraId="3D9FE825">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（2）选用噪声低、振动小的设备，同时运营后加强对各种机械的维修保养，保持其良好的运行效果；设备均采用隔振基础、柔性接头、弹性隔振吊、支架等；</w:t>
      </w:r>
    </w:p>
    <w:p w14:paraId="73965656">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（3）生产设备置于车间内，充分利用建筑物隔声，降低对周围环境的影响；</w:t>
      </w:r>
    </w:p>
    <w:p w14:paraId="1457F7D3">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）运输车辆</w:t>
      </w:r>
      <w:r>
        <w:rPr>
          <w:rFonts w:hint="eastAsia"/>
          <w:color w:val="auto"/>
          <w:sz w:val="24"/>
          <w:szCs w:val="24"/>
          <w:highlight w:val="none"/>
          <w:lang w:val="en-US" w:eastAsia="zh-CN"/>
        </w:rPr>
        <w:t>加强管理，控制车速</w:t>
      </w:r>
      <w:r>
        <w:rPr>
          <w:rFonts w:hint="eastAsia"/>
          <w:color w:val="auto"/>
          <w:sz w:val="24"/>
          <w:szCs w:val="24"/>
          <w:highlight w:val="none"/>
          <w:lang w:eastAsia="zh-CN"/>
        </w:rPr>
        <w:t>、禁止鸣笛</w:t>
      </w:r>
      <w:r>
        <w:rPr>
          <w:rFonts w:hint="eastAsia"/>
          <w:color w:val="auto"/>
          <w:sz w:val="24"/>
          <w:szCs w:val="24"/>
          <w:highlight w:val="none"/>
          <w:lang w:val="en-US" w:eastAsia="zh-CN"/>
        </w:rPr>
        <w:t>等管理措施；</w:t>
      </w:r>
    </w:p>
    <w:p w14:paraId="3C51F7B9">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5</w:t>
      </w:r>
      <w:r>
        <w:rPr>
          <w:rFonts w:hint="eastAsia"/>
          <w:color w:val="auto"/>
          <w:sz w:val="24"/>
          <w:szCs w:val="24"/>
          <w:highlight w:val="none"/>
          <w:lang w:eastAsia="zh-CN"/>
        </w:rPr>
        <w:t>）加强厂区四周绿化，合理配置绿化物种及高度，以提高绿地和树木对噪声的阻断和吸收衰减作用。</w:t>
      </w:r>
    </w:p>
    <w:p w14:paraId="0A6FC516">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根据声环境影响预测评价预测结果可知，项目生产运行阶段产噪设备对各边界的噪声昼夜贡献值均满足《工业企业厂界环境噪声排放标准》（GB12348-2008）</w:t>
      </w:r>
      <w:r>
        <w:rPr>
          <w:rFonts w:hint="eastAsia"/>
          <w:color w:val="auto"/>
          <w:sz w:val="24"/>
          <w:szCs w:val="24"/>
          <w:highlight w:val="none"/>
          <w:lang w:val="en-US" w:eastAsia="zh-CN"/>
        </w:rPr>
        <w:t>3</w:t>
      </w:r>
      <w:r>
        <w:rPr>
          <w:rFonts w:hint="eastAsia"/>
          <w:color w:val="auto"/>
          <w:sz w:val="24"/>
          <w:szCs w:val="24"/>
          <w:highlight w:val="none"/>
          <w:lang w:eastAsia="zh-CN"/>
        </w:rPr>
        <w:t>类标准要求。类比同类项目产噪设备采取以上降噪措施降噪效果，项目采取的降噪措施可行。</w:t>
      </w:r>
    </w:p>
    <w:p w14:paraId="6AF3976C">
      <w:pPr>
        <w:pStyle w:val="4"/>
        <w:spacing w:before="120" w:after="120"/>
        <w:rPr>
          <w:color w:val="auto"/>
          <w:highlight w:val="none"/>
        </w:rPr>
      </w:pPr>
      <w:bookmarkStart w:id="228" w:name="_Toc30170"/>
      <w:r>
        <w:rPr>
          <w:rFonts w:hint="eastAsia"/>
          <w:color w:val="auto"/>
          <w:highlight w:val="none"/>
        </w:rPr>
        <w:t>固体废物污染防治措施</w:t>
      </w:r>
      <w:bookmarkEnd w:id="223"/>
      <w:bookmarkEnd w:id="224"/>
      <w:bookmarkEnd w:id="225"/>
      <w:bookmarkEnd w:id="226"/>
      <w:bookmarkEnd w:id="228"/>
    </w:p>
    <w:p w14:paraId="0C038416">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val="en-US" w:eastAsia="zh-CN"/>
        </w:rPr>
        <w:t>本</w:t>
      </w:r>
      <w:r>
        <w:rPr>
          <w:rFonts w:hint="eastAsia"/>
          <w:color w:val="auto"/>
          <w:sz w:val="24"/>
          <w:szCs w:val="24"/>
          <w:highlight w:val="none"/>
          <w:lang w:eastAsia="zh-CN"/>
        </w:rPr>
        <w:t>项目产生的固体废物分为生活垃圾、一般工业固体废物和危险废物。一般工业固废废物主要包括</w:t>
      </w:r>
      <w:r>
        <w:rPr>
          <w:rFonts w:hint="eastAsia"/>
          <w:color w:val="auto"/>
          <w:sz w:val="24"/>
          <w:szCs w:val="24"/>
          <w:highlight w:val="none"/>
          <w:lang w:val="en-US" w:eastAsia="zh-CN"/>
        </w:rPr>
        <w:t>循环沉淀池污泥、</w:t>
      </w:r>
      <w:r>
        <w:rPr>
          <w:rFonts w:hint="eastAsia"/>
          <w:color w:val="auto"/>
          <w:sz w:val="24"/>
          <w:szCs w:val="24"/>
          <w:highlight w:val="none"/>
          <w:lang w:eastAsia="zh-CN"/>
        </w:rPr>
        <w:t>尾</w:t>
      </w:r>
      <w:r>
        <w:rPr>
          <w:rFonts w:hint="eastAsia"/>
          <w:color w:val="auto"/>
          <w:sz w:val="24"/>
          <w:szCs w:val="24"/>
          <w:highlight w:val="none"/>
          <w:lang w:val="en-US" w:eastAsia="zh-CN"/>
        </w:rPr>
        <w:t>矿</w:t>
      </w:r>
      <w:r>
        <w:rPr>
          <w:rFonts w:hint="eastAsia"/>
          <w:color w:val="auto"/>
          <w:sz w:val="24"/>
          <w:szCs w:val="24"/>
          <w:highlight w:val="none"/>
          <w:lang w:eastAsia="zh-CN"/>
        </w:rPr>
        <w:t>砂、除尘灰、废钢球；危险废物主要为机修过程产生的废</w:t>
      </w:r>
      <w:r>
        <w:rPr>
          <w:rFonts w:hint="eastAsia"/>
          <w:color w:val="auto"/>
          <w:sz w:val="24"/>
          <w:szCs w:val="24"/>
          <w:highlight w:val="none"/>
          <w:lang w:val="en-US" w:eastAsia="zh-CN"/>
        </w:rPr>
        <w:t>机</w:t>
      </w:r>
      <w:r>
        <w:rPr>
          <w:rFonts w:hint="eastAsia"/>
          <w:color w:val="auto"/>
          <w:sz w:val="24"/>
          <w:szCs w:val="24"/>
          <w:highlight w:val="none"/>
          <w:lang w:eastAsia="zh-CN"/>
        </w:rPr>
        <w:t>油和废油桶。</w:t>
      </w:r>
    </w:p>
    <w:p w14:paraId="486D14D8">
      <w:pPr>
        <w:pStyle w:val="5"/>
        <w:rPr>
          <w:rFonts w:hint="eastAsia"/>
          <w:color w:val="auto"/>
          <w:highlight w:val="none"/>
          <w:lang w:val="en-US" w:eastAsia="zh-CN"/>
        </w:rPr>
      </w:pPr>
      <w:r>
        <w:rPr>
          <w:rFonts w:hint="eastAsia"/>
          <w:color w:val="auto"/>
          <w:highlight w:val="none"/>
          <w:lang w:val="en-US" w:eastAsia="zh-CN"/>
        </w:rPr>
        <w:t>一般工业固体废物处理、处置措施</w:t>
      </w:r>
    </w:p>
    <w:p w14:paraId="5384A64B">
      <w:pPr>
        <w:autoSpaceDE w:val="0"/>
        <w:autoSpaceDN w:val="0"/>
        <w:adjustRightInd w:val="0"/>
        <w:snapToGrid w:val="0"/>
        <w:spacing w:line="480" w:lineRule="exact"/>
        <w:ind w:firstLine="480" w:firstLineChars="200"/>
        <w:rPr>
          <w:rFonts w:hint="default" w:cs="Times New Roman"/>
          <w:color w:val="auto"/>
          <w:highlight w:val="none"/>
          <w:lang w:val="en-US" w:eastAsia="zh-CN"/>
        </w:rPr>
      </w:pPr>
      <w:r>
        <w:rPr>
          <w:rFonts w:hint="eastAsia" w:cs="Times New Roman"/>
          <w:color w:val="auto"/>
          <w:highlight w:val="none"/>
          <w:lang w:val="en-US" w:eastAsia="zh-CN"/>
        </w:rPr>
        <w:t>（1）循环水池底泥</w:t>
      </w:r>
    </w:p>
    <w:p w14:paraId="2C71E517">
      <w:pPr>
        <w:autoSpaceDE w:val="0"/>
        <w:autoSpaceDN w:val="0"/>
        <w:adjustRightInd w:val="0"/>
        <w:snapToGrid w:val="0"/>
        <w:spacing w:line="480" w:lineRule="exact"/>
        <w:ind w:firstLine="480" w:firstLineChars="200"/>
        <w:rPr>
          <w:color w:val="auto"/>
          <w:sz w:val="24"/>
          <w:szCs w:val="24"/>
          <w:highlight w:val="none"/>
        </w:rPr>
      </w:pPr>
      <w:r>
        <w:rPr>
          <w:rFonts w:hint="eastAsia" w:cs="Times New Roman"/>
          <w:color w:val="auto"/>
          <w:highlight w:val="none"/>
          <w:lang w:val="en-US" w:eastAsia="zh-CN"/>
        </w:rPr>
        <w:t>循环水池内</w:t>
      </w:r>
      <w:r>
        <w:rPr>
          <w:rFonts w:hint="eastAsia" w:ascii="Times New Roman" w:hAnsi="Times New Roman" w:eastAsia="宋体" w:cs="Times New Roman"/>
          <w:color w:val="auto"/>
          <w:highlight w:val="none"/>
          <w:lang w:val="en-US" w:eastAsia="zh-CN"/>
        </w:rPr>
        <w:t>混凝</w:t>
      </w:r>
      <w:r>
        <w:rPr>
          <w:rFonts w:hint="default" w:ascii="Times New Roman" w:hAnsi="Times New Roman" w:eastAsia="宋体" w:cs="Times New Roman"/>
          <w:color w:val="auto"/>
          <w:highlight w:val="none"/>
          <w:lang w:val="en-US" w:eastAsia="zh-CN"/>
        </w:rPr>
        <w:t>沉淀后产生的底泥</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经</w:t>
      </w:r>
      <w:r>
        <w:rPr>
          <w:rFonts w:hint="eastAsia" w:cs="Times New Roman"/>
          <w:color w:val="auto"/>
          <w:highlight w:val="none"/>
          <w:lang w:val="en-US" w:eastAsia="zh-CN"/>
        </w:rPr>
        <w:t>尾矿</w:t>
      </w:r>
      <w:r>
        <w:rPr>
          <w:rFonts w:hint="default" w:ascii="Times New Roman" w:hAnsi="Times New Roman" w:eastAsia="宋体" w:cs="Times New Roman"/>
          <w:color w:val="auto"/>
          <w:highlight w:val="none"/>
          <w:lang w:val="en-US" w:eastAsia="zh-CN"/>
        </w:rPr>
        <w:t>压滤机压滤后</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同尾矿砂一同综合利用</w:t>
      </w:r>
      <w:r>
        <w:rPr>
          <w:rFonts w:hint="eastAsia" w:cs="Times New Roman"/>
          <w:color w:val="auto"/>
          <w:highlight w:val="none"/>
          <w:lang w:val="en-US" w:eastAsia="zh-CN"/>
        </w:rPr>
        <w:t>。</w:t>
      </w:r>
    </w:p>
    <w:p w14:paraId="0203920C">
      <w:pPr>
        <w:autoSpaceDE w:val="0"/>
        <w:autoSpaceDN w:val="0"/>
        <w:adjustRightInd w:val="0"/>
        <w:snapToGrid w:val="0"/>
        <w:spacing w:line="480" w:lineRule="exact"/>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（2）尾矿砂</w:t>
      </w:r>
    </w:p>
    <w:p w14:paraId="194DD00C">
      <w:pPr>
        <w:autoSpaceDE w:val="0"/>
        <w:autoSpaceDN w:val="0"/>
        <w:adjustRightInd w:val="0"/>
        <w:snapToGrid w:val="0"/>
        <w:spacing w:line="480" w:lineRule="exact"/>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根据</w:t>
      </w:r>
      <w:r>
        <w:rPr>
          <w:rFonts w:hint="default" w:cs="Times New Roman"/>
          <w:color w:val="auto"/>
          <w:highlight w:val="none"/>
          <w:lang w:val="en-US" w:eastAsia="zh-CN"/>
        </w:rPr>
        <w:t>内蒙古</w:t>
      </w:r>
      <w:r>
        <w:rPr>
          <w:rFonts w:hint="eastAsia" w:cs="Times New Roman"/>
          <w:color w:val="auto"/>
          <w:highlight w:val="none"/>
          <w:lang w:val="en-US" w:eastAsia="zh-CN"/>
        </w:rPr>
        <w:t>和合环境科技</w:t>
      </w:r>
      <w:r>
        <w:rPr>
          <w:rFonts w:hint="default" w:cs="Times New Roman"/>
          <w:color w:val="auto"/>
          <w:highlight w:val="none"/>
          <w:lang w:val="en-US" w:eastAsia="zh-CN"/>
        </w:rPr>
        <w:t>有限公司出具的</w:t>
      </w:r>
      <w:r>
        <w:rPr>
          <w:rFonts w:hint="eastAsia" w:cs="Times New Roman"/>
          <w:color w:val="auto"/>
          <w:highlight w:val="none"/>
          <w:lang w:val="en-US" w:eastAsia="zh-CN"/>
        </w:rPr>
        <w:t>《苏尼特右旗珑辉矿业有限责任公司萤石选厂尾砂检测报告》，该厂产生尾矿砂属于第</w:t>
      </w:r>
      <w:r>
        <w:rPr>
          <w:rFonts w:hint="eastAsia" w:cs="Times New Roman"/>
          <w:color w:val="auto"/>
          <w:highlight w:val="none"/>
          <w:lang w:val="en-US" w:eastAsia="zh-CN"/>
        </w:rPr>
        <w:fldChar w:fldCharType="begin"/>
      </w:r>
      <w:r>
        <w:rPr>
          <w:rFonts w:hint="eastAsia" w:cs="Times New Roman"/>
          <w:color w:val="auto"/>
          <w:highlight w:val="none"/>
          <w:lang w:val="en-US" w:eastAsia="zh-CN"/>
        </w:rPr>
        <w:instrText xml:space="preserve"> = 1 \* ROMAN </w:instrText>
      </w:r>
      <w:r>
        <w:rPr>
          <w:rFonts w:hint="eastAsia" w:cs="Times New Roman"/>
          <w:color w:val="auto"/>
          <w:highlight w:val="none"/>
          <w:lang w:val="en-US" w:eastAsia="zh-CN"/>
        </w:rPr>
        <w:fldChar w:fldCharType="separate"/>
      </w:r>
      <w:r>
        <w:rPr>
          <w:rFonts w:hint="eastAsia" w:cs="Times New Roman"/>
          <w:color w:val="auto"/>
          <w:highlight w:val="none"/>
          <w:lang w:val="en-US" w:eastAsia="zh-CN"/>
        </w:rPr>
        <w:t>I</w:t>
      </w:r>
      <w:r>
        <w:rPr>
          <w:rFonts w:hint="eastAsia" w:cs="Times New Roman"/>
          <w:color w:val="auto"/>
          <w:highlight w:val="none"/>
          <w:lang w:val="en-US" w:eastAsia="zh-CN"/>
        </w:rPr>
        <w:fldChar w:fldCharType="end"/>
      </w:r>
      <w:r>
        <w:rPr>
          <w:rFonts w:hint="eastAsia" w:cs="Times New Roman"/>
          <w:color w:val="auto"/>
          <w:highlight w:val="none"/>
          <w:lang w:val="en-US" w:eastAsia="zh-CN"/>
        </w:rPr>
        <w:t>类一般工业固体废物，本项目原料来源及生产工艺与苏尼特右旗珑辉矿业有限责任公司萤石选厂相同，因此，本项目产生尾矿砂属于第</w:t>
      </w:r>
      <w:r>
        <w:rPr>
          <w:rFonts w:hint="eastAsia" w:cs="Times New Roman"/>
          <w:color w:val="auto"/>
          <w:highlight w:val="none"/>
          <w:lang w:val="en-US" w:eastAsia="zh-CN"/>
        </w:rPr>
        <w:fldChar w:fldCharType="begin"/>
      </w:r>
      <w:r>
        <w:rPr>
          <w:rFonts w:hint="eastAsia" w:cs="Times New Roman"/>
          <w:color w:val="auto"/>
          <w:highlight w:val="none"/>
          <w:lang w:val="en-US" w:eastAsia="zh-CN"/>
        </w:rPr>
        <w:instrText xml:space="preserve"> = 1 \* ROMAN </w:instrText>
      </w:r>
      <w:r>
        <w:rPr>
          <w:rFonts w:hint="eastAsia" w:cs="Times New Roman"/>
          <w:color w:val="auto"/>
          <w:highlight w:val="none"/>
          <w:lang w:val="en-US" w:eastAsia="zh-CN"/>
        </w:rPr>
        <w:fldChar w:fldCharType="separate"/>
      </w:r>
      <w:r>
        <w:rPr>
          <w:rFonts w:hint="eastAsia" w:cs="Times New Roman"/>
          <w:color w:val="auto"/>
          <w:highlight w:val="none"/>
          <w:lang w:val="en-US" w:eastAsia="zh-CN"/>
        </w:rPr>
        <w:t>I</w:t>
      </w:r>
      <w:r>
        <w:rPr>
          <w:rFonts w:hint="eastAsia" w:cs="Times New Roman"/>
          <w:color w:val="auto"/>
          <w:highlight w:val="none"/>
          <w:lang w:val="en-US" w:eastAsia="zh-CN"/>
        </w:rPr>
        <w:fldChar w:fldCharType="end"/>
      </w:r>
      <w:r>
        <w:rPr>
          <w:rFonts w:hint="eastAsia" w:cs="Times New Roman"/>
          <w:color w:val="auto"/>
          <w:highlight w:val="none"/>
          <w:lang w:val="en-US" w:eastAsia="zh-CN"/>
        </w:rPr>
        <w:t>类一般工业固体废物。</w:t>
      </w:r>
    </w:p>
    <w:p w14:paraId="63987EF1">
      <w:pPr>
        <w:autoSpaceDE w:val="0"/>
        <w:autoSpaceDN w:val="0"/>
        <w:adjustRightInd w:val="0"/>
        <w:snapToGrid w:val="0"/>
        <w:spacing w:line="480" w:lineRule="exact"/>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本项目厂区内建设1座800m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尾矿砂临时贮存库，定期采用密闭车辆送至</w:t>
      </w:r>
      <w:r>
        <w:rPr>
          <w:rFonts w:hint="eastAsia" w:cs="Times New Roman"/>
          <w:color w:val="auto"/>
          <w:highlight w:val="yellow"/>
          <w:lang w:val="en-US" w:eastAsia="zh-CN"/>
        </w:rPr>
        <w:t>河北围场满族蒙古族自治县联玉墙体材料厂和隆化县皓诚新型节能砖厂</w:t>
      </w:r>
      <w:r>
        <w:rPr>
          <w:rFonts w:hint="eastAsia" w:cs="Times New Roman"/>
          <w:color w:val="auto"/>
          <w:highlight w:val="none"/>
          <w:lang w:val="en-US" w:eastAsia="zh-CN"/>
        </w:rPr>
        <w:t>作制砖原材料，优先资源化综合利用。</w:t>
      </w:r>
    </w:p>
    <w:p w14:paraId="7AD4D4CD">
      <w:pPr>
        <w:autoSpaceDE w:val="0"/>
        <w:autoSpaceDN w:val="0"/>
        <w:adjustRightInd w:val="0"/>
        <w:snapToGrid w:val="0"/>
        <w:spacing w:line="480" w:lineRule="exact"/>
        <w:ind w:firstLine="480" w:firstLineChars="200"/>
        <w:rPr>
          <w:rFonts w:hint="eastAsia" w:cs="Times New Roman"/>
          <w:color w:val="auto"/>
          <w:highlight w:val="yellow"/>
          <w:lang w:val="en-US" w:eastAsia="zh-CN"/>
        </w:rPr>
      </w:pPr>
      <w:r>
        <w:rPr>
          <w:rFonts w:hint="eastAsia" w:cs="Times New Roman"/>
          <w:color w:val="auto"/>
          <w:highlight w:val="yellow"/>
          <w:lang w:val="en-US" w:eastAsia="zh-CN"/>
        </w:rPr>
        <w:t>本项目选矿过程中经压滤后尾矿砂产生量约17.5万t/a，河北围场满族蒙古族自治县联玉墙体材料厂可消纳尾矿砂量为8万t/a、隆化县皓诚新型节能砖厂可消纳尾矿砂量为20万t/a，两家砖厂合计尾矿砂可消纳量为28万t/a。因此，两家砖厂正常运营情况下可消纳本项目产生的所有尾矿砂。</w:t>
      </w:r>
    </w:p>
    <w:p w14:paraId="3734DBCC">
      <w:pPr>
        <w:autoSpaceDE w:val="0"/>
        <w:autoSpaceDN w:val="0"/>
        <w:adjustRightInd w:val="0"/>
        <w:snapToGrid w:val="0"/>
        <w:spacing w:line="480" w:lineRule="exact"/>
        <w:ind w:firstLine="480" w:firstLineChars="200"/>
        <w:rPr>
          <w:rFonts w:hint="default" w:cs="Times New Roman"/>
          <w:color w:val="auto"/>
          <w:highlight w:val="none"/>
          <w:lang w:val="en-US" w:eastAsia="zh-CN"/>
        </w:rPr>
      </w:pPr>
      <w:r>
        <w:rPr>
          <w:rFonts w:hint="eastAsia" w:cs="Times New Roman"/>
          <w:color w:val="auto"/>
          <w:highlight w:val="none"/>
          <w:lang w:val="en-US" w:eastAsia="zh-CN"/>
        </w:rPr>
        <w:t>因接纳砖厂市场原因利用不畅时，本项目产生的尾矿砂做周边矿区采空坑生态恢复填充料进行综合利用。</w:t>
      </w:r>
    </w:p>
    <w:p w14:paraId="3EF3913D">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lang w:val="en-US" w:eastAsia="zh-CN"/>
        </w:rPr>
        <w:t>3</w:t>
      </w:r>
      <w:r>
        <w:rPr>
          <w:color w:val="auto"/>
          <w:sz w:val="24"/>
          <w:szCs w:val="24"/>
          <w:highlight w:val="none"/>
        </w:rPr>
        <w:t>）破碎及筛分除尘器收集</w:t>
      </w:r>
      <w:r>
        <w:rPr>
          <w:rFonts w:hint="eastAsia"/>
          <w:color w:val="auto"/>
          <w:sz w:val="24"/>
          <w:szCs w:val="24"/>
          <w:highlight w:val="none"/>
          <w:lang w:val="en-US" w:eastAsia="zh-CN"/>
        </w:rPr>
        <w:t>除尘灰</w:t>
      </w:r>
    </w:p>
    <w:p w14:paraId="689AE27F">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val="en-US" w:eastAsia="zh-CN"/>
        </w:rPr>
        <w:t>本</w:t>
      </w:r>
      <w:r>
        <w:rPr>
          <w:color w:val="auto"/>
          <w:sz w:val="24"/>
          <w:szCs w:val="24"/>
          <w:highlight w:val="none"/>
        </w:rPr>
        <w:t>项目收集的灰尘定期从收灰装置清出，直接运至球磨机入料口进行生产加工再利用</w:t>
      </w:r>
      <w:r>
        <w:rPr>
          <w:rFonts w:hint="eastAsia"/>
          <w:color w:val="auto"/>
          <w:sz w:val="24"/>
          <w:szCs w:val="24"/>
          <w:highlight w:val="none"/>
          <w:lang w:eastAsia="zh-CN"/>
        </w:rPr>
        <w:t>，</w:t>
      </w:r>
      <w:r>
        <w:rPr>
          <w:rFonts w:hint="eastAsia"/>
          <w:color w:val="auto"/>
          <w:sz w:val="24"/>
          <w:szCs w:val="24"/>
          <w:highlight w:val="none"/>
          <w:lang w:val="en-US" w:eastAsia="zh-CN"/>
        </w:rPr>
        <w:t>资源化利用，不外排</w:t>
      </w:r>
      <w:r>
        <w:rPr>
          <w:color w:val="auto"/>
          <w:sz w:val="24"/>
          <w:szCs w:val="24"/>
          <w:highlight w:val="none"/>
        </w:rPr>
        <w:t>。</w:t>
      </w:r>
    </w:p>
    <w:p w14:paraId="53447FD7">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lang w:val="en-US" w:eastAsia="zh-CN"/>
        </w:rPr>
        <w:t>4</w:t>
      </w:r>
      <w:r>
        <w:rPr>
          <w:color w:val="auto"/>
          <w:sz w:val="24"/>
          <w:szCs w:val="24"/>
          <w:highlight w:val="none"/>
        </w:rPr>
        <w:t>）废钢球</w:t>
      </w:r>
    </w:p>
    <w:p w14:paraId="17160CE7">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val="en-US" w:eastAsia="zh-CN"/>
        </w:rPr>
        <w:t>本项目定更换下的</w:t>
      </w:r>
      <w:r>
        <w:rPr>
          <w:color w:val="auto"/>
          <w:sz w:val="24"/>
          <w:szCs w:val="24"/>
          <w:highlight w:val="none"/>
        </w:rPr>
        <w:t>废钢球</w:t>
      </w:r>
      <w:r>
        <w:rPr>
          <w:rFonts w:hint="eastAsia"/>
          <w:color w:val="auto"/>
          <w:sz w:val="24"/>
          <w:szCs w:val="24"/>
          <w:highlight w:val="none"/>
          <w:lang w:eastAsia="zh-CN"/>
        </w:rPr>
        <w:t>，</w:t>
      </w:r>
      <w:r>
        <w:rPr>
          <w:rFonts w:hint="eastAsia"/>
          <w:color w:val="auto"/>
          <w:sz w:val="24"/>
          <w:szCs w:val="24"/>
          <w:highlight w:val="none"/>
          <w:lang w:val="en-US" w:eastAsia="zh-CN"/>
        </w:rPr>
        <w:t>直接由厂家更换回收</w:t>
      </w:r>
      <w:r>
        <w:rPr>
          <w:color w:val="auto"/>
          <w:sz w:val="24"/>
          <w:szCs w:val="24"/>
          <w:highlight w:val="none"/>
        </w:rPr>
        <w:t>，</w:t>
      </w:r>
      <w:r>
        <w:rPr>
          <w:rFonts w:hint="eastAsia"/>
          <w:color w:val="auto"/>
          <w:sz w:val="24"/>
          <w:szCs w:val="24"/>
          <w:highlight w:val="none"/>
          <w:lang w:val="en-US" w:eastAsia="zh-CN"/>
        </w:rPr>
        <w:t>不在厂区内落地暂存</w:t>
      </w:r>
      <w:r>
        <w:rPr>
          <w:color w:val="auto"/>
          <w:sz w:val="24"/>
          <w:szCs w:val="24"/>
          <w:highlight w:val="none"/>
        </w:rPr>
        <w:t>。</w:t>
      </w:r>
    </w:p>
    <w:p w14:paraId="1AB20D19">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lang w:val="en-US" w:eastAsia="zh-CN"/>
        </w:rPr>
        <w:t>5</w:t>
      </w:r>
      <w:r>
        <w:rPr>
          <w:color w:val="auto"/>
          <w:sz w:val="24"/>
          <w:szCs w:val="24"/>
          <w:highlight w:val="none"/>
        </w:rPr>
        <w:t>）生活垃圾</w:t>
      </w:r>
    </w:p>
    <w:p w14:paraId="7C029F62">
      <w:pPr>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本项目职工日常办公、生活过程产生的生活垃圾，依托多伦县盟东水泥厂办公区生活垃圾收集箱，定期运送至环卫部门指定地点进行合理处置。</w:t>
      </w:r>
    </w:p>
    <w:p w14:paraId="2561A78A">
      <w:pPr>
        <w:pStyle w:val="5"/>
        <w:rPr>
          <w:rFonts w:hint="eastAsia"/>
          <w:color w:val="auto"/>
          <w:highlight w:val="none"/>
          <w:lang w:val="en-US" w:eastAsia="zh-CN"/>
        </w:rPr>
      </w:pPr>
      <w:r>
        <w:rPr>
          <w:rFonts w:hint="eastAsia"/>
          <w:color w:val="auto"/>
          <w:highlight w:val="none"/>
          <w:lang w:val="en-US" w:eastAsia="zh-CN"/>
        </w:rPr>
        <w:t>危险废物贮存、处理、处置措施</w:t>
      </w:r>
    </w:p>
    <w:p w14:paraId="1BDD6953">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废润滑油</w:t>
      </w:r>
    </w:p>
    <w:p w14:paraId="33F0FB69">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val="en-US" w:eastAsia="zh-CN"/>
        </w:rPr>
        <w:t>本项目</w:t>
      </w:r>
      <w:r>
        <w:rPr>
          <w:color w:val="auto"/>
          <w:sz w:val="24"/>
          <w:szCs w:val="24"/>
          <w:highlight w:val="none"/>
        </w:rPr>
        <w:t>设备定期维护保养产生的废润滑油，根据《国家危险废物名录》（202</w:t>
      </w:r>
      <w:r>
        <w:rPr>
          <w:rFonts w:hint="eastAsia"/>
          <w:color w:val="auto"/>
          <w:sz w:val="24"/>
          <w:szCs w:val="24"/>
          <w:highlight w:val="none"/>
          <w:lang w:val="en-US" w:eastAsia="zh-CN"/>
        </w:rPr>
        <w:t>5</w:t>
      </w:r>
      <w:r>
        <w:rPr>
          <w:color w:val="auto"/>
          <w:sz w:val="24"/>
          <w:szCs w:val="24"/>
          <w:highlight w:val="none"/>
        </w:rPr>
        <w:t>年版），废</w:t>
      </w:r>
      <w:r>
        <w:rPr>
          <w:rFonts w:hint="eastAsia"/>
          <w:color w:val="auto"/>
          <w:sz w:val="24"/>
          <w:szCs w:val="24"/>
          <w:highlight w:val="none"/>
          <w:lang w:val="en-US" w:eastAsia="zh-CN"/>
        </w:rPr>
        <w:t>机油（</w:t>
      </w:r>
      <w:r>
        <w:rPr>
          <w:color w:val="auto"/>
          <w:sz w:val="24"/>
          <w:szCs w:val="24"/>
          <w:highlight w:val="none"/>
        </w:rPr>
        <w:t>废润滑油</w:t>
      </w:r>
      <w:r>
        <w:rPr>
          <w:rFonts w:hint="eastAsia"/>
          <w:color w:val="auto"/>
          <w:sz w:val="24"/>
          <w:szCs w:val="24"/>
          <w:highlight w:val="none"/>
          <w:lang w:val="en-US" w:eastAsia="zh-CN"/>
        </w:rPr>
        <w:t>）</w:t>
      </w:r>
      <w:r>
        <w:rPr>
          <w:color w:val="auto"/>
          <w:sz w:val="24"/>
          <w:szCs w:val="24"/>
          <w:highlight w:val="none"/>
        </w:rPr>
        <w:t>属于</w:t>
      </w:r>
      <w:r>
        <w:rPr>
          <w:rFonts w:hint="eastAsia"/>
          <w:color w:val="auto"/>
          <w:sz w:val="24"/>
          <w:szCs w:val="24"/>
          <w:highlight w:val="none"/>
          <w:lang w:eastAsia="zh-CN"/>
        </w:rPr>
        <w:t>“</w:t>
      </w:r>
      <w:r>
        <w:rPr>
          <w:color w:val="auto"/>
          <w:sz w:val="24"/>
          <w:szCs w:val="24"/>
          <w:highlight w:val="none"/>
        </w:rPr>
        <w:t>HW08-废矿物油与含矿物油废物</w:t>
      </w:r>
      <w:r>
        <w:rPr>
          <w:rFonts w:hint="eastAsia"/>
          <w:color w:val="auto"/>
          <w:sz w:val="24"/>
          <w:szCs w:val="24"/>
          <w:highlight w:val="none"/>
          <w:lang w:eastAsia="zh-CN"/>
        </w:rPr>
        <w:t>”</w:t>
      </w:r>
      <w:r>
        <w:rPr>
          <w:color w:val="auto"/>
          <w:sz w:val="24"/>
          <w:szCs w:val="24"/>
          <w:highlight w:val="none"/>
        </w:rPr>
        <w:t>，危废代码为900-214-08。</w:t>
      </w:r>
    </w:p>
    <w:p w14:paraId="112484C7">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color w:val="auto"/>
          <w:sz w:val="24"/>
          <w:szCs w:val="24"/>
          <w:highlight w:val="none"/>
        </w:rPr>
        <w:t>废油桶</w:t>
      </w:r>
    </w:p>
    <w:p w14:paraId="57E23BF4">
      <w:pPr>
        <w:autoSpaceDE w:val="0"/>
        <w:autoSpaceDN w:val="0"/>
        <w:adjustRightInd w:val="0"/>
        <w:snapToGrid w:val="0"/>
        <w:spacing w:line="480" w:lineRule="exact"/>
        <w:ind w:firstLine="480" w:firstLineChars="200"/>
        <w:rPr>
          <w:color w:val="auto"/>
          <w:sz w:val="24"/>
          <w:szCs w:val="24"/>
          <w:highlight w:val="none"/>
        </w:rPr>
      </w:pPr>
      <w:r>
        <w:rPr>
          <w:color w:val="auto"/>
          <w:sz w:val="24"/>
          <w:szCs w:val="24"/>
          <w:highlight w:val="none"/>
        </w:rPr>
        <w:t>根据《国家危险废物名录》（2021年版），废油桶属于危险废物，废物类别</w:t>
      </w:r>
      <w:r>
        <w:rPr>
          <w:rFonts w:hint="eastAsia"/>
          <w:color w:val="auto"/>
          <w:sz w:val="24"/>
          <w:szCs w:val="24"/>
          <w:highlight w:val="none"/>
          <w:lang w:eastAsia="zh-CN"/>
        </w:rPr>
        <w:t>“</w:t>
      </w:r>
      <w:r>
        <w:rPr>
          <w:color w:val="auto"/>
          <w:sz w:val="24"/>
          <w:szCs w:val="24"/>
          <w:highlight w:val="none"/>
        </w:rPr>
        <w:t>HW49-其他废物</w:t>
      </w:r>
      <w:r>
        <w:rPr>
          <w:rFonts w:hint="eastAsia"/>
          <w:color w:val="auto"/>
          <w:sz w:val="24"/>
          <w:szCs w:val="24"/>
          <w:highlight w:val="none"/>
          <w:lang w:eastAsia="zh-CN"/>
        </w:rPr>
        <w:t>”</w:t>
      </w:r>
      <w:r>
        <w:rPr>
          <w:color w:val="auto"/>
          <w:sz w:val="24"/>
          <w:szCs w:val="24"/>
          <w:highlight w:val="none"/>
        </w:rPr>
        <w:t>，危废代码为900-041-49。</w:t>
      </w:r>
    </w:p>
    <w:p w14:paraId="08111C0E">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lang w:val="en-US" w:eastAsia="zh-CN"/>
        </w:rPr>
        <w:t>本</w:t>
      </w:r>
      <w:r>
        <w:rPr>
          <w:color w:val="auto"/>
          <w:sz w:val="24"/>
          <w:szCs w:val="24"/>
          <w:highlight w:val="none"/>
        </w:rPr>
        <w:t>项目将废润滑油采用</w:t>
      </w:r>
      <w:r>
        <w:rPr>
          <w:rFonts w:hint="eastAsia"/>
          <w:color w:val="auto"/>
          <w:sz w:val="24"/>
          <w:szCs w:val="24"/>
          <w:highlight w:val="none"/>
          <w:lang w:val="en-US" w:eastAsia="zh-CN"/>
        </w:rPr>
        <w:t>密闭</w:t>
      </w:r>
      <w:r>
        <w:rPr>
          <w:color w:val="auto"/>
          <w:sz w:val="24"/>
          <w:szCs w:val="24"/>
          <w:highlight w:val="none"/>
        </w:rPr>
        <w:t>耐腐蚀容器统一收集后</w:t>
      </w:r>
      <w:r>
        <w:rPr>
          <w:rFonts w:hint="eastAsia"/>
          <w:color w:val="auto"/>
          <w:sz w:val="24"/>
          <w:szCs w:val="24"/>
          <w:highlight w:val="none"/>
          <w:lang w:eastAsia="zh-CN"/>
        </w:rPr>
        <w:t>，</w:t>
      </w:r>
      <w:r>
        <w:rPr>
          <w:rFonts w:hint="eastAsia"/>
          <w:color w:val="auto"/>
          <w:sz w:val="24"/>
          <w:szCs w:val="24"/>
          <w:highlight w:val="none"/>
          <w:lang w:val="en-US" w:eastAsia="zh-CN"/>
        </w:rPr>
        <w:t>再</w:t>
      </w:r>
      <w:r>
        <w:rPr>
          <w:color w:val="auto"/>
          <w:sz w:val="24"/>
          <w:szCs w:val="24"/>
          <w:highlight w:val="none"/>
        </w:rPr>
        <w:t>与废油桶分区</w:t>
      </w:r>
      <w:r>
        <w:rPr>
          <w:rFonts w:hint="eastAsia"/>
          <w:color w:val="auto"/>
          <w:sz w:val="24"/>
          <w:szCs w:val="24"/>
          <w:highlight w:val="none"/>
          <w:lang w:val="en-US" w:eastAsia="zh-CN"/>
        </w:rPr>
        <w:t>暂存于生产车间内的</w:t>
      </w:r>
      <w:r>
        <w:rPr>
          <w:color w:val="auto"/>
          <w:sz w:val="24"/>
          <w:szCs w:val="24"/>
          <w:highlight w:val="none"/>
        </w:rPr>
        <w:t>危废暂存间内，定期交由有</w:t>
      </w:r>
      <w:r>
        <w:rPr>
          <w:rFonts w:hint="eastAsia"/>
          <w:color w:val="auto"/>
          <w:sz w:val="24"/>
          <w:szCs w:val="24"/>
          <w:highlight w:val="none"/>
          <w:lang w:val="en-US" w:eastAsia="zh-CN"/>
        </w:rPr>
        <w:t>危险废物经营许可证</w:t>
      </w:r>
      <w:r>
        <w:rPr>
          <w:color w:val="auto"/>
          <w:sz w:val="24"/>
          <w:szCs w:val="24"/>
          <w:highlight w:val="none"/>
        </w:rPr>
        <w:t>单位进行处置。</w:t>
      </w:r>
      <w:r>
        <w:rPr>
          <w:rFonts w:hint="eastAsia"/>
          <w:color w:val="auto"/>
          <w:sz w:val="24"/>
          <w:szCs w:val="24"/>
          <w:highlight w:val="none"/>
          <w:lang w:val="en-US" w:eastAsia="zh-CN"/>
        </w:rPr>
        <w:t>本</w:t>
      </w:r>
      <w:r>
        <w:rPr>
          <w:snapToGrid w:val="0"/>
          <w:color w:val="auto"/>
          <w:kern w:val="56"/>
          <w:sz w:val="24"/>
          <w:szCs w:val="20"/>
          <w:highlight w:val="none"/>
        </w:rPr>
        <w:t>项目设置一座</w:t>
      </w:r>
      <w:r>
        <w:rPr>
          <w:rFonts w:hint="eastAsia"/>
          <w:snapToGrid w:val="0"/>
          <w:color w:val="auto"/>
          <w:kern w:val="56"/>
          <w:sz w:val="24"/>
          <w:szCs w:val="20"/>
          <w:highlight w:val="none"/>
          <w:lang w:val="en-US" w:eastAsia="zh-CN"/>
        </w:rPr>
        <w:t>20</w:t>
      </w:r>
      <w:r>
        <w:rPr>
          <w:snapToGrid w:val="0"/>
          <w:color w:val="auto"/>
          <w:kern w:val="56"/>
          <w:sz w:val="24"/>
          <w:szCs w:val="20"/>
          <w:highlight w:val="none"/>
        </w:rPr>
        <w:t>m</w:t>
      </w:r>
      <w:r>
        <w:rPr>
          <w:snapToGrid w:val="0"/>
          <w:color w:val="auto"/>
          <w:kern w:val="56"/>
          <w:sz w:val="24"/>
          <w:szCs w:val="20"/>
          <w:highlight w:val="none"/>
          <w:vertAlign w:val="superscript"/>
        </w:rPr>
        <w:t>2</w:t>
      </w:r>
      <w:r>
        <w:rPr>
          <w:snapToGrid w:val="0"/>
          <w:color w:val="auto"/>
          <w:kern w:val="56"/>
          <w:sz w:val="24"/>
          <w:szCs w:val="20"/>
          <w:highlight w:val="none"/>
        </w:rPr>
        <w:t>的危废暂存间，危废暂存间基本情况见表</w:t>
      </w:r>
      <w:r>
        <w:rPr>
          <w:rFonts w:hint="eastAsia"/>
          <w:snapToGrid w:val="0"/>
          <w:color w:val="auto"/>
          <w:kern w:val="56"/>
          <w:sz w:val="24"/>
          <w:szCs w:val="20"/>
          <w:highlight w:val="none"/>
          <w:lang w:val="en-US" w:eastAsia="zh-CN"/>
        </w:rPr>
        <w:t>7.5-1</w:t>
      </w:r>
      <w:r>
        <w:rPr>
          <w:snapToGrid w:val="0"/>
          <w:color w:val="auto"/>
          <w:kern w:val="56"/>
          <w:sz w:val="24"/>
          <w:szCs w:val="20"/>
          <w:highlight w:val="none"/>
        </w:rPr>
        <w:t>。</w:t>
      </w:r>
    </w:p>
    <w:p w14:paraId="49B7EF7E">
      <w:pPr>
        <w:pStyle w:val="199"/>
        <w:spacing w:before="120"/>
        <w:ind w:firstLine="480"/>
        <w:rPr>
          <w:rFonts w:hint="eastAsia"/>
          <w:color w:val="auto"/>
          <w:sz w:val="24"/>
          <w:highlight w:val="none"/>
        </w:rPr>
      </w:pPr>
      <w:r>
        <w:rPr>
          <w:rFonts w:hint="eastAsia"/>
          <w:color w:val="auto"/>
          <w:sz w:val="24"/>
          <w:highlight w:val="none"/>
        </w:rPr>
        <w:t>表7.</w:t>
      </w:r>
      <w:r>
        <w:rPr>
          <w:rFonts w:hint="eastAsia"/>
          <w:color w:val="auto"/>
          <w:sz w:val="24"/>
          <w:highlight w:val="none"/>
          <w:lang w:val="en-US" w:eastAsia="zh-CN"/>
        </w:rPr>
        <w:t>5-1</w:t>
      </w:r>
      <w:r>
        <w:rPr>
          <w:rFonts w:hint="eastAsia"/>
          <w:color w:val="auto"/>
          <w:sz w:val="24"/>
          <w:highlight w:val="none"/>
        </w:rPr>
        <w:t xml:space="preserve">  危险废物贮存场所基本情况表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654"/>
        <w:gridCol w:w="1020"/>
        <w:gridCol w:w="1005"/>
        <w:gridCol w:w="1665"/>
        <w:gridCol w:w="976"/>
        <w:gridCol w:w="981"/>
      </w:tblGrid>
      <w:tr w14:paraId="68A70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tcBorders>
              <w:tl2br w:val="nil"/>
              <w:tr2bl w:val="nil"/>
            </w:tcBorders>
            <w:noWrap w:val="0"/>
            <w:vAlign w:val="center"/>
          </w:tcPr>
          <w:p w14:paraId="7D7DABD2">
            <w:pPr>
              <w:pStyle w:val="245"/>
              <w:spacing w:line="240" w:lineRule="auto"/>
              <w:jc w:val="center"/>
              <w:rPr>
                <w:rFonts w:hint="eastAsia"/>
                <w:color w:val="auto"/>
                <w:highlight w:val="none"/>
              </w:rPr>
            </w:pPr>
            <w:r>
              <w:rPr>
                <w:rFonts w:hint="eastAsia"/>
                <w:color w:val="auto"/>
                <w:highlight w:val="none"/>
              </w:rPr>
              <w:t>贮存场所</w:t>
            </w:r>
          </w:p>
          <w:p w14:paraId="0EF0ED35">
            <w:pPr>
              <w:pStyle w:val="245"/>
              <w:spacing w:line="240" w:lineRule="auto"/>
              <w:jc w:val="center"/>
              <w:rPr>
                <w:rFonts w:hint="eastAsia"/>
                <w:color w:val="auto"/>
                <w:highlight w:val="none"/>
              </w:rPr>
            </w:pPr>
            <w:r>
              <w:rPr>
                <w:rFonts w:hint="eastAsia"/>
                <w:color w:val="auto"/>
                <w:highlight w:val="none"/>
              </w:rPr>
              <w:t>名称</w:t>
            </w:r>
          </w:p>
        </w:tc>
        <w:tc>
          <w:tcPr>
            <w:tcW w:w="1654" w:type="dxa"/>
            <w:tcBorders>
              <w:tl2br w:val="nil"/>
              <w:tr2bl w:val="nil"/>
            </w:tcBorders>
            <w:noWrap w:val="0"/>
            <w:vAlign w:val="center"/>
          </w:tcPr>
          <w:p w14:paraId="1597959A">
            <w:pPr>
              <w:pStyle w:val="245"/>
              <w:spacing w:line="240" w:lineRule="auto"/>
              <w:jc w:val="center"/>
              <w:rPr>
                <w:rFonts w:hint="eastAsia"/>
                <w:color w:val="auto"/>
                <w:highlight w:val="none"/>
              </w:rPr>
            </w:pPr>
            <w:r>
              <w:rPr>
                <w:rFonts w:hint="eastAsia"/>
                <w:color w:val="auto"/>
                <w:highlight w:val="none"/>
              </w:rPr>
              <w:t>危险废物</w:t>
            </w:r>
          </w:p>
          <w:p w14:paraId="6D5114C5">
            <w:pPr>
              <w:pStyle w:val="245"/>
              <w:spacing w:line="240" w:lineRule="auto"/>
              <w:jc w:val="center"/>
              <w:rPr>
                <w:rFonts w:hint="eastAsia"/>
                <w:color w:val="auto"/>
                <w:highlight w:val="none"/>
              </w:rPr>
            </w:pPr>
            <w:r>
              <w:rPr>
                <w:rFonts w:hint="eastAsia"/>
                <w:color w:val="auto"/>
                <w:highlight w:val="none"/>
              </w:rPr>
              <w:t>名称</w:t>
            </w:r>
          </w:p>
        </w:tc>
        <w:tc>
          <w:tcPr>
            <w:tcW w:w="1020" w:type="dxa"/>
            <w:tcBorders>
              <w:tl2br w:val="nil"/>
              <w:tr2bl w:val="nil"/>
            </w:tcBorders>
            <w:noWrap w:val="0"/>
            <w:vAlign w:val="center"/>
          </w:tcPr>
          <w:p w14:paraId="563C40C0">
            <w:pPr>
              <w:pStyle w:val="245"/>
              <w:spacing w:line="240" w:lineRule="auto"/>
              <w:jc w:val="center"/>
              <w:rPr>
                <w:rFonts w:hint="eastAsia"/>
                <w:color w:val="auto"/>
                <w:highlight w:val="none"/>
              </w:rPr>
            </w:pPr>
            <w:r>
              <w:rPr>
                <w:rFonts w:hint="eastAsia"/>
                <w:color w:val="auto"/>
                <w:highlight w:val="none"/>
              </w:rPr>
              <w:t>位置</w:t>
            </w:r>
          </w:p>
        </w:tc>
        <w:tc>
          <w:tcPr>
            <w:tcW w:w="1005" w:type="dxa"/>
            <w:tcBorders>
              <w:tl2br w:val="nil"/>
              <w:tr2bl w:val="nil"/>
            </w:tcBorders>
            <w:noWrap w:val="0"/>
            <w:vAlign w:val="center"/>
          </w:tcPr>
          <w:p w14:paraId="3540133E">
            <w:pPr>
              <w:pStyle w:val="245"/>
              <w:spacing w:line="240" w:lineRule="auto"/>
              <w:jc w:val="center"/>
              <w:rPr>
                <w:rFonts w:hint="eastAsia"/>
                <w:color w:val="auto"/>
                <w:highlight w:val="none"/>
              </w:rPr>
            </w:pPr>
            <w:r>
              <w:rPr>
                <w:rFonts w:hint="eastAsia"/>
                <w:color w:val="auto"/>
                <w:highlight w:val="none"/>
              </w:rPr>
              <w:t>占地</w:t>
            </w:r>
          </w:p>
          <w:p w14:paraId="556E98B8">
            <w:pPr>
              <w:pStyle w:val="245"/>
              <w:spacing w:line="240" w:lineRule="auto"/>
              <w:jc w:val="center"/>
              <w:rPr>
                <w:rFonts w:hint="eastAsia"/>
                <w:color w:val="auto"/>
                <w:highlight w:val="none"/>
              </w:rPr>
            </w:pPr>
            <w:r>
              <w:rPr>
                <w:rFonts w:hint="eastAsia"/>
                <w:color w:val="auto"/>
                <w:highlight w:val="none"/>
              </w:rPr>
              <w:t>面积</w:t>
            </w:r>
          </w:p>
        </w:tc>
        <w:tc>
          <w:tcPr>
            <w:tcW w:w="1665" w:type="dxa"/>
            <w:tcBorders>
              <w:tl2br w:val="nil"/>
              <w:tr2bl w:val="nil"/>
            </w:tcBorders>
            <w:noWrap w:val="0"/>
            <w:vAlign w:val="center"/>
          </w:tcPr>
          <w:p w14:paraId="00C98928">
            <w:pPr>
              <w:pStyle w:val="245"/>
              <w:spacing w:line="240" w:lineRule="auto"/>
              <w:jc w:val="center"/>
              <w:rPr>
                <w:rFonts w:hint="eastAsia"/>
                <w:color w:val="auto"/>
                <w:highlight w:val="none"/>
              </w:rPr>
            </w:pPr>
            <w:r>
              <w:rPr>
                <w:rFonts w:hint="eastAsia"/>
                <w:color w:val="auto"/>
                <w:highlight w:val="none"/>
              </w:rPr>
              <w:t>贮存方式</w:t>
            </w:r>
          </w:p>
        </w:tc>
        <w:tc>
          <w:tcPr>
            <w:tcW w:w="975" w:type="dxa"/>
            <w:tcBorders>
              <w:tl2br w:val="nil"/>
              <w:tr2bl w:val="nil"/>
            </w:tcBorders>
            <w:noWrap w:val="0"/>
            <w:vAlign w:val="center"/>
          </w:tcPr>
          <w:p w14:paraId="744DCCDD">
            <w:pPr>
              <w:pStyle w:val="245"/>
              <w:spacing w:line="240" w:lineRule="auto"/>
              <w:jc w:val="center"/>
              <w:rPr>
                <w:rFonts w:hint="eastAsia"/>
                <w:color w:val="auto"/>
                <w:highlight w:val="none"/>
              </w:rPr>
            </w:pPr>
            <w:r>
              <w:rPr>
                <w:rFonts w:hint="eastAsia"/>
                <w:color w:val="auto"/>
                <w:highlight w:val="none"/>
              </w:rPr>
              <w:t>贮存</w:t>
            </w:r>
          </w:p>
          <w:p w14:paraId="0D67D053">
            <w:pPr>
              <w:pStyle w:val="245"/>
              <w:spacing w:line="240" w:lineRule="auto"/>
              <w:jc w:val="center"/>
              <w:rPr>
                <w:rFonts w:hint="eastAsia"/>
                <w:color w:val="auto"/>
                <w:highlight w:val="none"/>
              </w:rPr>
            </w:pPr>
            <w:r>
              <w:rPr>
                <w:rFonts w:hint="eastAsia"/>
                <w:color w:val="auto"/>
                <w:highlight w:val="none"/>
              </w:rPr>
              <w:t>能力</w:t>
            </w:r>
          </w:p>
        </w:tc>
        <w:tc>
          <w:tcPr>
            <w:tcW w:w="980" w:type="dxa"/>
            <w:tcBorders>
              <w:tl2br w:val="nil"/>
              <w:tr2bl w:val="nil"/>
            </w:tcBorders>
            <w:noWrap w:val="0"/>
            <w:vAlign w:val="center"/>
          </w:tcPr>
          <w:p w14:paraId="52884815">
            <w:pPr>
              <w:pStyle w:val="245"/>
              <w:spacing w:line="240" w:lineRule="auto"/>
              <w:jc w:val="center"/>
              <w:rPr>
                <w:rFonts w:hint="eastAsia"/>
                <w:color w:val="auto"/>
                <w:highlight w:val="none"/>
              </w:rPr>
            </w:pPr>
            <w:r>
              <w:rPr>
                <w:rFonts w:hint="eastAsia"/>
                <w:color w:val="auto"/>
                <w:highlight w:val="none"/>
              </w:rPr>
              <w:t>贮存</w:t>
            </w:r>
          </w:p>
          <w:p w14:paraId="233B415D">
            <w:pPr>
              <w:pStyle w:val="245"/>
              <w:spacing w:line="240" w:lineRule="auto"/>
              <w:jc w:val="center"/>
              <w:rPr>
                <w:rFonts w:hint="eastAsia"/>
                <w:color w:val="auto"/>
                <w:highlight w:val="none"/>
              </w:rPr>
            </w:pPr>
            <w:r>
              <w:rPr>
                <w:rFonts w:hint="eastAsia"/>
                <w:color w:val="auto"/>
                <w:highlight w:val="none"/>
              </w:rPr>
              <w:t>周期</w:t>
            </w:r>
          </w:p>
        </w:tc>
      </w:tr>
      <w:tr w14:paraId="3619B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restart"/>
            <w:tcBorders>
              <w:tl2br w:val="nil"/>
              <w:tr2bl w:val="nil"/>
            </w:tcBorders>
            <w:noWrap w:val="0"/>
            <w:vAlign w:val="center"/>
          </w:tcPr>
          <w:p w14:paraId="6AAA170F">
            <w:pPr>
              <w:pStyle w:val="245"/>
              <w:spacing w:line="240" w:lineRule="auto"/>
              <w:jc w:val="center"/>
              <w:rPr>
                <w:rFonts w:hint="eastAsia"/>
                <w:color w:val="auto"/>
                <w:highlight w:val="none"/>
              </w:rPr>
            </w:pPr>
            <w:r>
              <w:rPr>
                <w:rFonts w:hint="eastAsia"/>
                <w:color w:val="auto"/>
                <w:highlight w:val="none"/>
              </w:rPr>
              <w:t>危废暂存间</w:t>
            </w:r>
          </w:p>
        </w:tc>
        <w:tc>
          <w:tcPr>
            <w:tcW w:w="1654" w:type="dxa"/>
            <w:tcBorders>
              <w:tl2br w:val="nil"/>
              <w:tr2bl w:val="nil"/>
            </w:tcBorders>
            <w:noWrap w:val="0"/>
            <w:vAlign w:val="center"/>
          </w:tcPr>
          <w:p w14:paraId="1266A48A">
            <w:pPr>
              <w:pStyle w:val="245"/>
              <w:spacing w:line="240" w:lineRule="auto"/>
              <w:jc w:val="center"/>
              <w:rPr>
                <w:rFonts w:hint="eastAsia"/>
                <w:color w:val="auto"/>
                <w:highlight w:val="none"/>
              </w:rPr>
            </w:pPr>
            <w:r>
              <w:rPr>
                <w:rFonts w:hint="eastAsia"/>
                <w:color w:val="auto"/>
                <w:highlight w:val="none"/>
              </w:rPr>
              <w:t>废润滑油</w:t>
            </w:r>
          </w:p>
        </w:tc>
        <w:tc>
          <w:tcPr>
            <w:tcW w:w="1020" w:type="dxa"/>
            <w:vMerge w:val="restart"/>
            <w:tcBorders>
              <w:tl2br w:val="nil"/>
              <w:tr2bl w:val="nil"/>
            </w:tcBorders>
            <w:noWrap w:val="0"/>
            <w:vAlign w:val="center"/>
          </w:tcPr>
          <w:p w14:paraId="012D740F">
            <w:pPr>
              <w:pStyle w:val="245"/>
              <w:spacing w:line="240" w:lineRule="auto"/>
              <w:jc w:val="center"/>
              <w:rPr>
                <w:rFonts w:hint="eastAsia"/>
                <w:color w:val="auto"/>
                <w:highlight w:val="none"/>
                <w:lang w:val="en-US" w:eastAsia="zh-CN"/>
              </w:rPr>
            </w:pPr>
            <w:r>
              <w:rPr>
                <w:rFonts w:hint="eastAsia"/>
                <w:color w:val="auto"/>
                <w:highlight w:val="none"/>
                <w:lang w:val="en-US" w:eastAsia="zh-CN"/>
              </w:rPr>
              <w:t>浮选</w:t>
            </w:r>
          </w:p>
          <w:p w14:paraId="65D731CE">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车间</w:t>
            </w:r>
          </w:p>
        </w:tc>
        <w:tc>
          <w:tcPr>
            <w:tcW w:w="1005" w:type="dxa"/>
            <w:vMerge w:val="restart"/>
            <w:tcBorders>
              <w:tl2br w:val="nil"/>
              <w:tr2bl w:val="nil"/>
            </w:tcBorders>
            <w:noWrap w:val="0"/>
            <w:vAlign w:val="center"/>
          </w:tcPr>
          <w:p w14:paraId="19ED89E3">
            <w:pPr>
              <w:pStyle w:val="245"/>
              <w:spacing w:line="240" w:lineRule="auto"/>
              <w:jc w:val="center"/>
              <w:rPr>
                <w:rFonts w:hint="eastAsia"/>
                <w:color w:val="auto"/>
                <w:highlight w:val="none"/>
              </w:rPr>
            </w:pPr>
            <w:r>
              <w:rPr>
                <w:rFonts w:hint="eastAsia"/>
                <w:color w:val="auto"/>
                <w:highlight w:val="none"/>
                <w:lang w:val="en-US" w:eastAsia="zh-CN"/>
              </w:rPr>
              <w:t>20</w:t>
            </w:r>
            <w:r>
              <w:rPr>
                <w:rFonts w:hint="eastAsia"/>
                <w:color w:val="auto"/>
                <w:highlight w:val="none"/>
              </w:rPr>
              <w:t>m</w:t>
            </w:r>
            <w:r>
              <w:rPr>
                <w:rFonts w:hint="eastAsia"/>
                <w:color w:val="auto"/>
                <w:highlight w:val="none"/>
                <w:vertAlign w:val="superscript"/>
              </w:rPr>
              <w:t>2</w:t>
            </w:r>
          </w:p>
        </w:tc>
        <w:tc>
          <w:tcPr>
            <w:tcW w:w="1665" w:type="dxa"/>
            <w:vMerge w:val="restart"/>
            <w:tcBorders>
              <w:tl2br w:val="nil"/>
              <w:tr2bl w:val="nil"/>
            </w:tcBorders>
            <w:noWrap w:val="0"/>
            <w:vAlign w:val="center"/>
          </w:tcPr>
          <w:p w14:paraId="13064EA3">
            <w:pPr>
              <w:pStyle w:val="245"/>
              <w:spacing w:line="240" w:lineRule="auto"/>
              <w:jc w:val="center"/>
              <w:rPr>
                <w:rFonts w:hint="eastAsia"/>
                <w:color w:val="auto"/>
                <w:highlight w:val="none"/>
              </w:rPr>
            </w:pPr>
            <w:r>
              <w:rPr>
                <w:rFonts w:hint="eastAsia"/>
                <w:color w:val="auto"/>
                <w:highlight w:val="none"/>
              </w:rPr>
              <w:t>分类收集分区存放</w:t>
            </w:r>
          </w:p>
        </w:tc>
        <w:tc>
          <w:tcPr>
            <w:tcW w:w="975" w:type="dxa"/>
            <w:tcBorders>
              <w:tl2br w:val="nil"/>
              <w:tr2bl w:val="nil"/>
            </w:tcBorders>
            <w:noWrap w:val="0"/>
            <w:vAlign w:val="center"/>
          </w:tcPr>
          <w:p w14:paraId="38FDA2A2">
            <w:pPr>
              <w:pStyle w:val="245"/>
              <w:spacing w:line="240" w:lineRule="auto"/>
              <w:jc w:val="center"/>
              <w:rPr>
                <w:rFonts w:hint="eastAsia"/>
                <w:color w:val="auto"/>
                <w:highlight w:val="none"/>
              </w:rPr>
            </w:pPr>
            <w:r>
              <w:rPr>
                <w:rFonts w:hint="eastAsia"/>
                <w:color w:val="auto"/>
                <w:highlight w:val="none"/>
                <w:lang w:val="en-US" w:eastAsia="zh-CN"/>
              </w:rPr>
              <w:t>3.0</w:t>
            </w:r>
            <w:r>
              <w:rPr>
                <w:rFonts w:hint="eastAsia"/>
                <w:color w:val="auto"/>
                <w:highlight w:val="none"/>
              </w:rPr>
              <w:t>t</w:t>
            </w:r>
          </w:p>
        </w:tc>
        <w:tc>
          <w:tcPr>
            <w:tcW w:w="980" w:type="dxa"/>
            <w:vMerge w:val="restart"/>
            <w:tcBorders>
              <w:tl2br w:val="nil"/>
              <w:tr2bl w:val="nil"/>
            </w:tcBorders>
            <w:noWrap w:val="0"/>
            <w:vAlign w:val="center"/>
          </w:tcPr>
          <w:p w14:paraId="37D7787B">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1年</w:t>
            </w:r>
          </w:p>
        </w:tc>
      </w:tr>
      <w:tr w14:paraId="5E1E5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6" w:type="dxa"/>
            <w:vMerge w:val="continue"/>
            <w:tcBorders>
              <w:tl2br w:val="nil"/>
              <w:tr2bl w:val="nil"/>
            </w:tcBorders>
            <w:noWrap w:val="0"/>
            <w:vAlign w:val="center"/>
          </w:tcPr>
          <w:p w14:paraId="76A0CD67">
            <w:pPr>
              <w:pStyle w:val="245"/>
              <w:spacing w:line="240" w:lineRule="auto"/>
              <w:jc w:val="center"/>
              <w:rPr>
                <w:rFonts w:hint="eastAsia"/>
                <w:color w:val="auto"/>
                <w:highlight w:val="none"/>
              </w:rPr>
            </w:pPr>
          </w:p>
        </w:tc>
        <w:tc>
          <w:tcPr>
            <w:tcW w:w="1654" w:type="dxa"/>
            <w:tcBorders>
              <w:tl2br w:val="nil"/>
              <w:tr2bl w:val="nil"/>
            </w:tcBorders>
            <w:noWrap w:val="0"/>
            <w:vAlign w:val="center"/>
          </w:tcPr>
          <w:p w14:paraId="277AD854">
            <w:pPr>
              <w:pStyle w:val="245"/>
              <w:spacing w:line="240" w:lineRule="auto"/>
              <w:jc w:val="center"/>
              <w:rPr>
                <w:rFonts w:hint="eastAsia" w:eastAsia="宋体"/>
                <w:color w:val="auto"/>
                <w:highlight w:val="none"/>
                <w:lang w:val="en-US" w:eastAsia="zh-CN"/>
              </w:rPr>
            </w:pPr>
            <w:r>
              <w:rPr>
                <w:rFonts w:hint="eastAsia"/>
                <w:color w:val="auto"/>
                <w:highlight w:val="none"/>
                <w:lang w:val="en-US" w:eastAsia="zh-CN"/>
              </w:rPr>
              <w:t>废油桶</w:t>
            </w:r>
          </w:p>
        </w:tc>
        <w:tc>
          <w:tcPr>
            <w:tcW w:w="1020" w:type="dxa"/>
            <w:vMerge w:val="continue"/>
            <w:tcBorders>
              <w:tl2br w:val="nil"/>
              <w:tr2bl w:val="nil"/>
            </w:tcBorders>
            <w:noWrap w:val="0"/>
            <w:vAlign w:val="center"/>
          </w:tcPr>
          <w:p w14:paraId="434E9123">
            <w:pPr>
              <w:pStyle w:val="245"/>
              <w:spacing w:line="240" w:lineRule="auto"/>
              <w:jc w:val="center"/>
              <w:rPr>
                <w:rFonts w:hint="eastAsia"/>
                <w:color w:val="auto"/>
                <w:highlight w:val="none"/>
              </w:rPr>
            </w:pPr>
          </w:p>
        </w:tc>
        <w:tc>
          <w:tcPr>
            <w:tcW w:w="1005" w:type="dxa"/>
            <w:vMerge w:val="continue"/>
            <w:tcBorders>
              <w:tl2br w:val="nil"/>
              <w:tr2bl w:val="nil"/>
            </w:tcBorders>
            <w:noWrap w:val="0"/>
            <w:vAlign w:val="center"/>
          </w:tcPr>
          <w:p w14:paraId="20370F6E">
            <w:pPr>
              <w:pStyle w:val="245"/>
              <w:spacing w:line="240" w:lineRule="auto"/>
              <w:jc w:val="center"/>
              <w:rPr>
                <w:rFonts w:hint="eastAsia"/>
                <w:color w:val="auto"/>
                <w:highlight w:val="none"/>
                <w:lang w:val="en-US" w:eastAsia="zh-CN"/>
              </w:rPr>
            </w:pPr>
          </w:p>
        </w:tc>
        <w:tc>
          <w:tcPr>
            <w:tcW w:w="1665" w:type="dxa"/>
            <w:vMerge w:val="continue"/>
            <w:tcBorders>
              <w:tl2br w:val="nil"/>
              <w:tr2bl w:val="nil"/>
            </w:tcBorders>
            <w:noWrap w:val="0"/>
            <w:vAlign w:val="center"/>
          </w:tcPr>
          <w:p w14:paraId="47C76C15">
            <w:pPr>
              <w:pStyle w:val="245"/>
              <w:spacing w:line="240" w:lineRule="auto"/>
              <w:jc w:val="center"/>
              <w:rPr>
                <w:rFonts w:hint="eastAsia"/>
                <w:color w:val="auto"/>
                <w:highlight w:val="none"/>
              </w:rPr>
            </w:pPr>
          </w:p>
        </w:tc>
        <w:tc>
          <w:tcPr>
            <w:tcW w:w="975" w:type="dxa"/>
            <w:tcBorders>
              <w:tl2br w:val="nil"/>
              <w:tr2bl w:val="nil"/>
            </w:tcBorders>
            <w:noWrap w:val="0"/>
            <w:vAlign w:val="center"/>
          </w:tcPr>
          <w:p w14:paraId="775127B3">
            <w:pPr>
              <w:pStyle w:val="245"/>
              <w:spacing w:line="240" w:lineRule="auto"/>
              <w:jc w:val="center"/>
              <w:rPr>
                <w:rFonts w:hint="default" w:eastAsia="宋体"/>
                <w:color w:val="auto"/>
                <w:highlight w:val="none"/>
                <w:lang w:val="en-US" w:eastAsia="zh-CN"/>
              </w:rPr>
            </w:pPr>
            <w:r>
              <w:rPr>
                <w:rFonts w:hint="eastAsia"/>
                <w:color w:val="auto"/>
                <w:highlight w:val="none"/>
                <w:lang w:val="en-US" w:eastAsia="zh-CN"/>
              </w:rPr>
              <w:t>0.03t</w:t>
            </w:r>
          </w:p>
        </w:tc>
        <w:tc>
          <w:tcPr>
            <w:tcW w:w="980" w:type="dxa"/>
            <w:vMerge w:val="continue"/>
            <w:tcBorders>
              <w:tl2br w:val="nil"/>
              <w:tr2bl w:val="nil"/>
            </w:tcBorders>
            <w:noWrap w:val="0"/>
            <w:vAlign w:val="center"/>
          </w:tcPr>
          <w:p w14:paraId="4E68836D">
            <w:pPr>
              <w:pStyle w:val="245"/>
              <w:spacing w:line="240" w:lineRule="auto"/>
              <w:jc w:val="center"/>
              <w:rPr>
                <w:rFonts w:hint="eastAsia" w:eastAsia="宋体"/>
                <w:color w:val="auto"/>
                <w:highlight w:val="none"/>
                <w:lang w:val="en-US" w:eastAsia="zh-CN"/>
              </w:rPr>
            </w:pPr>
          </w:p>
        </w:tc>
      </w:tr>
    </w:tbl>
    <w:p w14:paraId="6792BE1E">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厂区内危险废物的暂存场所必须严格按照《危险废物贮存污染控制标准》（GB18597-2023）的要求设置，贮存场所应满足以下要求：</w:t>
      </w:r>
    </w:p>
    <w:p w14:paraId="5C384EDB">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①贮存场所必须有符合《危险废物识别标志设置技术规范》（HJ1276-2022）的专用标志。</w:t>
      </w:r>
    </w:p>
    <w:p w14:paraId="3B3D438A">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②按危险废物的种类和特性进行分区贮存，每个贮存区域之间宜设置挡墙间隔，并设置防雨、防火、防雷、防扬尘装置。</w:t>
      </w:r>
    </w:p>
    <w:p w14:paraId="661A6130">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③</w:t>
      </w:r>
      <w:r>
        <w:rPr>
          <w:rFonts w:hint="eastAsia"/>
          <w:b w:val="0"/>
          <w:color w:val="auto"/>
          <w:kern w:val="0"/>
          <w:highlight w:val="none"/>
          <w:lang w:val="en-US" w:eastAsia="zh-CN"/>
        </w:rPr>
        <w:t xml:space="preserve">危险废物暂存间地面的防渗层至少 1 m 厚黏土层（渗透系数不大于 10 </w:t>
      </w:r>
      <w:r>
        <w:rPr>
          <w:rFonts w:hint="eastAsia"/>
          <w:b w:val="0"/>
          <w:color w:val="auto"/>
          <w:kern w:val="0"/>
          <w:highlight w:val="none"/>
          <w:vertAlign w:val="superscript"/>
          <w:lang w:val="en-US" w:eastAsia="zh-CN"/>
        </w:rPr>
        <w:t xml:space="preserve">-7 </w:t>
      </w:r>
      <w:r>
        <w:rPr>
          <w:rFonts w:hint="eastAsia"/>
          <w:b w:val="0"/>
          <w:color w:val="auto"/>
          <w:kern w:val="0"/>
          <w:highlight w:val="none"/>
          <w:lang w:val="en-US" w:eastAsia="zh-CN"/>
        </w:rPr>
        <w:t>cm/s），或至少2 mm 厚高密度聚乙烯膜等人工防渗材料（渗透系数不大于 10</w:t>
      </w:r>
      <w:r>
        <w:rPr>
          <w:rFonts w:hint="eastAsia"/>
          <w:b w:val="0"/>
          <w:color w:val="auto"/>
          <w:kern w:val="0"/>
          <w:highlight w:val="none"/>
          <w:vertAlign w:val="superscript"/>
          <w:lang w:val="en-US" w:eastAsia="zh-CN"/>
        </w:rPr>
        <w:t xml:space="preserve"> -10 </w:t>
      </w:r>
      <w:r>
        <w:rPr>
          <w:rFonts w:hint="eastAsia"/>
          <w:b w:val="0"/>
          <w:color w:val="auto"/>
          <w:kern w:val="0"/>
          <w:highlight w:val="none"/>
          <w:lang w:val="en-US" w:eastAsia="zh-CN"/>
        </w:rPr>
        <w:t>cm/s），或其他防渗性能等效的材料，防渗、防腐材料应覆盖所有可能与废物及其渗滤液、渗漏液等接触的构筑物表面。</w:t>
      </w:r>
    </w:p>
    <w:p w14:paraId="146AC7E9">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④危废暂存间内设置导流槽和集液池用于收集泄漏液体；</w:t>
      </w:r>
    </w:p>
    <w:p w14:paraId="58CE7560">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⑤应建有堵截泄漏的裙角，地面与裙角要用兼顾防渗的材料建造，建筑材料必须与危险废物相容。</w:t>
      </w:r>
    </w:p>
    <w:p w14:paraId="11213885">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⑥</w:t>
      </w:r>
      <w:r>
        <w:rPr>
          <w:rFonts w:hint="eastAsia"/>
          <w:b w:val="0"/>
          <w:color w:val="auto"/>
          <w:kern w:val="0"/>
          <w:highlight w:val="none"/>
          <w:lang w:val="en-US" w:eastAsia="zh-CN"/>
        </w:rPr>
        <w:t>废机油采用全密闭桶装包装方式，并将废机油及废油桶置放在金属托盘上</w:t>
      </w:r>
      <w:r>
        <w:rPr>
          <w:rFonts w:hint="eastAsia"/>
          <w:color w:val="auto"/>
          <w:sz w:val="24"/>
          <w:szCs w:val="24"/>
          <w:highlight w:val="none"/>
          <w:lang w:eastAsia="zh-CN"/>
        </w:rPr>
        <w:t>。</w:t>
      </w:r>
    </w:p>
    <w:p w14:paraId="0B49D40E">
      <w:pPr>
        <w:autoSpaceDE w:val="0"/>
        <w:autoSpaceDN w:val="0"/>
        <w:adjustRightInd w:val="0"/>
        <w:snapToGrid w:val="0"/>
        <w:spacing w:line="480" w:lineRule="exact"/>
        <w:ind w:firstLine="480" w:firstLineChars="200"/>
        <w:rPr>
          <w:rFonts w:hint="eastAsia"/>
          <w:b w:val="0"/>
          <w:color w:val="auto"/>
          <w:kern w:val="0"/>
          <w:highlight w:val="none"/>
          <w:lang w:val="en-US" w:eastAsia="zh-CN"/>
        </w:rPr>
      </w:pPr>
      <w:r>
        <w:rPr>
          <w:rFonts w:hint="eastAsia"/>
          <w:color w:val="auto"/>
          <w:sz w:val="24"/>
          <w:szCs w:val="24"/>
          <w:highlight w:val="none"/>
          <w:lang w:eastAsia="zh-CN"/>
        </w:rPr>
        <w:t>⑦</w:t>
      </w:r>
      <w:r>
        <w:rPr>
          <w:rFonts w:hint="eastAsia"/>
          <w:color w:val="auto"/>
          <w:sz w:val="24"/>
          <w:szCs w:val="24"/>
          <w:highlight w:val="none"/>
          <w:lang w:val="en-US" w:eastAsia="zh-CN"/>
        </w:rPr>
        <w:t>因贮存间内暂存的机油</w:t>
      </w:r>
      <w:r>
        <w:rPr>
          <w:rFonts w:hint="eastAsia"/>
          <w:b w:val="0"/>
          <w:color w:val="auto"/>
          <w:kern w:val="0"/>
          <w:highlight w:val="none"/>
          <w:lang w:val="en-US" w:eastAsia="zh-CN"/>
        </w:rPr>
        <w:t xml:space="preserve">采用全密闭桶装贮存，故贮存期间不易产生粉尘、VOCs、酸雾、有毒有害大气污染物和刺激性气味气体，故无需单独设置气体收集装置和气体净化设施，本次评价要求危险废物贮存间加强通风，排风系统。 </w:t>
      </w:r>
    </w:p>
    <w:p w14:paraId="1F0A7583">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经采取上述措施，固体废物均得到合理处置，不会对环境造成二次污染，措施可行。</w:t>
      </w:r>
    </w:p>
    <w:p w14:paraId="47EA5A55">
      <w:pPr>
        <w:pStyle w:val="3"/>
        <w:spacing w:before="120" w:after="120"/>
        <w:rPr>
          <w:color w:val="auto"/>
          <w:highlight w:val="none"/>
        </w:rPr>
      </w:pPr>
      <w:bookmarkStart w:id="229" w:name="_Toc24447208"/>
      <w:bookmarkStart w:id="230" w:name="_Toc24447644"/>
      <w:bookmarkStart w:id="231" w:name="_Toc29888"/>
      <w:bookmarkStart w:id="232" w:name="_Toc24340249"/>
      <w:bookmarkStart w:id="233" w:name="_Toc58916184"/>
      <w:r>
        <w:rPr>
          <w:rFonts w:hint="eastAsia"/>
          <w:color w:val="auto"/>
          <w:highlight w:val="none"/>
        </w:rPr>
        <w:t>环境影响经济损益分析</w:t>
      </w:r>
      <w:bookmarkEnd w:id="229"/>
      <w:bookmarkEnd w:id="230"/>
      <w:bookmarkEnd w:id="231"/>
      <w:bookmarkEnd w:id="232"/>
      <w:bookmarkEnd w:id="233"/>
    </w:p>
    <w:p w14:paraId="2BEDD48C">
      <w:pPr>
        <w:pStyle w:val="4"/>
        <w:spacing w:before="120" w:after="120"/>
        <w:rPr>
          <w:color w:val="auto"/>
          <w:highlight w:val="none"/>
        </w:rPr>
      </w:pPr>
      <w:bookmarkStart w:id="234" w:name="_Toc24447209"/>
      <w:bookmarkStart w:id="235" w:name="_Toc30762"/>
      <w:bookmarkStart w:id="236" w:name="_Toc24340250"/>
      <w:bookmarkStart w:id="237" w:name="_Toc24447645"/>
      <w:bookmarkStart w:id="238" w:name="_Toc58916185"/>
      <w:r>
        <w:rPr>
          <w:rFonts w:hint="eastAsia"/>
          <w:color w:val="auto"/>
          <w:highlight w:val="none"/>
        </w:rPr>
        <w:t>社会效益分析</w:t>
      </w:r>
      <w:bookmarkEnd w:id="234"/>
      <w:bookmarkEnd w:id="235"/>
      <w:bookmarkEnd w:id="236"/>
      <w:bookmarkEnd w:id="237"/>
      <w:bookmarkEnd w:id="238"/>
    </w:p>
    <w:p w14:paraId="6E006927">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本项目在内蒙古锡林郭勒多伦经济开发区内投资兴建，</w:t>
      </w:r>
      <w:r>
        <w:rPr>
          <w:rFonts w:hint="eastAsia"/>
          <w:color w:val="auto"/>
          <w:sz w:val="24"/>
          <w:szCs w:val="24"/>
          <w:highlight w:val="none"/>
          <w:lang w:val="en-US" w:eastAsia="zh-CN"/>
        </w:rPr>
        <w:t>本</w:t>
      </w:r>
      <w:r>
        <w:rPr>
          <w:rFonts w:hint="eastAsia"/>
          <w:color w:val="auto"/>
          <w:sz w:val="24"/>
          <w:szCs w:val="24"/>
          <w:highlight w:val="none"/>
          <w:lang w:eastAsia="zh-CN"/>
        </w:rPr>
        <w:t>项目建设有利于带动地方经济的发展。本项目可以充分利用地域资源优势，增长地区产业链的进一步扩大。项目的投产可解决当地一批人员的就业问题，为当地居民收入提高及社会稳定作出一定贡献。</w:t>
      </w:r>
    </w:p>
    <w:p w14:paraId="0A569F3D">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项目的实施对稳定社会、提高当地人民的生活水平、提高当地税收及相关产业的繁荣具有一定的拉动作用。该项目建成投产后，将对地方经济产生联动的效益，具有一定的社会效益和经济效益。</w:t>
      </w:r>
    </w:p>
    <w:p w14:paraId="63F0ECEB">
      <w:pPr>
        <w:pStyle w:val="4"/>
        <w:spacing w:before="120" w:after="120"/>
        <w:rPr>
          <w:color w:val="auto"/>
          <w:highlight w:val="none"/>
        </w:rPr>
      </w:pPr>
      <w:bookmarkStart w:id="239" w:name="_Toc58916186"/>
      <w:bookmarkStart w:id="240" w:name="_Toc24340251"/>
      <w:bookmarkStart w:id="241" w:name="_Toc11915"/>
      <w:bookmarkStart w:id="242" w:name="_Toc24447646"/>
      <w:bookmarkStart w:id="243" w:name="_Toc24447210"/>
      <w:r>
        <w:rPr>
          <w:rFonts w:hint="eastAsia"/>
          <w:color w:val="auto"/>
          <w:highlight w:val="none"/>
        </w:rPr>
        <w:t>经济效益分析</w:t>
      </w:r>
      <w:bookmarkEnd w:id="239"/>
      <w:bookmarkEnd w:id="240"/>
      <w:bookmarkEnd w:id="241"/>
      <w:bookmarkEnd w:id="242"/>
      <w:bookmarkEnd w:id="243"/>
    </w:p>
    <w:p w14:paraId="38442048">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本项目总投资为</w:t>
      </w:r>
      <w:r>
        <w:rPr>
          <w:rFonts w:hint="eastAsia"/>
          <w:color w:val="auto"/>
          <w:sz w:val="24"/>
          <w:szCs w:val="24"/>
          <w:highlight w:val="none"/>
          <w:lang w:val="en-US" w:eastAsia="zh-CN"/>
        </w:rPr>
        <w:t>2000</w:t>
      </w:r>
      <w:r>
        <w:rPr>
          <w:rFonts w:hint="eastAsia"/>
          <w:color w:val="auto"/>
          <w:sz w:val="24"/>
          <w:szCs w:val="24"/>
          <w:highlight w:val="none"/>
          <w:lang w:eastAsia="zh-CN"/>
        </w:rPr>
        <w:t>万元。项目建成投产后，年平均</w:t>
      </w:r>
      <w:r>
        <w:rPr>
          <w:rFonts w:hint="eastAsia"/>
          <w:color w:val="auto"/>
          <w:sz w:val="24"/>
          <w:szCs w:val="24"/>
          <w:highlight w:val="none"/>
          <w:lang w:val="en-US" w:eastAsia="zh-CN"/>
        </w:rPr>
        <w:t>销售</w:t>
      </w:r>
      <w:r>
        <w:rPr>
          <w:rFonts w:hint="eastAsia"/>
          <w:color w:val="auto"/>
          <w:sz w:val="24"/>
          <w:szCs w:val="24"/>
          <w:highlight w:val="none"/>
          <w:lang w:eastAsia="zh-CN"/>
        </w:rPr>
        <w:t>总额为</w:t>
      </w:r>
      <w:r>
        <w:rPr>
          <w:rFonts w:hint="eastAsia"/>
          <w:color w:val="auto"/>
          <w:sz w:val="24"/>
          <w:szCs w:val="24"/>
          <w:highlight w:val="none"/>
          <w:lang w:val="en-US" w:eastAsia="zh-CN"/>
        </w:rPr>
        <w:t>45000</w:t>
      </w:r>
      <w:r>
        <w:rPr>
          <w:rFonts w:hint="eastAsia"/>
          <w:color w:val="auto"/>
          <w:sz w:val="24"/>
          <w:szCs w:val="24"/>
          <w:highlight w:val="none"/>
          <w:lang w:eastAsia="zh-CN"/>
        </w:rPr>
        <w:t>万元，投资</w:t>
      </w:r>
      <w:r>
        <w:rPr>
          <w:rFonts w:hint="eastAsia"/>
          <w:color w:val="auto"/>
          <w:sz w:val="24"/>
          <w:szCs w:val="24"/>
          <w:highlight w:val="none"/>
          <w:lang w:val="en-US" w:eastAsia="zh-CN"/>
        </w:rPr>
        <w:t>财务内部</w:t>
      </w:r>
      <w:r>
        <w:rPr>
          <w:rFonts w:hint="eastAsia"/>
          <w:color w:val="auto"/>
          <w:sz w:val="24"/>
          <w:szCs w:val="24"/>
          <w:highlight w:val="none"/>
          <w:lang w:eastAsia="zh-CN"/>
        </w:rPr>
        <w:t>收益率为</w:t>
      </w:r>
      <w:r>
        <w:rPr>
          <w:rFonts w:hint="eastAsia"/>
          <w:color w:val="auto"/>
          <w:sz w:val="24"/>
          <w:szCs w:val="24"/>
          <w:highlight w:val="none"/>
          <w:lang w:val="en-US" w:eastAsia="zh-CN"/>
        </w:rPr>
        <w:t>142.94</w:t>
      </w:r>
      <w:r>
        <w:rPr>
          <w:rFonts w:hint="eastAsia"/>
          <w:color w:val="auto"/>
          <w:sz w:val="24"/>
          <w:szCs w:val="24"/>
          <w:highlight w:val="none"/>
          <w:lang w:eastAsia="zh-CN"/>
        </w:rPr>
        <w:t>%，投资回收期</w:t>
      </w:r>
      <w:r>
        <w:rPr>
          <w:rFonts w:hint="eastAsia"/>
          <w:color w:val="auto"/>
          <w:sz w:val="24"/>
          <w:szCs w:val="24"/>
          <w:highlight w:val="none"/>
          <w:lang w:val="en-US" w:eastAsia="zh-CN"/>
        </w:rPr>
        <w:t>0.4</w:t>
      </w:r>
      <w:r>
        <w:rPr>
          <w:rFonts w:hint="eastAsia"/>
          <w:color w:val="auto"/>
          <w:sz w:val="24"/>
          <w:szCs w:val="24"/>
          <w:highlight w:val="none"/>
          <w:lang w:eastAsia="zh-CN"/>
        </w:rPr>
        <w:t>年（税后），从财务评价看投资回收期较短，各项技术经济指标均达到国家规定的基准指标，因而具有较强的获利能力和较强的抗风险能力。本项目各项财务指标均满足本行业要求，项目具有较好的盈利能力和还贷能力，因此本项目建设具有较好的经济效益。</w:t>
      </w:r>
    </w:p>
    <w:p w14:paraId="33CC4D9E">
      <w:pPr>
        <w:pStyle w:val="4"/>
        <w:spacing w:before="120" w:after="120"/>
        <w:rPr>
          <w:color w:val="auto"/>
          <w:highlight w:val="none"/>
        </w:rPr>
      </w:pPr>
      <w:bookmarkStart w:id="244" w:name="_Toc24447647"/>
      <w:bookmarkStart w:id="245" w:name="_Toc58916187"/>
      <w:bookmarkStart w:id="246" w:name="_Toc24447211"/>
      <w:bookmarkStart w:id="247" w:name="_Toc18111"/>
      <w:bookmarkStart w:id="248" w:name="_Toc24340252"/>
      <w:r>
        <w:rPr>
          <w:rFonts w:hint="eastAsia"/>
          <w:color w:val="auto"/>
          <w:highlight w:val="none"/>
        </w:rPr>
        <w:t>环境效益分析</w:t>
      </w:r>
      <w:bookmarkEnd w:id="244"/>
      <w:bookmarkEnd w:id="245"/>
      <w:bookmarkEnd w:id="246"/>
      <w:bookmarkEnd w:id="247"/>
      <w:bookmarkEnd w:id="248"/>
    </w:p>
    <w:p w14:paraId="1C8B20B8">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环境效益分析可分为：环境损失及环境效益两个方面。</w:t>
      </w:r>
    </w:p>
    <w:p w14:paraId="55BC4FF1">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（1）环境损失分析</w:t>
      </w:r>
    </w:p>
    <w:p w14:paraId="3F3B276D">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根据本项目的施工工艺和运行期特点，环境损失可分解为建设期环境损失和运行期环境损失。</w:t>
      </w:r>
    </w:p>
    <w:p w14:paraId="0901757D">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①施工期环境损失</w:t>
      </w:r>
    </w:p>
    <w:p w14:paraId="7D8A7DC5">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本工程施工期环境损失影响主要体现在如下几个方面，一是临时占地、施工废渣堆积等影响自然景观；二是施工扬尘对局地环境空气质量不利影响；三是施工期间的生产及生活污水排放，如果管理不善可能产生不良影响；</w:t>
      </w:r>
    </w:p>
    <w:p w14:paraId="07E9A002">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②运行期环境损失</w:t>
      </w:r>
    </w:p>
    <w:p w14:paraId="07143A80">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本工程运行期产生的不利影响主要来源于粉尘</w:t>
      </w:r>
      <w:r>
        <w:rPr>
          <w:rFonts w:hint="eastAsia"/>
          <w:color w:val="auto"/>
          <w:sz w:val="24"/>
          <w:szCs w:val="24"/>
          <w:highlight w:val="none"/>
          <w:lang w:val="en-US" w:eastAsia="zh-CN"/>
        </w:rPr>
        <w:t>颗粒物和氟化物</w:t>
      </w:r>
      <w:r>
        <w:rPr>
          <w:rFonts w:hint="eastAsia"/>
          <w:color w:val="auto"/>
          <w:sz w:val="24"/>
          <w:szCs w:val="24"/>
          <w:highlight w:val="none"/>
          <w:lang w:eastAsia="zh-CN"/>
        </w:rPr>
        <w:t>排放对环境空气质量带来的不良影响。</w:t>
      </w:r>
    </w:p>
    <w:p w14:paraId="2A4901B1">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（2）环境效益分析</w:t>
      </w:r>
    </w:p>
    <w:p w14:paraId="2C7B07B5">
      <w:pPr>
        <w:autoSpaceDE w:val="0"/>
        <w:autoSpaceDN w:val="0"/>
        <w:adjustRightInd w:val="0"/>
        <w:snapToGrid w:val="0"/>
        <w:spacing w:line="480" w:lineRule="exact"/>
        <w:ind w:firstLine="480" w:firstLineChars="200"/>
        <w:rPr>
          <w:rFonts w:hint="eastAsia"/>
          <w:color w:val="auto"/>
          <w:sz w:val="24"/>
          <w:szCs w:val="24"/>
          <w:highlight w:val="none"/>
          <w:lang w:val="zh-CN" w:eastAsia="zh-CN"/>
        </w:rPr>
      </w:pPr>
      <w:r>
        <w:rPr>
          <w:rFonts w:hint="eastAsia"/>
          <w:color w:val="auto"/>
          <w:sz w:val="24"/>
          <w:szCs w:val="24"/>
          <w:highlight w:val="none"/>
          <w:lang w:eastAsia="zh-CN"/>
        </w:rPr>
        <w:t>本项目总投资</w:t>
      </w:r>
      <w:r>
        <w:rPr>
          <w:rFonts w:hint="eastAsia"/>
          <w:color w:val="auto"/>
          <w:sz w:val="24"/>
          <w:szCs w:val="24"/>
          <w:highlight w:val="none"/>
          <w:lang w:val="en-US" w:eastAsia="zh-CN"/>
        </w:rPr>
        <w:t>2000</w:t>
      </w:r>
      <w:r>
        <w:rPr>
          <w:rFonts w:hint="eastAsia"/>
          <w:color w:val="auto"/>
          <w:sz w:val="24"/>
          <w:szCs w:val="24"/>
          <w:highlight w:val="none"/>
          <w:lang w:eastAsia="zh-CN"/>
        </w:rPr>
        <w:t>万元，其中环保投资为</w:t>
      </w:r>
      <w:r>
        <w:rPr>
          <w:rFonts w:hint="eastAsia"/>
          <w:color w:val="auto"/>
          <w:sz w:val="24"/>
          <w:szCs w:val="24"/>
          <w:highlight w:val="none"/>
          <w:lang w:val="en-US" w:eastAsia="zh-CN"/>
        </w:rPr>
        <w:t>345</w:t>
      </w:r>
      <w:r>
        <w:rPr>
          <w:rFonts w:hint="eastAsia"/>
          <w:color w:val="auto"/>
          <w:sz w:val="24"/>
          <w:szCs w:val="24"/>
          <w:highlight w:val="none"/>
          <w:lang w:eastAsia="zh-CN"/>
        </w:rPr>
        <w:t>万元，</w:t>
      </w:r>
      <w:r>
        <w:rPr>
          <w:rFonts w:hint="eastAsia"/>
          <w:color w:val="auto"/>
          <w:sz w:val="24"/>
          <w:szCs w:val="24"/>
          <w:highlight w:val="none"/>
          <w:lang w:val="zh-CN" w:eastAsia="zh-CN"/>
        </w:rPr>
        <w:t>环保设施投资占工程建设投资</w:t>
      </w:r>
      <w:r>
        <w:rPr>
          <w:rFonts w:hint="eastAsia"/>
          <w:color w:val="auto"/>
          <w:sz w:val="24"/>
          <w:szCs w:val="24"/>
          <w:highlight w:val="none"/>
          <w:lang w:val="en-US" w:eastAsia="zh-CN"/>
        </w:rPr>
        <w:t>17.25</w:t>
      </w:r>
      <w:r>
        <w:rPr>
          <w:rFonts w:hint="eastAsia"/>
          <w:color w:val="auto"/>
          <w:sz w:val="24"/>
          <w:szCs w:val="24"/>
          <w:highlight w:val="none"/>
          <w:lang w:val="zh-CN" w:eastAsia="zh-CN"/>
        </w:rPr>
        <w:t>%</w:t>
      </w:r>
      <w:r>
        <w:rPr>
          <w:rFonts w:hint="eastAsia"/>
          <w:color w:val="auto"/>
          <w:sz w:val="24"/>
          <w:szCs w:val="24"/>
          <w:highlight w:val="none"/>
          <w:lang w:eastAsia="zh-CN"/>
        </w:rPr>
        <w:t>。</w:t>
      </w:r>
      <w:r>
        <w:rPr>
          <w:rFonts w:hint="eastAsia"/>
          <w:color w:val="auto"/>
          <w:sz w:val="24"/>
          <w:szCs w:val="24"/>
          <w:highlight w:val="none"/>
          <w:lang w:val="zh-CN" w:eastAsia="zh-CN"/>
        </w:rPr>
        <w:t>环保设施投资表见表8.3-1。</w:t>
      </w:r>
    </w:p>
    <w:p w14:paraId="1F1BB689">
      <w:pPr>
        <w:pStyle w:val="199"/>
        <w:spacing w:before="120"/>
        <w:ind w:firstLine="480"/>
        <w:rPr>
          <w:rFonts w:hint="eastAsia"/>
          <w:color w:val="auto"/>
          <w:sz w:val="24"/>
          <w:highlight w:val="none"/>
          <w:lang w:val="zh-CN"/>
        </w:rPr>
      </w:pPr>
      <w:r>
        <w:rPr>
          <w:rFonts w:hint="eastAsia"/>
          <w:color w:val="auto"/>
          <w:sz w:val="24"/>
          <w:highlight w:val="none"/>
          <w:lang w:val="zh-CN"/>
        </w:rPr>
        <w:t>表8.3-1   环保设施投资表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707"/>
        <w:gridCol w:w="3489"/>
        <w:gridCol w:w="2701"/>
      </w:tblGrid>
      <w:tr w14:paraId="2EBA2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noWrap w:val="0"/>
            <w:vAlign w:val="center"/>
          </w:tcPr>
          <w:p w14:paraId="6CA369FD">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类别</w:t>
            </w:r>
          </w:p>
        </w:tc>
        <w:tc>
          <w:tcPr>
            <w:tcW w:w="2463" w:type="pct"/>
            <w:gridSpan w:val="2"/>
            <w:noWrap w:val="0"/>
            <w:vAlign w:val="center"/>
          </w:tcPr>
          <w:p w14:paraId="3F663973">
            <w:pPr>
              <w:spacing w:line="240" w:lineRule="auto"/>
              <w:ind w:firstLine="0" w:firstLineChars="0"/>
              <w:jc w:val="center"/>
              <w:rPr>
                <w:color w:val="auto"/>
                <w:sz w:val="21"/>
                <w:szCs w:val="21"/>
                <w:highlight w:val="none"/>
              </w:rPr>
            </w:pPr>
            <w:r>
              <w:rPr>
                <w:color w:val="auto"/>
                <w:sz w:val="21"/>
                <w:szCs w:val="21"/>
                <w:highlight w:val="none"/>
              </w:rPr>
              <w:t>项目</w:t>
            </w:r>
          </w:p>
        </w:tc>
        <w:tc>
          <w:tcPr>
            <w:tcW w:w="1585" w:type="pct"/>
            <w:noWrap w:val="0"/>
            <w:vAlign w:val="center"/>
          </w:tcPr>
          <w:p w14:paraId="532B0146">
            <w:pPr>
              <w:spacing w:line="240" w:lineRule="auto"/>
              <w:ind w:firstLine="0" w:firstLineChars="0"/>
              <w:jc w:val="center"/>
              <w:rPr>
                <w:color w:val="auto"/>
                <w:sz w:val="21"/>
                <w:szCs w:val="21"/>
                <w:highlight w:val="none"/>
              </w:rPr>
            </w:pPr>
            <w:r>
              <w:rPr>
                <w:color w:val="auto"/>
                <w:sz w:val="21"/>
                <w:szCs w:val="21"/>
                <w:highlight w:val="none"/>
              </w:rPr>
              <w:t>投资（万元）</w:t>
            </w:r>
          </w:p>
        </w:tc>
      </w:tr>
      <w:tr w14:paraId="344E3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restart"/>
            <w:noWrap w:val="0"/>
            <w:vAlign w:val="center"/>
          </w:tcPr>
          <w:p w14:paraId="2C6C92EF">
            <w:pPr>
              <w:spacing w:line="240" w:lineRule="auto"/>
              <w:ind w:firstLine="0" w:firstLineChars="0"/>
              <w:jc w:val="center"/>
              <w:rPr>
                <w:color w:val="auto"/>
                <w:sz w:val="21"/>
                <w:szCs w:val="21"/>
                <w:highlight w:val="none"/>
                <w:lang w:val="zh-CN"/>
              </w:rPr>
            </w:pPr>
            <w:r>
              <w:rPr>
                <w:color w:val="auto"/>
                <w:sz w:val="21"/>
                <w:szCs w:val="21"/>
                <w:highlight w:val="none"/>
                <w:lang w:val="zh-CN"/>
              </w:rPr>
              <w:t>废气</w:t>
            </w:r>
          </w:p>
          <w:p w14:paraId="0572BD64">
            <w:pPr>
              <w:spacing w:line="240" w:lineRule="auto"/>
              <w:ind w:firstLine="0" w:firstLineChars="0"/>
              <w:jc w:val="center"/>
              <w:rPr>
                <w:color w:val="auto"/>
                <w:sz w:val="21"/>
                <w:szCs w:val="21"/>
                <w:highlight w:val="none"/>
                <w:lang w:val="zh-CN"/>
              </w:rPr>
            </w:pPr>
            <w:r>
              <w:rPr>
                <w:color w:val="auto"/>
                <w:sz w:val="21"/>
                <w:szCs w:val="21"/>
                <w:highlight w:val="none"/>
                <w:lang w:val="zh-CN"/>
              </w:rPr>
              <w:t>治理</w:t>
            </w:r>
          </w:p>
        </w:tc>
        <w:tc>
          <w:tcPr>
            <w:tcW w:w="415" w:type="pct"/>
            <w:vMerge w:val="restart"/>
            <w:noWrap w:val="0"/>
            <w:vAlign w:val="center"/>
          </w:tcPr>
          <w:p w14:paraId="34A8A9F2">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破碎筛分车间</w:t>
            </w:r>
          </w:p>
        </w:tc>
        <w:tc>
          <w:tcPr>
            <w:tcW w:w="2048" w:type="pct"/>
            <w:noWrap w:val="0"/>
            <w:vAlign w:val="center"/>
          </w:tcPr>
          <w:p w14:paraId="6E702FEA">
            <w:pPr>
              <w:widowControl/>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给料机上料口水喷淋装置</w:t>
            </w:r>
          </w:p>
        </w:tc>
        <w:tc>
          <w:tcPr>
            <w:tcW w:w="1585" w:type="pct"/>
            <w:noWrap w:val="0"/>
            <w:vAlign w:val="center"/>
          </w:tcPr>
          <w:p w14:paraId="17E34723">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r>
      <w:tr w14:paraId="40B90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continue"/>
            <w:noWrap w:val="0"/>
            <w:vAlign w:val="center"/>
          </w:tcPr>
          <w:p w14:paraId="3B37B9DA">
            <w:pPr>
              <w:spacing w:line="240" w:lineRule="auto"/>
              <w:ind w:firstLine="0" w:firstLineChars="0"/>
              <w:jc w:val="center"/>
              <w:rPr>
                <w:color w:val="auto"/>
                <w:sz w:val="21"/>
                <w:szCs w:val="21"/>
                <w:highlight w:val="none"/>
                <w:lang w:val="zh-CN"/>
              </w:rPr>
            </w:pPr>
          </w:p>
        </w:tc>
        <w:tc>
          <w:tcPr>
            <w:tcW w:w="415" w:type="pct"/>
            <w:vMerge w:val="continue"/>
            <w:noWrap w:val="0"/>
            <w:vAlign w:val="center"/>
          </w:tcPr>
          <w:p w14:paraId="2726CE2A">
            <w:pPr>
              <w:widowControl/>
              <w:spacing w:line="240" w:lineRule="auto"/>
              <w:ind w:firstLine="0" w:firstLineChars="0"/>
              <w:jc w:val="center"/>
              <w:rPr>
                <w:rFonts w:hint="eastAsia"/>
                <w:color w:val="auto"/>
                <w:sz w:val="21"/>
                <w:szCs w:val="21"/>
                <w:highlight w:val="none"/>
                <w:lang w:val="en-US" w:eastAsia="zh-CN"/>
              </w:rPr>
            </w:pPr>
          </w:p>
        </w:tc>
        <w:tc>
          <w:tcPr>
            <w:tcW w:w="2048" w:type="pct"/>
            <w:noWrap w:val="0"/>
            <w:vAlign w:val="center"/>
          </w:tcPr>
          <w:p w14:paraId="688751DC">
            <w:pPr>
              <w:widowControl/>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1台粗破机，2台细破机、1台筛分机各一套集气罩，集气效率90%以上。</w:t>
            </w:r>
          </w:p>
        </w:tc>
        <w:tc>
          <w:tcPr>
            <w:tcW w:w="1585" w:type="pct"/>
            <w:noWrap w:val="0"/>
            <w:vAlign w:val="center"/>
          </w:tcPr>
          <w:p w14:paraId="651CE214">
            <w:pPr>
              <w:widowControl/>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r>
      <w:tr w14:paraId="0478E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continue"/>
            <w:noWrap w:val="0"/>
            <w:vAlign w:val="center"/>
          </w:tcPr>
          <w:p w14:paraId="00E882D6">
            <w:pPr>
              <w:widowControl/>
              <w:spacing w:line="240" w:lineRule="auto"/>
              <w:ind w:firstLine="0" w:firstLineChars="0"/>
              <w:jc w:val="left"/>
              <w:rPr>
                <w:color w:val="auto"/>
                <w:sz w:val="21"/>
                <w:szCs w:val="21"/>
                <w:highlight w:val="none"/>
                <w:lang w:val="zh-CN"/>
              </w:rPr>
            </w:pPr>
          </w:p>
        </w:tc>
        <w:tc>
          <w:tcPr>
            <w:tcW w:w="415" w:type="pct"/>
            <w:vMerge w:val="continue"/>
            <w:noWrap w:val="0"/>
            <w:vAlign w:val="center"/>
          </w:tcPr>
          <w:p w14:paraId="26B49E88">
            <w:pPr>
              <w:widowControl/>
              <w:spacing w:line="240" w:lineRule="auto"/>
              <w:ind w:firstLine="0" w:firstLineChars="0"/>
              <w:jc w:val="center"/>
              <w:rPr>
                <w:color w:val="auto"/>
                <w:sz w:val="21"/>
                <w:szCs w:val="21"/>
                <w:highlight w:val="none"/>
                <w:lang w:val="zh-CN"/>
              </w:rPr>
            </w:pPr>
          </w:p>
        </w:tc>
        <w:tc>
          <w:tcPr>
            <w:tcW w:w="2048" w:type="pct"/>
            <w:noWrap w:val="0"/>
            <w:vAlign w:val="center"/>
          </w:tcPr>
          <w:p w14:paraId="3545C4E8">
            <w:pPr>
              <w:widowControl/>
              <w:spacing w:line="240" w:lineRule="auto"/>
              <w:ind w:firstLine="0" w:firstLineChars="0"/>
              <w:jc w:val="center"/>
              <w:rPr>
                <w:rFonts w:hint="eastAsia" w:ascii="Times New Roman" w:hAnsi="Times New Roman" w:eastAsia="宋体" w:cs="Times New Roman"/>
                <w:color w:val="auto"/>
                <w:kern w:val="2"/>
                <w:sz w:val="21"/>
                <w:szCs w:val="21"/>
                <w:highlight w:val="none"/>
                <w:lang w:val="zh-CN" w:eastAsia="zh-CN" w:bidi="ar-SA"/>
              </w:rPr>
            </w:pPr>
            <w:r>
              <w:rPr>
                <w:rFonts w:hint="eastAsia"/>
                <w:color w:val="auto"/>
                <w:sz w:val="21"/>
                <w:szCs w:val="21"/>
                <w:highlight w:val="none"/>
                <w:lang w:val="zh-CN"/>
              </w:rPr>
              <w:t>布袋除尘器（</w:t>
            </w:r>
            <w:r>
              <w:rPr>
                <w:rFonts w:hint="eastAsia"/>
                <w:color w:val="auto"/>
                <w:sz w:val="21"/>
                <w:szCs w:val="21"/>
                <w:highlight w:val="none"/>
                <w:lang w:val="en-US" w:eastAsia="zh-CN"/>
              </w:rPr>
              <w:t>除尘效率90%以上</w:t>
            </w:r>
            <w:r>
              <w:rPr>
                <w:rFonts w:hint="eastAsia"/>
                <w:color w:val="auto"/>
                <w:sz w:val="21"/>
                <w:szCs w:val="21"/>
                <w:highlight w:val="none"/>
                <w:lang w:val="zh-CN"/>
              </w:rPr>
              <w:t>）+</w:t>
            </w:r>
            <w:r>
              <w:rPr>
                <w:rFonts w:hint="eastAsia"/>
                <w:color w:val="auto"/>
                <w:sz w:val="21"/>
                <w:szCs w:val="21"/>
                <w:highlight w:val="none"/>
                <w:lang w:val="en-US" w:eastAsia="zh-CN"/>
              </w:rPr>
              <w:t>1</w:t>
            </w:r>
            <w:r>
              <w:rPr>
                <w:rFonts w:hint="eastAsia"/>
                <w:color w:val="auto"/>
                <w:sz w:val="21"/>
                <w:szCs w:val="21"/>
                <w:highlight w:val="none"/>
                <w:lang w:val="zh-CN"/>
              </w:rPr>
              <w:t>5m高排气筒</w:t>
            </w:r>
          </w:p>
        </w:tc>
        <w:tc>
          <w:tcPr>
            <w:tcW w:w="1585" w:type="pct"/>
            <w:noWrap w:val="0"/>
            <w:vAlign w:val="center"/>
          </w:tcPr>
          <w:p w14:paraId="4C87E00D">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r>
      <w:tr w14:paraId="1A864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noWrap w:val="0"/>
            <w:vAlign w:val="center"/>
          </w:tcPr>
          <w:p w14:paraId="1E01CE0B">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废水治理</w:t>
            </w:r>
          </w:p>
        </w:tc>
        <w:tc>
          <w:tcPr>
            <w:tcW w:w="2463" w:type="pct"/>
            <w:gridSpan w:val="2"/>
            <w:noWrap w:val="0"/>
            <w:vAlign w:val="center"/>
          </w:tcPr>
          <w:p w14:paraId="510BDE47">
            <w:pPr>
              <w:spacing w:line="240" w:lineRule="auto"/>
              <w:ind w:firstLine="420"/>
              <w:jc w:val="center"/>
              <w:rPr>
                <w:color w:val="auto"/>
                <w:sz w:val="21"/>
                <w:szCs w:val="21"/>
                <w:highlight w:val="none"/>
                <w:lang w:val="zh-CN"/>
              </w:rPr>
            </w:pPr>
            <w:r>
              <w:rPr>
                <w:rFonts w:hint="default" w:ascii="Times New Roman" w:hAnsi="Times New Roman" w:eastAsia="宋体" w:cs="Times New Roman"/>
                <w:color w:val="auto"/>
                <w:sz w:val="21"/>
                <w:szCs w:val="21"/>
                <w:highlight w:val="none"/>
                <w:lang w:val="zh-CN" w:eastAsia="zh-CN"/>
              </w:rPr>
              <w:t>建设</w:t>
            </w:r>
            <w:r>
              <w:rPr>
                <w:rFonts w:hint="default" w:ascii="Times New Roman" w:hAnsi="Times New Roman" w:eastAsia="宋体" w:cs="Times New Roman"/>
                <w:color w:val="auto"/>
                <w:sz w:val="21"/>
                <w:szCs w:val="21"/>
                <w:highlight w:val="none"/>
                <w:lang w:val="en-US" w:eastAsia="zh-CN"/>
              </w:rPr>
              <w:t>1座</w:t>
            </w:r>
            <w:r>
              <w:rPr>
                <w:rFonts w:hint="eastAsia" w:cs="Times New Roman"/>
                <w:color w:val="auto"/>
                <w:sz w:val="21"/>
                <w:szCs w:val="21"/>
                <w:highlight w:val="none"/>
                <w:lang w:val="en-US" w:eastAsia="zh-CN"/>
              </w:rPr>
              <w:t>9000m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循环水</w:t>
            </w:r>
            <w:r>
              <w:rPr>
                <w:rFonts w:hint="default" w:ascii="Times New Roman" w:hAnsi="Times New Roman" w:eastAsia="宋体" w:cs="Times New Roman"/>
                <w:color w:val="auto"/>
                <w:sz w:val="21"/>
                <w:szCs w:val="21"/>
                <w:highlight w:val="none"/>
                <w:lang w:val="en-US" w:eastAsia="zh-CN"/>
              </w:rPr>
              <w:t>沉淀池</w:t>
            </w:r>
          </w:p>
        </w:tc>
        <w:tc>
          <w:tcPr>
            <w:tcW w:w="1585" w:type="pct"/>
            <w:noWrap w:val="0"/>
            <w:vAlign w:val="center"/>
          </w:tcPr>
          <w:p w14:paraId="4E8410D3">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r>
      <w:tr w14:paraId="0E278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noWrap w:val="0"/>
            <w:vAlign w:val="center"/>
          </w:tcPr>
          <w:p w14:paraId="1A8F192D">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噪声防治</w:t>
            </w:r>
          </w:p>
        </w:tc>
        <w:tc>
          <w:tcPr>
            <w:tcW w:w="2463" w:type="pct"/>
            <w:gridSpan w:val="2"/>
            <w:noWrap w:val="0"/>
            <w:vAlign w:val="center"/>
          </w:tcPr>
          <w:p w14:paraId="63C8552F">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各</w:t>
            </w:r>
            <w:r>
              <w:rPr>
                <w:rFonts w:hint="eastAsia"/>
                <w:color w:val="auto"/>
                <w:sz w:val="21"/>
                <w:szCs w:val="21"/>
                <w:highlight w:val="none"/>
                <w:lang w:val="en-US" w:eastAsia="zh-CN"/>
              </w:rPr>
              <w:t>噪声</w:t>
            </w:r>
            <w:r>
              <w:rPr>
                <w:color w:val="auto"/>
                <w:sz w:val="21"/>
                <w:szCs w:val="21"/>
                <w:highlight w:val="none"/>
                <w:lang w:val="zh-CN"/>
              </w:rPr>
              <w:t>设备设置减震基础；水泵与进出口管道间安装软橡胶接头，泵体基础设橡胶垫或弹簧减震动器</w:t>
            </w:r>
          </w:p>
        </w:tc>
        <w:tc>
          <w:tcPr>
            <w:tcW w:w="1585" w:type="pct"/>
            <w:noWrap w:val="0"/>
            <w:vAlign w:val="center"/>
          </w:tcPr>
          <w:p w14:paraId="6CCB851A">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w:t>
            </w:r>
          </w:p>
        </w:tc>
      </w:tr>
      <w:tr w14:paraId="5117D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restart"/>
            <w:noWrap w:val="0"/>
            <w:vAlign w:val="center"/>
          </w:tcPr>
          <w:p w14:paraId="1BBC8153">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固体废物</w:t>
            </w:r>
          </w:p>
        </w:tc>
        <w:tc>
          <w:tcPr>
            <w:tcW w:w="2463" w:type="pct"/>
            <w:gridSpan w:val="2"/>
            <w:noWrap w:val="0"/>
            <w:vAlign w:val="center"/>
          </w:tcPr>
          <w:p w14:paraId="6D697AF5">
            <w:pPr>
              <w:widowControl/>
              <w:spacing w:line="240" w:lineRule="auto"/>
              <w:ind w:firstLine="0" w:firstLineChars="0"/>
              <w:jc w:val="center"/>
              <w:rPr>
                <w:rFonts w:hint="default"/>
                <w:color w:val="auto"/>
                <w:sz w:val="21"/>
                <w:szCs w:val="21"/>
                <w:highlight w:val="none"/>
                <w:lang w:val="en-US"/>
              </w:rPr>
            </w:pPr>
            <w:r>
              <w:rPr>
                <w:rFonts w:hint="default" w:ascii="Times New Roman" w:hAnsi="Times New Roman" w:eastAsia="宋体" w:cs="Times New Roman"/>
                <w:color w:val="auto"/>
                <w:sz w:val="21"/>
                <w:szCs w:val="21"/>
                <w:highlight w:val="none"/>
                <w:lang w:val="zh-CN" w:eastAsia="zh-CN"/>
              </w:rPr>
              <w:t>建设</w:t>
            </w:r>
            <w:r>
              <w:rPr>
                <w:rFonts w:hint="default" w:ascii="Times New Roman" w:hAnsi="Times New Roman" w:eastAsia="宋体" w:cs="Times New Roman"/>
                <w:color w:val="auto"/>
                <w:sz w:val="21"/>
                <w:szCs w:val="21"/>
                <w:highlight w:val="none"/>
                <w:lang w:val="en-US" w:eastAsia="zh-CN"/>
              </w:rPr>
              <w:t>1座</w:t>
            </w:r>
            <w:r>
              <w:rPr>
                <w:rFonts w:hint="eastAsia" w:ascii="Times New Roman" w:hAnsi="Times New Roman" w:eastAsia="宋体" w:cs="Times New Roman"/>
                <w:color w:val="auto"/>
                <w:sz w:val="21"/>
                <w:szCs w:val="21"/>
                <w:highlight w:val="none"/>
                <w:lang w:val="en-US" w:eastAsia="zh-CN"/>
              </w:rPr>
              <w:t>20m</w:t>
            </w:r>
            <w:r>
              <w:rPr>
                <w:rFonts w:hint="eastAsia"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危险废物暂存间</w:t>
            </w:r>
          </w:p>
        </w:tc>
        <w:tc>
          <w:tcPr>
            <w:tcW w:w="1585" w:type="pct"/>
            <w:noWrap w:val="0"/>
            <w:vAlign w:val="center"/>
          </w:tcPr>
          <w:p w14:paraId="26B788BA">
            <w:pPr>
              <w:widowControl/>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w:t>
            </w:r>
          </w:p>
        </w:tc>
      </w:tr>
      <w:tr w14:paraId="465C3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continue"/>
            <w:noWrap w:val="0"/>
            <w:vAlign w:val="center"/>
          </w:tcPr>
          <w:p w14:paraId="0CDC1E58">
            <w:pPr>
              <w:widowControl/>
              <w:spacing w:line="240" w:lineRule="auto"/>
              <w:ind w:firstLine="0" w:firstLineChars="0"/>
              <w:jc w:val="center"/>
              <w:rPr>
                <w:rFonts w:hint="eastAsia"/>
                <w:color w:val="auto"/>
                <w:sz w:val="21"/>
                <w:szCs w:val="21"/>
                <w:highlight w:val="none"/>
                <w:lang w:val="en-US" w:eastAsia="zh-CN"/>
              </w:rPr>
            </w:pPr>
          </w:p>
        </w:tc>
        <w:tc>
          <w:tcPr>
            <w:tcW w:w="2463" w:type="pct"/>
            <w:gridSpan w:val="2"/>
            <w:noWrap w:val="0"/>
            <w:vAlign w:val="center"/>
          </w:tcPr>
          <w:p w14:paraId="1FF1A8F4">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建设</w:t>
            </w:r>
            <w:r>
              <w:rPr>
                <w:rFonts w:hint="default" w:ascii="Times New Roman" w:hAnsi="Times New Roman" w:eastAsia="宋体" w:cs="Times New Roman"/>
                <w:color w:val="auto"/>
                <w:sz w:val="21"/>
                <w:szCs w:val="21"/>
                <w:highlight w:val="none"/>
                <w:lang w:val="en-US" w:eastAsia="zh-CN"/>
              </w:rPr>
              <w:t>1座</w:t>
            </w:r>
            <w:r>
              <w:rPr>
                <w:rFonts w:hint="eastAsia" w:ascii="Times New Roman" w:hAnsi="Times New Roman" w:eastAsia="宋体" w:cs="Times New Roman"/>
                <w:color w:val="auto"/>
                <w:sz w:val="21"/>
                <w:szCs w:val="21"/>
                <w:highlight w:val="none"/>
                <w:lang w:val="en-US" w:eastAsia="zh-CN"/>
              </w:rPr>
              <w:t>800m</w:t>
            </w:r>
            <w:r>
              <w:rPr>
                <w:rFonts w:hint="eastAsia"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尾矿砂贮存库</w:t>
            </w:r>
          </w:p>
        </w:tc>
        <w:tc>
          <w:tcPr>
            <w:tcW w:w="1585" w:type="pct"/>
            <w:noWrap w:val="0"/>
            <w:vAlign w:val="center"/>
          </w:tcPr>
          <w:p w14:paraId="37DD8425">
            <w:pPr>
              <w:widowControl/>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r>
      <w:tr w14:paraId="0ACAF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noWrap w:val="0"/>
            <w:vAlign w:val="center"/>
          </w:tcPr>
          <w:p w14:paraId="7CD74C5D">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地下水</w:t>
            </w:r>
          </w:p>
          <w:p w14:paraId="11BE2E72">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污染控制</w:t>
            </w:r>
          </w:p>
        </w:tc>
        <w:tc>
          <w:tcPr>
            <w:tcW w:w="2463" w:type="pct"/>
            <w:gridSpan w:val="2"/>
            <w:noWrap w:val="0"/>
            <w:vAlign w:val="center"/>
          </w:tcPr>
          <w:p w14:paraId="06804A61">
            <w:pPr>
              <w:widowControl/>
              <w:spacing w:line="240" w:lineRule="auto"/>
              <w:ind w:firstLine="0" w:firstLineChars="0"/>
              <w:jc w:val="center"/>
              <w:rPr>
                <w:rFonts w:hint="eastAsia" w:eastAsia="宋体"/>
                <w:color w:val="auto"/>
                <w:sz w:val="21"/>
                <w:szCs w:val="21"/>
                <w:highlight w:val="none"/>
                <w:lang w:val="en-US" w:eastAsia="zh-CN"/>
              </w:rPr>
            </w:pPr>
            <w:r>
              <w:rPr>
                <w:color w:val="auto"/>
                <w:sz w:val="21"/>
                <w:szCs w:val="21"/>
                <w:highlight w:val="none"/>
                <w:lang w:val="zh-CN"/>
              </w:rPr>
              <w:t>厂区防渗</w:t>
            </w:r>
            <w:r>
              <w:rPr>
                <w:rFonts w:hint="eastAsia"/>
                <w:color w:val="auto"/>
                <w:sz w:val="21"/>
                <w:szCs w:val="21"/>
                <w:highlight w:val="none"/>
                <w:lang w:val="en-US" w:eastAsia="zh-CN"/>
              </w:rPr>
              <w:t>工程</w:t>
            </w:r>
          </w:p>
        </w:tc>
        <w:tc>
          <w:tcPr>
            <w:tcW w:w="1585" w:type="pct"/>
            <w:noWrap w:val="0"/>
            <w:vAlign w:val="center"/>
          </w:tcPr>
          <w:p w14:paraId="6B3977FE">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150</w:t>
            </w:r>
          </w:p>
        </w:tc>
      </w:tr>
      <w:tr w14:paraId="6F29E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noWrap w:val="0"/>
            <w:vAlign w:val="center"/>
          </w:tcPr>
          <w:p w14:paraId="5B0EA74F">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环境风险控制</w:t>
            </w:r>
          </w:p>
        </w:tc>
        <w:tc>
          <w:tcPr>
            <w:tcW w:w="2463" w:type="pct"/>
            <w:gridSpan w:val="2"/>
            <w:noWrap w:val="0"/>
            <w:vAlign w:val="center"/>
          </w:tcPr>
          <w:p w14:paraId="1DC3594E">
            <w:pPr>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环境风险应急物资</w:t>
            </w:r>
          </w:p>
        </w:tc>
        <w:tc>
          <w:tcPr>
            <w:tcW w:w="1585" w:type="pct"/>
            <w:noWrap w:val="0"/>
            <w:vAlign w:val="center"/>
          </w:tcPr>
          <w:p w14:paraId="1666FB28">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r>
      <w:tr w14:paraId="3E2D9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restart"/>
            <w:noWrap w:val="0"/>
            <w:vAlign w:val="center"/>
          </w:tcPr>
          <w:p w14:paraId="0BE82207">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其他</w:t>
            </w:r>
          </w:p>
        </w:tc>
        <w:tc>
          <w:tcPr>
            <w:tcW w:w="2463" w:type="pct"/>
            <w:gridSpan w:val="2"/>
            <w:noWrap w:val="0"/>
            <w:vAlign w:val="center"/>
          </w:tcPr>
          <w:p w14:paraId="644F5FEE">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污染源自行</w:t>
            </w:r>
            <w:r>
              <w:rPr>
                <w:color w:val="auto"/>
                <w:sz w:val="21"/>
                <w:szCs w:val="21"/>
                <w:highlight w:val="none"/>
              </w:rPr>
              <w:t>监测及管理</w:t>
            </w:r>
          </w:p>
        </w:tc>
        <w:tc>
          <w:tcPr>
            <w:tcW w:w="1585" w:type="pct"/>
            <w:noWrap w:val="0"/>
            <w:vAlign w:val="center"/>
          </w:tcPr>
          <w:p w14:paraId="572470AA">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r>
      <w:tr w14:paraId="37FF8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1" w:type="pct"/>
            <w:vMerge w:val="continue"/>
            <w:noWrap w:val="0"/>
            <w:vAlign w:val="center"/>
          </w:tcPr>
          <w:p w14:paraId="47ADA67D">
            <w:pPr>
              <w:widowControl/>
              <w:spacing w:line="240" w:lineRule="auto"/>
              <w:ind w:firstLine="0" w:firstLineChars="0"/>
              <w:jc w:val="left"/>
              <w:rPr>
                <w:color w:val="auto"/>
                <w:sz w:val="21"/>
                <w:szCs w:val="21"/>
                <w:highlight w:val="none"/>
                <w:lang w:val="zh-CN"/>
              </w:rPr>
            </w:pPr>
          </w:p>
        </w:tc>
        <w:tc>
          <w:tcPr>
            <w:tcW w:w="2463" w:type="pct"/>
            <w:gridSpan w:val="2"/>
            <w:noWrap w:val="0"/>
            <w:vAlign w:val="center"/>
          </w:tcPr>
          <w:p w14:paraId="081EC2BA">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绿化</w:t>
            </w:r>
          </w:p>
        </w:tc>
        <w:tc>
          <w:tcPr>
            <w:tcW w:w="1585" w:type="pct"/>
            <w:noWrap w:val="0"/>
            <w:vAlign w:val="center"/>
          </w:tcPr>
          <w:p w14:paraId="676943CB">
            <w:pPr>
              <w:widowControl/>
              <w:spacing w:line="240" w:lineRule="auto"/>
              <w:ind w:firstLine="0" w:firstLineChars="0"/>
              <w:jc w:val="center"/>
              <w:rPr>
                <w:color w:val="auto"/>
                <w:sz w:val="21"/>
                <w:szCs w:val="21"/>
                <w:highlight w:val="none"/>
                <w:lang w:val="zh-CN"/>
              </w:rPr>
            </w:pPr>
            <w:r>
              <w:rPr>
                <w:rFonts w:hint="eastAsia"/>
                <w:color w:val="auto"/>
                <w:sz w:val="21"/>
                <w:szCs w:val="21"/>
                <w:highlight w:val="none"/>
                <w:lang w:val="zh-CN"/>
              </w:rPr>
              <w:t>20</w:t>
            </w:r>
          </w:p>
        </w:tc>
      </w:tr>
      <w:tr w14:paraId="21742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4" w:type="pct"/>
            <w:gridSpan w:val="3"/>
            <w:noWrap w:val="0"/>
            <w:vAlign w:val="center"/>
          </w:tcPr>
          <w:p w14:paraId="306AA43A">
            <w:pPr>
              <w:widowControl/>
              <w:spacing w:line="240" w:lineRule="auto"/>
              <w:ind w:firstLine="0" w:firstLineChars="0"/>
              <w:jc w:val="center"/>
              <w:rPr>
                <w:color w:val="auto"/>
                <w:sz w:val="21"/>
                <w:szCs w:val="21"/>
                <w:highlight w:val="none"/>
                <w:lang w:val="zh-CN"/>
              </w:rPr>
            </w:pPr>
            <w:r>
              <w:rPr>
                <w:color w:val="auto"/>
                <w:sz w:val="21"/>
                <w:szCs w:val="21"/>
                <w:highlight w:val="none"/>
                <w:lang w:val="zh-CN"/>
              </w:rPr>
              <w:t>合计</w:t>
            </w:r>
          </w:p>
        </w:tc>
        <w:tc>
          <w:tcPr>
            <w:tcW w:w="1585" w:type="pct"/>
            <w:noWrap w:val="0"/>
            <w:vAlign w:val="center"/>
          </w:tcPr>
          <w:p w14:paraId="355EB953">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345</w:t>
            </w:r>
          </w:p>
        </w:tc>
      </w:tr>
      <w:tr w14:paraId="6ACDB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4" w:type="pct"/>
            <w:gridSpan w:val="3"/>
            <w:noWrap w:val="0"/>
            <w:vAlign w:val="center"/>
          </w:tcPr>
          <w:p w14:paraId="2A043E06">
            <w:pPr>
              <w:spacing w:line="240" w:lineRule="auto"/>
              <w:ind w:firstLine="0" w:firstLineChars="0"/>
              <w:jc w:val="center"/>
              <w:rPr>
                <w:color w:val="auto"/>
                <w:sz w:val="21"/>
                <w:szCs w:val="21"/>
                <w:highlight w:val="none"/>
              </w:rPr>
            </w:pPr>
            <w:r>
              <w:rPr>
                <w:color w:val="auto"/>
                <w:sz w:val="21"/>
                <w:szCs w:val="21"/>
                <w:highlight w:val="none"/>
              </w:rPr>
              <w:t>本项目投资</w:t>
            </w:r>
          </w:p>
        </w:tc>
        <w:tc>
          <w:tcPr>
            <w:tcW w:w="1585" w:type="pct"/>
            <w:noWrap w:val="0"/>
            <w:vAlign w:val="center"/>
          </w:tcPr>
          <w:p w14:paraId="701DC48F">
            <w:pPr>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2000</w:t>
            </w:r>
          </w:p>
        </w:tc>
      </w:tr>
      <w:tr w14:paraId="48B46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4" w:type="pct"/>
            <w:gridSpan w:val="3"/>
            <w:noWrap w:val="0"/>
            <w:vAlign w:val="center"/>
          </w:tcPr>
          <w:p w14:paraId="10811005">
            <w:pPr>
              <w:spacing w:line="240" w:lineRule="auto"/>
              <w:ind w:firstLine="0" w:firstLineChars="0"/>
              <w:jc w:val="center"/>
              <w:rPr>
                <w:color w:val="auto"/>
                <w:sz w:val="21"/>
                <w:szCs w:val="21"/>
                <w:highlight w:val="none"/>
              </w:rPr>
            </w:pPr>
            <w:r>
              <w:rPr>
                <w:color w:val="auto"/>
                <w:sz w:val="21"/>
                <w:szCs w:val="21"/>
                <w:highlight w:val="none"/>
              </w:rPr>
              <w:t>项目环保投资占工程投资比例</w:t>
            </w:r>
          </w:p>
        </w:tc>
        <w:tc>
          <w:tcPr>
            <w:tcW w:w="1585" w:type="pct"/>
            <w:noWrap w:val="0"/>
            <w:vAlign w:val="center"/>
          </w:tcPr>
          <w:p w14:paraId="1E37EDA3">
            <w:pPr>
              <w:spacing w:line="240" w:lineRule="auto"/>
              <w:ind w:firstLine="0" w:firstLineChars="0"/>
              <w:jc w:val="center"/>
              <w:rPr>
                <w:color w:val="auto"/>
                <w:sz w:val="21"/>
                <w:szCs w:val="21"/>
                <w:highlight w:val="none"/>
              </w:rPr>
            </w:pPr>
            <w:r>
              <w:rPr>
                <w:rFonts w:hint="eastAsia"/>
                <w:color w:val="auto"/>
                <w:sz w:val="21"/>
                <w:szCs w:val="21"/>
                <w:highlight w:val="none"/>
                <w:lang w:val="en-US" w:eastAsia="zh-CN"/>
              </w:rPr>
              <w:t>17.25</w:t>
            </w:r>
            <w:r>
              <w:rPr>
                <w:rFonts w:hint="eastAsia"/>
                <w:color w:val="auto"/>
                <w:sz w:val="21"/>
                <w:szCs w:val="21"/>
                <w:highlight w:val="none"/>
              </w:rPr>
              <w:t>%</w:t>
            </w:r>
          </w:p>
        </w:tc>
      </w:tr>
    </w:tbl>
    <w:p w14:paraId="44627CEB">
      <w:pPr>
        <w:pStyle w:val="4"/>
        <w:spacing w:before="120" w:after="120"/>
        <w:rPr>
          <w:color w:val="auto"/>
          <w:highlight w:val="none"/>
        </w:rPr>
      </w:pPr>
      <w:bookmarkStart w:id="249" w:name="_Toc5259"/>
      <w:bookmarkStart w:id="250" w:name="_Toc24340253"/>
      <w:bookmarkStart w:id="251" w:name="_Toc24447212"/>
      <w:bookmarkStart w:id="252" w:name="_Toc24447648"/>
      <w:bookmarkStart w:id="253" w:name="_Toc58916188"/>
      <w:r>
        <w:rPr>
          <w:rFonts w:hint="eastAsia"/>
          <w:color w:val="auto"/>
          <w:highlight w:val="none"/>
        </w:rPr>
        <w:t>环境经济损益分析结论</w:t>
      </w:r>
      <w:bookmarkEnd w:id="249"/>
      <w:bookmarkEnd w:id="250"/>
      <w:bookmarkEnd w:id="251"/>
      <w:bookmarkEnd w:id="252"/>
      <w:bookmarkEnd w:id="253"/>
    </w:p>
    <w:p w14:paraId="0C1197E7">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综上所述，本工程的建设在采取必要的环保措施，进行一定的环保投资后，可以在促进经济和社会发展的同时，减轻对周围环境的影响，还可以创造一定的经济效益和稳定社会环境、使社会效益、环境效益和经济效益得到统一。</w:t>
      </w:r>
    </w:p>
    <w:p w14:paraId="0B66284A">
      <w:pPr>
        <w:pStyle w:val="3"/>
        <w:spacing w:before="120" w:after="120"/>
        <w:rPr>
          <w:rFonts w:hint="eastAsia"/>
          <w:color w:val="auto"/>
          <w:highlight w:val="none"/>
        </w:rPr>
      </w:pPr>
      <w:bookmarkStart w:id="254" w:name="_Toc20123"/>
      <w:r>
        <w:rPr>
          <w:rFonts w:hint="eastAsia"/>
          <w:color w:val="auto"/>
          <w:highlight w:val="none"/>
        </w:rPr>
        <w:t>环境管理与监测计划</w:t>
      </w:r>
      <w:bookmarkEnd w:id="254"/>
    </w:p>
    <w:p w14:paraId="227CD536">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根据工程分析和环境预测评价，本项目在施工期和运行期都会对其所在区域环境造成一定的影响，因此建设单位应在加强环境管理的同时，定期进行环境监测，以便及时了解该项目在不同时期对周围环境的影响，以便采取相应措施，消除不利因素，减轻环境污染，使各项环保措施落到实处。</w:t>
      </w:r>
    </w:p>
    <w:p w14:paraId="72C0F321">
      <w:pPr>
        <w:pStyle w:val="4"/>
        <w:spacing w:before="120" w:after="120"/>
        <w:rPr>
          <w:rFonts w:hint="eastAsia"/>
          <w:color w:val="auto"/>
          <w:highlight w:val="none"/>
        </w:rPr>
      </w:pPr>
      <w:bookmarkStart w:id="255" w:name="bookmark335"/>
      <w:bookmarkEnd w:id="255"/>
      <w:bookmarkStart w:id="256" w:name="bookmark336"/>
      <w:bookmarkEnd w:id="256"/>
      <w:bookmarkStart w:id="257" w:name="_Toc16900"/>
      <w:r>
        <w:rPr>
          <w:rFonts w:hint="eastAsia"/>
          <w:color w:val="auto"/>
          <w:highlight w:val="none"/>
        </w:rPr>
        <w:t>环境管理</w:t>
      </w:r>
      <w:bookmarkEnd w:id="257"/>
    </w:p>
    <w:p w14:paraId="35153B33">
      <w:pPr>
        <w:pStyle w:val="5"/>
        <w:rPr>
          <w:rFonts w:hint="eastAsia"/>
          <w:color w:val="auto"/>
          <w:highlight w:val="none"/>
          <w:lang w:val="en-US" w:eastAsia="zh-CN"/>
        </w:rPr>
      </w:pPr>
      <w:bookmarkStart w:id="258" w:name="bookmark338"/>
      <w:bookmarkEnd w:id="258"/>
      <w:bookmarkStart w:id="259" w:name="bookmark337"/>
      <w:bookmarkEnd w:id="259"/>
      <w:r>
        <w:rPr>
          <w:rFonts w:hint="eastAsia"/>
          <w:color w:val="auto"/>
          <w:highlight w:val="none"/>
          <w:lang w:val="en-US" w:eastAsia="zh-CN"/>
        </w:rPr>
        <w:t>环境管理机构</w:t>
      </w:r>
    </w:p>
    <w:p w14:paraId="62050581">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根据该项目建设规模和环境管理的任务，建设期项目落实环保主体责任，成立环保机构，建立健全环保管理制度，应设一名环保专职或兼职人员，负责工程建设期的环境保护工作；工程建成后应设专职环境监督人员1~3名，负责本项目的环境保护监督管理及各项环保设施的运行管理工作，污染源和环境质量监测可委托有资质的环境监测单位承担。</w:t>
      </w:r>
    </w:p>
    <w:p w14:paraId="151104CA">
      <w:pPr>
        <w:pStyle w:val="5"/>
        <w:rPr>
          <w:rFonts w:hint="eastAsia"/>
          <w:color w:val="auto"/>
          <w:highlight w:val="none"/>
          <w:lang w:val="en-US" w:eastAsia="zh-CN"/>
        </w:rPr>
      </w:pPr>
      <w:bookmarkStart w:id="260" w:name="bookmark339"/>
      <w:bookmarkEnd w:id="260"/>
      <w:bookmarkStart w:id="261" w:name="bookmark340"/>
      <w:bookmarkEnd w:id="261"/>
      <w:r>
        <w:rPr>
          <w:rFonts w:hint="eastAsia"/>
          <w:color w:val="auto"/>
          <w:highlight w:val="none"/>
          <w:lang w:val="en-US" w:eastAsia="zh-CN"/>
        </w:rPr>
        <w:t>环境管理制度</w:t>
      </w:r>
    </w:p>
    <w:p w14:paraId="7C3CAC06">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（1）严格执行“三同时”制度</w:t>
      </w:r>
    </w:p>
    <w:p w14:paraId="1E2FC062">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在项目筹备、设计和施工建设不同阶段，均应严格执行“三同时”制度，确保污染处理设施能够与生产工艺设施“同时设计、同时施工、同时竣工”。</w:t>
      </w:r>
    </w:p>
    <w:p w14:paraId="19314E5F">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（2）报告制度</w:t>
      </w:r>
    </w:p>
    <w:p w14:paraId="68213F6F">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凡实施排污许可证制度的排污单位，应执行月报制度。月报内容主要为污染治理设施的运行情况、污染物排放情况以及污染事故或污染纠纷等，具体要求应按省环保厅制定的重点企业月报表实施。</w:t>
      </w:r>
    </w:p>
    <w:p w14:paraId="0CAFE73C">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企业排污发生重大变化、污染治理设施改变或企业改、扩建等都必须向当地环保部门申报，改、扩建项目，必须按《建设项目环境保护管理条例》、《关于明确建设项目环境影响评价等审批权限的意见》等要求，报请有审批权限的环保部门审批，经审批同意后方可实施。</w:t>
      </w:r>
    </w:p>
    <w:p w14:paraId="5D6CF147">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（3）污染治理设施的管理、监控制度</w:t>
      </w:r>
    </w:p>
    <w:p w14:paraId="65C3AD52">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本项目建成后，必须确保污染治理设施长期、稳定、有效地运行，不得擅自拆除或者闲置除尘设备和污水治理设施，不得故意不正常使用污染治理设施。污染治理设施的管理必须与公司的生产经营活动一起纳入到公司日常管理工作的范畴，落实责任人、操作人员、维修人员、运行经费、设备的备品备件和其他原辅材料。同时要建立健全岗位责任制、制定正确的操作规程、建立管理台账。</w:t>
      </w:r>
    </w:p>
    <w:p w14:paraId="361F8354">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（4）企业制度</w:t>
      </w:r>
    </w:p>
    <w:p w14:paraId="3E201C57">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企业作为固体废物污染防治的责任主体，须建立风险管理及应急救援体系，执行环境监测计划、转移联单管理制度及国家和省有关转移管理的相关规定、处置过程安全操作规程、人员培训考核制度、档案管理制度、处置全过程管理制度等。</w:t>
      </w:r>
    </w:p>
    <w:p w14:paraId="2D544690">
      <w:pPr>
        <w:pStyle w:val="4"/>
        <w:spacing w:before="120" w:after="120"/>
        <w:rPr>
          <w:rFonts w:hint="eastAsia"/>
          <w:color w:val="auto"/>
          <w:highlight w:val="none"/>
        </w:rPr>
      </w:pPr>
      <w:bookmarkStart w:id="262" w:name="bookmark342"/>
      <w:bookmarkEnd w:id="262"/>
      <w:bookmarkStart w:id="263" w:name="bookmark341"/>
      <w:bookmarkEnd w:id="263"/>
      <w:bookmarkStart w:id="264" w:name="_Toc7981"/>
      <w:r>
        <w:rPr>
          <w:rFonts w:hint="eastAsia"/>
          <w:color w:val="auto"/>
          <w:highlight w:val="none"/>
        </w:rPr>
        <w:t>环境监测计划</w:t>
      </w:r>
      <w:bookmarkEnd w:id="264"/>
    </w:p>
    <w:p w14:paraId="79E6DF71">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运营期环境监测计划主要包括污染源监测、环境质量监测、风险应急监测以及人群健康检查。</w:t>
      </w:r>
    </w:p>
    <w:p w14:paraId="152A3EFB">
      <w:pPr>
        <w:pStyle w:val="5"/>
        <w:rPr>
          <w:rFonts w:hint="eastAsia"/>
          <w:color w:val="auto"/>
          <w:highlight w:val="none"/>
          <w:lang w:val="en-US" w:eastAsia="zh-CN"/>
        </w:rPr>
      </w:pPr>
      <w:bookmarkStart w:id="265" w:name="bookmark343"/>
      <w:bookmarkEnd w:id="265"/>
      <w:bookmarkStart w:id="266" w:name="bookmark344"/>
      <w:bookmarkEnd w:id="266"/>
      <w:r>
        <w:rPr>
          <w:rFonts w:hint="eastAsia"/>
          <w:color w:val="auto"/>
          <w:highlight w:val="none"/>
          <w:lang w:val="en-US" w:eastAsia="zh-CN"/>
        </w:rPr>
        <w:t>污染源监测</w:t>
      </w:r>
    </w:p>
    <w:p w14:paraId="7C6C5C71">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eastAsia="zh-CN"/>
        </w:rPr>
        <w:t>本项目建成投产后，根据项目排污特点及实际情况，需建立健全各项监测制度并保证其实施。监测分析方法按照现行国家、部颁布的标准和有关规定执行。根据《排污单位自行监测技术指南总则》（HJ819-2017），本项目生产运行期污染源监测计划见下表</w:t>
      </w:r>
      <w:r>
        <w:rPr>
          <w:rFonts w:hint="eastAsia"/>
          <w:color w:val="auto"/>
          <w:sz w:val="24"/>
          <w:szCs w:val="24"/>
          <w:highlight w:val="none"/>
          <w:lang w:val="en-US" w:eastAsia="zh-CN"/>
        </w:rPr>
        <w:t>9.2-1</w:t>
      </w:r>
      <w:r>
        <w:rPr>
          <w:rFonts w:hint="eastAsia"/>
          <w:color w:val="auto"/>
          <w:sz w:val="24"/>
          <w:szCs w:val="24"/>
          <w:highlight w:val="none"/>
          <w:lang w:eastAsia="zh-CN"/>
        </w:rPr>
        <w:t>。</w:t>
      </w:r>
    </w:p>
    <w:p w14:paraId="55D1AC88">
      <w:pPr>
        <w:pStyle w:val="199"/>
        <w:spacing w:before="120"/>
        <w:ind w:firstLine="480"/>
        <w:rPr>
          <w:rFonts w:hint="eastAsia"/>
          <w:color w:val="auto"/>
          <w:sz w:val="24"/>
          <w:highlight w:val="none"/>
        </w:rPr>
      </w:pPr>
      <w:r>
        <w:rPr>
          <w:rFonts w:hint="eastAsia"/>
          <w:color w:val="auto"/>
          <w:sz w:val="24"/>
          <w:highlight w:val="none"/>
        </w:rPr>
        <w:t xml:space="preserve">表9.2-1 </w:t>
      </w:r>
      <w:r>
        <w:rPr>
          <w:rFonts w:hint="eastAsia"/>
          <w:color w:val="auto"/>
          <w:sz w:val="24"/>
          <w:highlight w:val="none"/>
          <w:lang w:val="en-US" w:eastAsia="zh-CN"/>
        </w:rPr>
        <w:t xml:space="preserve">    </w:t>
      </w:r>
      <w:r>
        <w:rPr>
          <w:rFonts w:hint="eastAsia"/>
          <w:color w:val="auto"/>
          <w:sz w:val="24"/>
          <w:highlight w:val="none"/>
        </w:rPr>
        <w:t>运行期污染源监测计划一览表</w:t>
      </w:r>
    </w:p>
    <w:tbl>
      <w:tblPr>
        <w:tblStyle w:val="297"/>
        <w:tblW w:w="4999" w:type="pct"/>
        <w:tblInd w:w="5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4"/>
        <w:gridCol w:w="1042"/>
        <w:gridCol w:w="1730"/>
        <w:gridCol w:w="3676"/>
        <w:gridCol w:w="1067"/>
      </w:tblGrid>
      <w:tr w14:paraId="406824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2" w:type="dxa"/>
            <w:tcBorders>
              <w:tl2br w:val="nil"/>
              <w:tr2bl w:val="nil"/>
            </w:tcBorders>
            <w:noWrap w:val="0"/>
            <w:vAlign w:val="center"/>
          </w:tcPr>
          <w:p w14:paraId="6BD17353">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类别</w:t>
            </w:r>
          </w:p>
        </w:tc>
        <w:tc>
          <w:tcPr>
            <w:tcW w:w="1146" w:type="dxa"/>
            <w:tcBorders>
              <w:tl2br w:val="nil"/>
              <w:tr2bl w:val="nil"/>
            </w:tcBorders>
            <w:noWrap w:val="0"/>
            <w:vAlign w:val="center"/>
          </w:tcPr>
          <w:p w14:paraId="2F0AED9D">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工段</w:t>
            </w:r>
          </w:p>
        </w:tc>
        <w:tc>
          <w:tcPr>
            <w:tcW w:w="1904" w:type="dxa"/>
            <w:tcBorders>
              <w:tl2br w:val="nil"/>
              <w:tr2bl w:val="nil"/>
            </w:tcBorders>
            <w:noWrap w:val="0"/>
            <w:vAlign w:val="center"/>
          </w:tcPr>
          <w:p w14:paraId="0973CE2E">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监测位置</w:t>
            </w:r>
          </w:p>
        </w:tc>
        <w:tc>
          <w:tcPr>
            <w:tcW w:w="4043" w:type="dxa"/>
            <w:tcBorders>
              <w:tl2br w:val="nil"/>
              <w:tr2bl w:val="nil"/>
            </w:tcBorders>
            <w:noWrap w:val="0"/>
            <w:vAlign w:val="center"/>
          </w:tcPr>
          <w:p w14:paraId="018B204F">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监测项目</w:t>
            </w:r>
          </w:p>
        </w:tc>
        <w:tc>
          <w:tcPr>
            <w:tcW w:w="1174" w:type="dxa"/>
            <w:tcBorders>
              <w:tl2br w:val="nil"/>
              <w:tr2bl w:val="nil"/>
            </w:tcBorders>
            <w:noWrap w:val="0"/>
            <w:vAlign w:val="center"/>
          </w:tcPr>
          <w:p w14:paraId="2A8019FE">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监测频率</w:t>
            </w:r>
          </w:p>
        </w:tc>
      </w:tr>
      <w:tr w14:paraId="6A0775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2" w:type="dxa"/>
            <w:vMerge w:val="restart"/>
            <w:tcBorders>
              <w:tl2br w:val="nil"/>
              <w:tr2bl w:val="nil"/>
            </w:tcBorders>
            <w:noWrap w:val="0"/>
            <w:vAlign w:val="center"/>
          </w:tcPr>
          <w:p w14:paraId="1329692D">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废气</w:t>
            </w:r>
          </w:p>
        </w:tc>
        <w:tc>
          <w:tcPr>
            <w:tcW w:w="1146" w:type="dxa"/>
            <w:tcBorders>
              <w:tl2br w:val="nil"/>
              <w:tr2bl w:val="nil"/>
            </w:tcBorders>
            <w:noWrap w:val="0"/>
            <w:vAlign w:val="center"/>
          </w:tcPr>
          <w:p w14:paraId="7E11CFC1">
            <w:pPr>
              <w:widowControl/>
              <w:autoSpaceDE w:val="0"/>
              <w:autoSpaceDN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破碎、筛分</w:t>
            </w:r>
          </w:p>
        </w:tc>
        <w:tc>
          <w:tcPr>
            <w:tcW w:w="1904" w:type="dxa"/>
            <w:tcBorders>
              <w:tl2br w:val="nil"/>
              <w:tr2bl w:val="nil"/>
            </w:tcBorders>
            <w:noWrap w:val="0"/>
            <w:vAlign w:val="center"/>
          </w:tcPr>
          <w:p w14:paraId="5BF5D47B">
            <w:pPr>
              <w:widowControl/>
              <w:autoSpaceDE w:val="0"/>
              <w:autoSpaceDN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DA001</w:t>
            </w:r>
          </w:p>
        </w:tc>
        <w:tc>
          <w:tcPr>
            <w:tcW w:w="4043" w:type="dxa"/>
            <w:tcBorders>
              <w:tl2br w:val="nil"/>
              <w:tr2bl w:val="nil"/>
            </w:tcBorders>
            <w:noWrap w:val="0"/>
            <w:vAlign w:val="center"/>
          </w:tcPr>
          <w:p w14:paraId="3512FA9B">
            <w:pPr>
              <w:widowControl/>
              <w:autoSpaceDE w:val="0"/>
              <w:autoSpaceDN w:val="0"/>
              <w:spacing w:line="240" w:lineRule="auto"/>
              <w:ind w:firstLine="0" w:firstLineChars="0"/>
              <w:jc w:val="center"/>
              <w:rPr>
                <w:rFonts w:hint="eastAsia" w:eastAsia="宋体"/>
                <w:color w:val="auto"/>
                <w:sz w:val="21"/>
                <w:szCs w:val="21"/>
                <w:highlight w:val="none"/>
                <w:lang w:val="en-US" w:eastAsia="zh-CN"/>
              </w:rPr>
            </w:pPr>
            <w:r>
              <w:rPr>
                <w:color w:val="auto"/>
                <w:sz w:val="21"/>
                <w:szCs w:val="21"/>
                <w:highlight w:val="none"/>
                <w:lang w:val="zh-CN"/>
              </w:rPr>
              <w:t>颗粒物</w:t>
            </w:r>
          </w:p>
        </w:tc>
        <w:tc>
          <w:tcPr>
            <w:tcW w:w="1174" w:type="dxa"/>
            <w:tcBorders>
              <w:tl2br w:val="nil"/>
              <w:tr2bl w:val="nil"/>
            </w:tcBorders>
            <w:noWrap w:val="0"/>
            <w:vAlign w:val="center"/>
          </w:tcPr>
          <w:p w14:paraId="32AAABE9">
            <w:pPr>
              <w:widowControl/>
              <w:autoSpaceDE w:val="0"/>
              <w:autoSpaceDN w:val="0"/>
              <w:spacing w:line="240" w:lineRule="auto"/>
              <w:ind w:firstLine="0" w:firstLineChars="0"/>
              <w:jc w:val="center"/>
              <w:rPr>
                <w:color w:val="auto"/>
                <w:sz w:val="21"/>
                <w:szCs w:val="21"/>
                <w:highlight w:val="none"/>
                <w:lang w:val="zh-CN"/>
              </w:rPr>
            </w:pPr>
            <w:r>
              <w:rPr>
                <w:rFonts w:hint="eastAsia"/>
                <w:color w:val="auto"/>
                <w:sz w:val="21"/>
                <w:szCs w:val="21"/>
                <w:highlight w:val="none"/>
                <w:lang w:val="en-US" w:eastAsia="zh-CN"/>
              </w:rPr>
              <w:t>1次/</w:t>
            </w:r>
            <w:r>
              <w:rPr>
                <w:color w:val="auto"/>
                <w:sz w:val="21"/>
                <w:szCs w:val="21"/>
                <w:highlight w:val="none"/>
                <w:lang w:val="zh-CN"/>
              </w:rPr>
              <w:t>半年</w:t>
            </w:r>
          </w:p>
        </w:tc>
      </w:tr>
      <w:tr w14:paraId="7E001A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2" w:type="dxa"/>
            <w:vMerge w:val="continue"/>
            <w:tcBorders>
              <w:tl2br w:val="nil"/>
              <w:tr2bl w:val="nil"/>
            </w:tcBorders>
            <w:noWrap w:val="0"/>
            <w:vAlign w:val="center"/>
          </w:tcPr>
          <w:p w14:paraId="5BBF7F41">
            <w:pPr>
              <w:widowControl/>
              <w:autoSpaceDE w:val="0"/>
              <w:autoSpaceDN w:val="0"/>
              <w:spacing w:line="240" w:lineRule="auto"/>
              <w:ind w:firstLine="0" w:firstLineChars="0"/>
              <w:jc w:val="center"/>
              <w:rPr>
                <w:color w:val="auto"/>
                <w:sz w:val="21"/>
                <w:szCs w:val="21"/>
                <w:highlight w:val="none"/>
                <w:lang w:val="zh-CN"/>
              </w:rPr>
            </w:pPr>
          </w:p>
        </w:tc>
        <w:tc>
          <w:tcPr>
            <w:tcW w:w="1146" w:type="dxa"/>
            <w:tcBorders>
              <w:tl2br w:val="nil"/>
              <w:tr2bl w:val="nil"/>
            </w:tcBorders>
            <w:noWrap w:val="0"/>
            <w:vAlign w:val="center"/>
          </w:tcPr>
          <w:p w14:paraId="08D5E458">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全厂</w:t>
            </w:r>
          </w:p>
        </w:tc>
        <w:tc>
          <w:tcPr>
            <w:tcW w:w="1904" w:type="dxa"/>
            <w:tcBorders>
              <w:tl2br w:val="nil"/>
              <w:tr2bl w:val="nil"/>
            </w:tcBorders>
            <w:noWrap w:val="0"/>
            <w:vAlign w:val="center"/>
          </w:tcPr>
          <w:p w14:paraId="0FD932C0">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厂界四周</w:t>
            </w:r>
          </w:p>
        </w:tc>
        <w:tc>
          <w:tcPr>
            <w:tcW w:w="4043" w:type="dxa"/>
            <w:tcBorders>
              <w:tl2br w:val="nil"/>
              <w:tr2bl w:val="nil"/>
            </w:tcBorders>
            <w:noWrap w:val="0"/>
            <w:vAlign w:val="center"/>
          </w:tcPr>
          <w:p w14:paraId="40364C29">
            <w:pPr>
              <w:widowControl/>
              <w:autoSpaceDE w:val="0"/>
              <w:autoSpaceDN w:val="0"/>
              <w:spacing w:line="240" w:lineRule="auto"/>
              <w:ind w:firstLine="0" w:firstLineChars="0"/>
              <w:jc w:val="center"/>
              <w:rPr>
                <w:rFonts w:hint="eastAsia" w:eastAsia="宋体"/>
                <w:color w:val="auto"/>
                <w:sz w:val="21"/>
                <w:szCs w:val="21"/>
                <w:highlight w:val="none"/>
                <w:lang w:val="zh-CN" w:eastAsia="zh-CN"/>
              </w:rPr>
            </w:pPr>
            <w:r>
              <w:rPr>
                <w:color w:val="auto"/>
                <w:sz w:val="21"/>
                <w:szCs w:val="21"/>
                <w:highlight w:val="none"/>
                <w:lang w:val="zh-CN"/>
              </w:rPr>
              <w:t>颗粒物</w:t>
            </w:r>
          </w:p>
        </w:tc>
        <w:tc>
          <w:tcPr>
            <w:tcW w:w="1174" w:type="dxa"/>
            <w:tcBorders>
              <w:tl2br w:val="nil"/>
              <w:tr2bl w:val="nil"/>
            </w:tcBorders>
            <w:noWrap w:val="0"/>
            <w:vAlign w:val="center"/>
          </w:tcPr>
          <w:p w14:paraId="7958B6C9">
            <w:pPr>
              <w:widowControl/>
              <w:autoSpaceDE w:val="0"/>
              <w:autoSpaceDN w:val="0"/>
              <w:spacing w:line="240" w:lineRule="auto"/>
              <w:ind w:firstLine="0" w:firstLineChars="0"/>
              <w:jc w:val="center"/>
              <w:rPr>
                <w:color w:val="auto"/>
                <w:sz w:val="21"/>
                <w:szCs w:val="21"/>
                <w:highlight w:val="none"/>
                <w:lang w:val="zh-CN"/>
              </w:rPr>
            </w:pPr>
            <w:r>
              <w:rPr>
                <w:rFonts w:hint="eastAsia"/>
                <w:color w:val="auto"/>
                <w:sz w:val="21"/>
                <w:szCs w:val="21"/>
                <w:highlight w:val="none"/>
                <w:lang w:val="en-US" w:eastAsia="zh-CN"/>
              </w:rPr>
              <w:t>1次/</w:t>
            </w:r>
            <w:r>
              <w:rPr>
                <w:color w:val="auto"/>
                <w:sz w:val="21"/>
                <w:szCs w:val="21"/>
                <w:highlight w:val="none"/>
                <w:lang w:val="zh-CN"/>
              </w:rPr>
              <w:t>半年</w:t>
            </w:r>
          </w:p>
        </w:tc>
      </w:tr>
      <w:tr w14:paraId="0D7012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62" w:type="dxa"/>
            <w:tcBorders>
              <w:tl2br w:val="nil"/>
              <w:tr2bl w:val="nil"/>
            </w:tcBorders>
            <w:noWrap w:val="0"/>
            <w:vAlign w:val="center"/>
          </w:tcPr>
          <w:p w14:paraId="4B6AB29A">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噪声</w:t>
            </w:r>
          </w:p>
        </w:tc>
        <w:tc>
          <w:tcPr>
            <w:tcW w:w="1146" w:type="dxa"/>
            <w:tcBorders>
              <w:tl2br w:val="nil"/>
              <w:tr2bl w:val="nil"/>
            </w:tcBorders>
            <w:noWrap w:val="0"/>
            <w:vAlign w:val="center"/>
          </w:tcPr>
          <w:p w14:paraId="271203CC">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全厂</w:t>
            </w:r>
          </w:p>
        </w:tc>
        <w:tc>
          <w:tcPr>
            <w:tcW w:w="1904" w:type="dxa"/>
            <w:tcBorders>
              <w:tl2br w:val="nil"/>
              <w:tr2bl w:val="nil"/>
            </w:tcBorders>
            <w:noWrap w:val="0"/>
            <w:vAlign w:val="center"/>
          </w:tcPr>
          <w:p w14:paraId="6150988C">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厂界四周</w:t>
            </w:r>
            <w:r>
              <w:rPr>
                <w:rFonts w:hint="eastAsia"/>
                <w:color w:val="auto"/>
                <w:sz w:val="21"/>
                <w:szCs w:val="21"/>
                <w:highlight w:val="none"/>
                <w:lang w:val="en-US" w:eastAsia="zh-CN"/>
              </w:rPr>
              <w:t>外1m处</w:t>
            </w:r>
          </w:p>
        </w:tc>
        <w:tc>
          <w:tcPr>
            <w:tcW w:w="4043" w:type="dxa"/>
            <w:tcBorders>
              <w:tl2br w:val="nil"/>
              <w:tr2bl w:val="nil"/>
            </w:tcBorders>
            <w:noWrap w:val="0"/>
            <w:vAlign w:val="center"/>
          </w:tcPr>
          <w:p w14:paraId="236AAEA1">
            <w:pPr>
              <w:widowControl/>
              <w:autoSpaceDE w:val="0"/>
              <w:autoSpaceDN w:val="0"/>
              <w:spacing w:line="240" w:lineRule="auto"/>
              <w:ind w:firstLine="0" w:firstLineChars="0"/>
              <w:jc w:val="center"/>
              <w:rPr>
                <w:color w:val="auto"/>
                <w:sz w:val="21"/>
                <w:szCs w:val="21"/>
                <w:highlight w:val="none"/>
                <w:lang w:val="zh-CN"/>
              </w:rPr>
            </w:pPr>
            <w:r>
              <w:rPr>
                <w:rFonts w:hint="eastAsia"/>
                <w:color w:val="auto"/>
                <w:sz w:val="21"/>
                <w:szCs w:val="21"/>
                <w:highlight w:val="none"/>
                <w:lang w:val="en-US" w:eastAsia="zh-CN"/>
              </w:rPr>
              <w:t>昼间、夜间</w:t>
            </w:r>
            <w:r>
              <w:rPr>
                <w:color w:val="auto"/>
                <w:sz w:val="21"/>
                <w:szCs w:val="21"/>
                <w:highlight w:val="none"/>
                <w:lang w:val="zh-CN"/>
              </w:rPr>
              <w:t>等效连续A声级</w:t>
            </w:r>
          </w:p>
        </w:tc>
        <w:tc>
          <w:tcPr>
            <w:tcW w:w="1174" w:type="dxa"/>
            <w:tcBorders>
              <w:tl2br w:val="nil"/>
              <w:tr2bl w:val="nil"/>
            </w:tcBorders>
            <w:noWrap w:val="0"/>
            <w:vAlign w:val="center"/>
          </w:tcPr>
          <w:p w14:paraId="7A545B3B">
            <w:pPr>
              <w:widowControl/>
              <w:autoSpaceDE w:val="0"/>
              <w:autoSpaceDN w:val="0"/>
              <w:spacing w:line="240" w:lineRule="auto"/>
              <w:ind w:firstLine="0" w:firstLineChars="0"/>
              <w:jc w:val="center"/>
              <w:rPr>
                <w:color w:val="auto"/>
                <w:sz w:val="21"/>
                <w:szCs w:val="21"/>
                <w:highlight w:val="none"/>
                <w:lang w:val="zh-CN"/>
              </w:rPr>
            </w:pPr>
            <w:r>
              <w:rPr>
                <w:rFonts w:hint="eastAsia"/>
                <w:color w:val="auto"/>
                <w:sz w:val="21"/>
                <w:szCs w:val="21"/>
                <w:highlight w:val="none"/>
                <w:lang w:val="en-US" w:eastAsia="zh-CN"/>
              </w:rPr>
              <w:t>1次/</w:t>
            </w:r>
            <w:r>
              <w:rPr>
                <w:color w:val="auto"/>
                <w:sz w:val="21"/>
                <w:szCs w:val="21"/>
                <w:highlight w:val="none"/>
                <w:lang w:val="zh-CN"/>
              </w:rPr>
              <w:t>季度</w:t>
            </w:r>
          </w:p>
        </w:tc>
      </w:tr>
    </w:tbl>
    <w:p w14:paraId="14CE801A">
      <w:pPr>
        <w:pStyle w:val="5"/>
        <w:rPr>
          <w:rFonts w:hint="eastAsia"/>
          <w:color w:val="auto"/>
          <w:highlight w:val="none"/>
          <w:lang w:val="en-US" w:eastAsia="zh-CN"/>
        </w:rPr>
      </w:pPr>
      <w:bookmarkStart w:id="267" w:name="bookmark346"/>
      <w:bookmarkEnd w:id="267"/>
      <w:bookmarkStart w:id="268" w:name="bookmark345"/>
      <w:bookmarkEnd w:id="268"/>
      <w:r>
        <w:rPr>
          <w:rFonts w:hint="eastAsia"/>
          <w:color w:val="auto"/>
          <w:highlight w:val="none"/>
          <w:lang w:val="en-US" w:eastAsia="zh-CN"/>
        </w:rPr>
        <w:t>环境质量监测</w:t>
      </w:r>
    </w:p>
    <w:p w14:paraId="2E273828">
      <w:pPr>
        <w:autoSpaceDE w:val="0"/>
        <w:autoSpaceDN w:val="0"/>
        <w:adjustRightInd w:val="0"/>
        <w:snapToGrid w:val="0"/>
        <w:spacing w:line="480" w:lineRule="exact"/>
        <w:ind w:firstLine="480" w:firstLineChars="200"/>
        <w:rPr>
          <w:rFonts w:hint="eastAsia"/>
          <w:color w:val="auto"/>
          <w:sz w:val="24"/>
          <w:szCs w:val="24"/>
          <w:highlight w:val="none"/>
          <w:lang w:eastAsia="zh-CN"/>
        </w:rPr>
      </w:pPr>
      <w:r>
        <w:rPr>
          <w:rFonts w:hint="eastAsia"/>
          <w:color w:val="auto"/>
          <w:sz w:val="24"/>
          <w:szCs w:val="24"/>
          <w:highlight w:val="none"/>
          <w:lang w:val="en-US" w:eastAsia="zh-CN"/>
        </w:rPr>
        <w:t>根据</w:t>
      </w:r>
      <w:r>
        <w:rPr>
          <w:rFonts w:hint="eastAsia"/>
          <w:color w:val="auto"/>
          <w:highlight w:val="none"/>
        </w:rPr>
        <w:t>《环境影响评价技术导则</w:t>
      </w:r>
      <w:r>
        <w:rPr>
          <w:color w:val="auto"/>
          <w:highlight w:val="none"/>
        </w:rPr>
        <w:t xml:space="preserve"> </w:t>
      </w:r>
      <w:r>
        <w:rPr>
          <w:rFonts w:hint="eastAsia"/>
          <w:color w:val="auto"/>
          <w:highlight w:val="none"/>
        </w:rPr>
        <w:t>地下水环境》（</w:t>
      </w:r>
      <w:r>
        <w:rPr>
          <w:color w:val="auto"/>
          <w:highlight w:val="none"/>
        </w:rPr>
        <w:t>HJ610-2016</w:t>
      </w:r>
      <w:r>
        <w:rPr>
          <w:rFonts w:hint="eastAsia"/>
          <w:color w:val="auto"/>
          <w:highlight w:val="none"/>
        </w:rPr>
        <w:t>）</w:t>
      </w:r>
      <w:r>
        <w:rPr>
          <w:rFonts w:hint="eastAsia"/>
          <w:color w:val="auto"/>
          <w:highlight w:val="none"/>
          <w:lang w:val="en-US" w:eastAsia="zh-CN"/>
        </w:rPr>
        <w:t>和</w:t>
      </w:r>
      <w:r>
        <w:rPr>
          <w:rFonts w:hint="eastAsia"/>
          <w:color w:val="auto"/>
          <w:sz w:val="24"/>
          <w:szCs w:val="24"/>
          <w:highlight w:val="none"/>
          <w:lang w:eastAsia="zh-CN"/>
        </w:rPr>
        <w:t>《工业企业土壤和地下水自行监测技术指南（试行）》（HJ1209-2021），</w:t>
      </w:r>
      <w:r>
        <w:rPr>
          <w:rFonts w:hint="eastAsia"/>
          <w:color w:val="auto"/>
          <w:sz w:val="24"/>
          <w:szCs w:val="24"/>
          <w:highlight w:val="none"/>
          <w:lang w:val="en-US" w:eastAsia="zh-CN"/>
        </w:rPr>
        <w:t>本项目地下水</w:t>
      </w:r>
      <w:r>
        <w:rPr>
          <w:rFonts w:hint="eastAsia"/>
          <w:color w:val="auto"/>
          <w:sz w:val="24"/>
          <w:szCs w:val="24"/>
          <w:highlight w:val="none"/>
          <w:lang w:eastAsia="zh-CN"/>
        </w:rPr>
        <w:t>环境质量监测计划见下表</w:t>
      </w:r>
      <w:r>
        <w:rPr>
          <w:rFonts w:hint="eastAsia"/>
          <w:color w:val="auto"/>
          <w:sz w:val="24"/>
          <w:szCs w:val="24"/>
          <w:highlight w:val="none"/>
          <w:lang w:val="en-US" w:eastAsia="zh-CN"/>
        </w:rPr>
        <w:t>9.2-2</w:t>
      </w:r>
      <w:r>
        <w:rPr>
          <w:rFonts w:hint="eastAsia"/>
          <w:color w:val="auto"/>
          <w:sz w:val="24"/>
          <w:szCs w:val="24"/>
          <w:highlight w:val="none"/>
          <w:lang w:eastAsia="zh-CN"/>
        </w:rPr>
        <w:t>。</w:t>
      </w:r>
    </w:p>
    <w:p w14:paraId="7C8C0F65">
      <w:pPr>
        <w:pStyle w:val="199"/>
        <w:spacing w:before="120"/>
        <w:ind w:firstLine="480"/>
        <w:rPr>
          <w:rFonts w:hint="eastAsia"/>
          <w:color w:val="auto"/>
          <w:sz w:val="24"/>
          <w:highlight w:val="none"/>
        </w:rPr>
      </w:pPr>
    </w:p>
    <w:p w14:paraId="39D2BC43">
      <w:pPr>
        <w:pStyle w:val="199"/>
        <w:spacing w:before="120"/>
        <w:ind w:firstLine="480"/>
        <w:rPr>
          <w:rFonts w:hint="eastAsia"/>
          <w:color w:val="auto"/>
          <w:sz w:val="24"/>
          <w:highlight w:val="none"/>
        </w:rPr>
      </w:pPr>
    </w:p>
    <w:p w14:paraId="52D8E030">
      <w:pPr>
        <w:pStyle w:val="199"/>
        <w:spacing w:before="120"/>
        <w:ind w:firstLine="480"/>
        <w:rPr>
          <w:rFonts w:hint="eastAsia"/>
          <w:color w:val="auto"/>
          <w:sz w:val="24"/>
          <w:highlight w:val="none"/>
        </w:rPr>
      </w:pPr>
    </w:p>
    <w:p w14:paraId="615157A3">
      <w:pPr>
        <w:pStyle w:val="199"/>
        <w:spacing w:before="120"/>
        <w:ind w:firstLine="480"/>
        <w:rPr>
          <w:rFonts w:hint="eastAsia"/>
          <w:color w:val="auto"/>
          <w:sz w:val="24"/>
          <w:highlight w:val="none"/>
        </w:rPr>
      </w:pPr>
      <w:r>
        <w:rPr>
          <w:rFonts w:hint="eastAsia"/>
          <w:color w:val="auto"/>
          <w:sz w:val="24"/>
          <w:highlight w:val="none"/>
        </w:rPr>
        <w:t>表9.2-2项目周边环境质量影响监测计划</w:t>
      </w:r>
    </w:p>
    <w:tbl>
      <w:tblPr>
        <w:tblStyle w:val="297"/>
        <w:tblW w:w="5000" w:type="pct"/>
        <w:tblInd w:w="2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11"/>
        <w:gridCol w:w="4667"/>
        <w:gridCol w:w="1815"/>
        <w:gridCol w:w="908"/>
      </w:tblGrid>
      <w:tr w14:paraId="67A9E6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l2br w:val="nil"/>
              <w:tr2bl w:val="nil"/>
            </w:tcBorders>
            <w:noWrap w:val="0"/>
            <w:vAlign w:val="center"/>
          </w:tcPr>
          <w:p w14:paraId="338F9047">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监测内容</w:t>
            </w:r>
          </w:p>
        </w:tc>
        <w:tc>
          <w:tcPr>
            <w:tcW w:w="5098" w:type="dxa"/>
            <w:tcBorders>
              <w:tl2br w:val="nil"/>
              <w:tr2bl w:val="nil"/>
            </w:tcBorders>
            <w:noWrap w:val="0"/>
            <w:vAlign w:val="center"/>
          </w:tcPr>
          <w:p w14:paraId="63B37D3A">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监测项目</w:t>
            </w:r>
          </w:p>
        </w:tc>
        <w:tc>
          <w:tcPr>
            <w:tcW w:w="1982" w:type="dxa"/>
            <w:tcBorders>
              <w:tl2br w:val="nil"/>
              <w:tr2bl w:val="nil"/>
            </w:tcBorders>
            <w:noWrap w:val="0"/>
            <w:vAlign w:val="center"/>
          </w:tcPr>
          <w:p w14:paraId="32206D42">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监测点位置</w:t>
            </w:r>
          </w:p>
        </w:tc>
        <w:tc>
          <w:tcPr>
            <w:tcW w:w="991" w:type="dxa"/>
            <w:tcBorders>
              <w:tl2br w:val="nil"/>
              <w:tr2bl w:val="nil"/>
            </w:tcBorders>
            <w:noWrap w:val="0"/>
            <w:vAlign w:val="center"/>
          </w:tcPr>
          <w:p w14:paraId="66C945CE">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频次</w:t>
            </w:r>
          </w:p>
        </w:tc>
      </w:tr>
      <w:tr w14:paraId="04D1DF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l2br w:val="nil"/>
              <w:tr2bl w:val="nil"/>
            </w:tcBorders>
            <w:noWrap w:val="0"/>
            <w:vAlign w:val="center"/>
          </w:tcPr>
          <w:p w14:paraId="6D12AF48">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地下水</w:t>
            </w:r>
          </w:p>
        </w:tc>
        <w:tc>
          <w:tcPr>
            <w:tcW w:w="5098" w:type="dxa"/>
            <w:tcBorders>
              <w:tl2br w:val="nil"/>
              <w:tr2bl w:val="nil"/>
            </w:tcBorders>
            <w:noWrap w:val="0"/>
            <w:vAlign w:val="center"/>
          </w:tcPr>
          <w:p w14:paraId="576DB24E">
            <w:pPr>
              <w:widowControl/>
              <w:autoSpaceDE w:val="0"/>
              <w:autoSpaceDN w:val="0"/>
              <w:spacing w:line="240" w:lineRule="auto"/>
              <w:ind w:firstLine="0" w:firstLineChars="0"/>
              <w:jc w:val="center"/>
              <w:rPr>
                <w:color w:val="auto"/>
                <w:sz w:val="21"/>
                <w:szCs w:val="21"/>
                <w:highlight w:val="none"/>
                <w:lang w:val="zh-CN"/>
              </w:rPr>
            </w:pPr>
            <w:r>
              <w:rPr>
                <w:color w:val="auto"/>
                <w:sz w:val="21"/>
                <w:szCs w:val="21"/>
                <w:highlight w:val="none"/>
                <w:lang w:val="zh-CN"/>
              </w:rPr>
              <w:t>K</w:t>
            </w:r>
            <w:r>
              <w:rPr>
                <w:color w:val="auto"/>
                <w:sz w:val="21"/>
                <w:szCs w:val="21"/>
                <w:highlight w:val="none"/>
                <w:vertAlign w:val="superscript"/>
                <w:lang w:val="zh-CN"/>
              </w:rPr>
              <w:t>+</w:t>
            </w:r>
            <w:r>
              <w:rPr>
                <w:color w:val="auto"/>
                <w:sz w:val="21"/>
                <w:szCs w:val="21"/>
                <w:highlight w:val="none"/>
                <w:lang w:val="zh-CN"/>
              </w:rPr>
              <w:t>、Na</w:t>
            </w:r>
            <w:r>
              <w:rPr>
                <w:color w:val="auto"/>
                <w:sz w:val="21"/>
                <w:szCs w:val="21"/>
                <w:highlight w:val="none"/>
                <w:vertAlign w:val="superscript"/>
                <w:lang w:val="zh-CN"/>
              </w:rPr>
              <w:t>+</w:t>
            </w:r>
            <w:r>
              <w:rPr>
                <w:color w:val="auto"/>
                <w:sz w:val="21"/>
                <w:szCs w:val="21"/>
                <w:highlight w:val="none"/>
                <w:lang w:val="zh-CN"/>
              </w:rPr>
              <w:t>、Ca</w:t>
            </w:r>
            <w:r>
              <w:rPr>
                <w:color w:val="auto"/>
                <w:sz w:val="21"/>
                <w:szCs w:val="21"/>
                <w:highlight w:val="none"/>
                <w:vertAlign w:val="superscript"/>
                <w:lang w:val="zh-CN"/>
              </w:rPr>
              <w:t>2+</w:t>
            </w:r>
            <w:r>
              <w:rPr>
                <w:color w:val="auto"/>
                <w:sz w:val="21"/>
                <w:szCs w:val="21"/>
                <w:highlight w:val="none"/>
                <w:lang w:val="zh-CN"/>
              </w:rPr>
              <w:t>、Mg</w:t>
            </w:r>
            <w:r>
              <w:rPr>
                <w:color w:val="auto"/>
                <w:sz w:val="21"/>
                <w:szCs w:val="21"/>
                <w:highlight w:val="none"/>
                <w:vertAlign w:val="superscript"/>
                <w:lang w:val="zh-CN"/>
              </w:rPr>
              <w:t>2+</w:t>
            </w:r>
            <w:r>
              <w:rPr>
                <w:color w:val="auto"/>
                <w:sz w:val="21"/>
                <w:szCs w:val="21"/>
                <w:highlight w:val="none"/>
                <w:lang w:val="zh-CN"/>
              </w:rPr>
              <w:t>、CO</w:t>
            </w:r>
            <w:r>
              <w:rPr>
                <w:color w:val="auto"/>
                <w:sz w:val="21"/>
                <w:szCs w:val="21"/>
                <w:highlight w:val="none"/>
                <w:vertAlign w:val="subscript"/>
                <w:lang w:val="zh-CN"/>
              </w:rPr>
              <w:t>3</w:t>
            </w:r>
            <w:r>
              <w:rPr>
                <w:color w:val="auto"/>
                <w:sz w:val="21"/>
                <w:szCs w:val="21"/>
                <w:highlight w:val="none"/>
                <w:vertAlign w:val="superscript"/>
                <w:lang w:val="zh-CN"/>
              </w:rPr>
              <w:t>2-</w:t>
            </w:r>
            <w:r>
              <w:rPr>
                <w:color w:val="auto"/>
                <w:sz w:val="21"/>
                <w:szCs w:val="21"/>
                <w:highlight w:val="none"/>
                <w:lang w:val="zh-CN"/>
              </w:rPr>
              <w:t>、HCO</w:t>
            </w:r>
            <w:r>
              <w:rPr>
                <w:color w:val="auto"/>
                <w:sz w:val="21"/>
                <w:szCs w:val="21"/>
                <w:highlight w:val="none"/>
                <w:vertAlign w:val="superscript"/>
                <w:lang w:val="zh-CN"/>
              </w:rPr>
              <w:t>3-</w:t>
            </w:r>
            <w:r>
              <w:rPr>
                <w:color w:val="auto"/>
                <w:sz w:val="21"/>
                <w:szCs w:val="21"/>
                <w:highlight w:val="none"/>
                <w:lang w:val="zh-CN"/>
              </w:rPr>
              <w:t>、Cl</w:t>
            </w:r>
            <w:r>
              <w:rPr>
                <w:color w:val="auto"/>
                <w:sz w:val="21"/>
                <w:szCs w:val="21"/>
                <w:highlight w:val="none"/>
                <w:vertAlign w:val="superscript"/>
                <w:lang w:val="zh-CN"/>
              </w:rPr>
              <w:t>-</w:t>
            </w:r>
            <w:r>
              <w:rPr>
                <w:color w:val="auto"/>
                <w:sz w:val="21"/>
                <w:szCs w:val="21"/>
                <w:highlight w:val="none"/>
                <w:lang w:val="zh-CN"/>
              </w:rPr>
              <w:t>、SO</w:t>
            </w:r>
            <w:r>
              <w:rPr>
                <w:color w:val="auto"/>
                <w:sz w:val="21"/>
                <w:szCs w:val="21"/>
                <w:highlight w:val="none"/>
                <w:vertAlign w:val="subscript"/>
                <w:lang w:val="zh-CN"/>
              </w:rPr>
              <w:t>4</w:t>
            </w:r>
            <w:r>
              <w:rPr>
                <w:color w:val="auto"/>
                <w:sz w:val="21"/>
                <w:szCs w:val="21"/>
                <w:highlight w:val="none"/>
                <w:vertAlign w:val="superscript"/>
                <w:lang w:val="zh-CN"/>
              </w:rPr>
              <w:t>2-</w:t>
            </w:r>
            <w:r>
              <w:rPr>
                <w:color w:val="auto"/>
                <w:sz w:val="21"/>
                <w:szCs w:val="21"/>
                <w:highlight w:val="none"/>
                <w:lang w:val="zh-CN"/>
              </w:rPr>
              <w:t>、pH、氨氮（以N计）、硝酸盐（以N计）、亚硝酸盐（以N计）、挥发性酚类、氰化物、砷、汞、铬（六价）、总硬度、铅、氟化物、镉、铁、锰、溶解性总固体、高锰酸盐指数、氯化物、硫酸盐、总大肠菌群、菌落总数</w:t>
            </w:r>
            <w:r>
              <w:rPr>
                <w:rFonts w:hint="eastAsia"/>
                <w:color w:val="auto"/>
                <w:sz w:val="21"/>
                <w:szCs w:val="21"/>
                <w:highlight w:val="none"/>
                <w:lang w:val="zh-CN"/>
              </w:rPr>
              <w:t>。</w:t>
            </w:r>
          </w:p>
        </w:tc>
        <w:tc>
          <w:tcPr>
            <w:tcW w:w="1982" w:type="dxa"/>
            <w:tcBorders>
              <w:tl2br w:val="nil"/>
              <w:tr2bl w:val="nil"/>
            </w:tcBorders>
            <w:noWrap w:val="0"/>
            <w:vAlign w:val="center"/>
          </w:tcPr>
          <w:p w14:paraId="41C51D61">
            <w:pPr>
              <w:widowControl/>
              <w:autoSpaceDE w:val="0"/>
              <w:autoSpaceDN w:val="0"/>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厂区东北角</w:t>
            </w:r>
          </w:p>
          <w:p w14:paraId="079C3FB2">
            <w:pPr>
              <w:widowControl/>
              <w:autoSpaceDE w:val="0"/>
              <w:autoSpaceDN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跟踪监测井</w:t>
            </w:r>
          </w:p>
        </w:tc>
        <w:tc>
          <w:tcPr>
            <w:tcW w:w="991" w:type="dxa"/>
            <w:tcBorders>
              <w:tl2br w:val="nil"/>
              <w:tr2bl w:val="nil"/>
            </w:tcBorders>
            <w:noWrap w:val="0"/>
            <w:vAlign w:val="center"/>
          </w:tcPr>
          <w:p w14:paraId="672A097B">
            <w:pPr>
              <w:widowControl/>
              <w:autoSpaceDE w:val="0"/>
              <w:autoSpaceDN w:val="0"/>
              <w:spacing w:line="240" w:lineRule="auto"/>
              <w:ind w:firstLine="0" w:firstLineChars="0"/>
              <w:jc w:val="center"/>
              <w:rPr>
                <w:color w:val="auto"/>
                <w:sz w:val="21"/>
                <w:szCs w:val="21"/>
                <w:highlight w:val="none"/>
                <w:lang w:val="zh-CN"/>
              </w:rPr>
            </w:pPr>
            <w:r>
              <w:rPr>
                <w:rFonts w:hint="eastAsia"/>
                <w:color w:val="auto"/>
                <w:sz w:val="21"/>
                <w:szCs w:val="21"/>
                <w:highlight w:val="none"/>
                <w:lang w:val="en-US" w:eastAsia="zh-CN"/>
              </w:rPr>
              <w:t>1次/</w:t>
            </w:r>
            <w:r>
              <w:rPr>
                <w:color w:val="auto"/>
                <w:sz w:val="21"/>
                <w:szCs w:val="21"/>
                <w:highlight w:val="none"/>
                <w:lang w:val="zh-CN"/>
              </w:rPr>
              <w:t>半年</w:t>
            </w:r>
          </w:p>
        </w:tc>
      </w:tr>
      <w:tr w14:paraId="7E8B0C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l2br w:val="nil"/>
              <w:tr2bl w:val="nil"/>
            </w:tcBorders>
            <w:noWrap w:val="0"/>
            <w:vAlign w:val="center"/>
          </w:tcPr>
          <w:p w14:paraId="2ACD19FD">
            <w:pPr>
              <w:widowControl/>
              <w:autoSpaceDE w:val="0"/>
              <w:autoSpaceDN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土壤环境</w:t>
            </w:r>
          </w:p>
        </w:tc>
        <w:tc>
          <w:tcPr>
            <w:tcW w:w="5098" w:type="dxa"/>
            <w:tcBorders>
              <w:tl2br w:val="nil"/>
              <w:tr2bl w:val="nil"/>
            </w:tcBorders>
            <w:noWrap w:val="0"/>
            <w:vAlign w:val="center"/>
          </w:tcPr>
          <w:p w14:paraId="6ED1E818">
            <w:pPr>
              <w:widowControl/>
              <w:autoSpaceDE w:val="0"/>
              <w:autoSpaceDN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氟化物</w:t>
            </w:r>
          </w:p>
        </w:tc>
        <w:tc>
          <w:tcPr>
            <w:tcW w:w="1982" w:type="dxa"/>
            <w:tcBorders>
              <w:tl2br w:val="nil"/>
              <w:tr2bl w:val="nil"/>
            </w:tcBorders>
            <w:noWrap w:val="0"/>
            <w:vAlign w:val="center"/>
          </w:tcPr>
          <w:p w14:paraId="054CF5D0">
            <w:pPr>
              <w:widowControl/>
              <w:autoSpaceDE w:val="0"/>
              <w:autoSpaceDN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厂区北侧草地</w:t>
            </w:r>
          </w:p>
        </w:tc>
        <w:tc>
          <w:tcPr>
            <w:tcW w:w="991" w:type="dxa"/>
            <w:tcBorders>
              <w:tl2br w:val="nil"/>
              <w:tr2bl w:val="nil"/>
            </w:tcBorders>
            <w:noWrap w:val="0"/>
            <w:vAlign w:val="center"/>
          </w:tcPr>
          <w:p w14:paraId="5DCEAEB5">
            <w:pPr>
              <w:widowControl/>
              <w:autoSpaceDE w:val="0"/>
              <w:autoSpaceDN w:val="0"/>
              <w:spacing w:line="240" w:lineRule="auto"/>
              <w:ind w:firstLine="0" w:firstLineChars="0"/>
              <w:jc w:val="center"/>
              <w:rPr>
                <w:rFonts w:hint="eastAsia"/>
                <w:color w:val="auto"/>
                <w:sz w:val="21"/>
                <w:szCs w:val="21"/>
                <w:highlight w:val="none"/>
                <w:lang w:val="en-US" w:eastAsia="zh-CN"/>
              </w:rPr>
            </w:pPr>
            <w:r>
              <w:rPr>
                <w:rFonts w:hint="eastAsia" w:cs="Times New Roman"/>
                <w:color w:val="auto"/>
                <w:sz w:val="21"/>
                <w:szCs w:val="21"/>
                <w:highlight w:val="none"/>
                <w:lang w:val="en-US" w:eastAsia="zh-CN"/>
              </w:rPr>
              <w:t>1次/5年</w:t>
            </w:r>
          </w:p>
        </w:tc>
      </w:tr>
    </w:tbl>
    <w:p w14:paraId="0371561F">
      <w:pPr>
        <w:autoSpaceDE w:val="0"/>
        <w:autoSpaceDN w:val="0"/>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上述污染源监测及环境质量监测若企业不具备监测条件，可委托有资质的环境监测机构进行监测，监测结果以报告形式上报当地环境保护主管部门。如发现问题，必须及时纠正，防止环境污染。</w:t>
      </w:r>
    </w:p>
    <w:p w14:paraId="35AC5372">
      <w:pPr>
        <w:pStyle w:val="4"/>
        <w:spacing w:before="120" w:after="120"/>
        <w:rPr>
          <w:rFonts w:hint="eastAsia"/>
          <w:color w:val="auto"/>
          <w:highlight w:val="none"/>
        </w:rPr>
      </w:pPr>
      <w:bookmarkStart w:id="269" w:name="bookmark347"/>
      <w:bookmarkEnd w:id="269"/>
      <w:bookmarkStart w:id="270" w:name="bookmark348"/>
      <w:bookmarkEnd w:id="270"/>
      <w:bookmarkStart w:id="271" w:name="_Toc19701"/>
      <w:r>
        <w:rPr>
          <w:rFonts w:hint="eastAsia"/>
          <w:color w:val="auto"/>
          <w:highlight w:val="none"/>
        </w:rPr>
        <w:t>排污口规范化设置</w:t>
      </w:r>
      <w:bookmarkEnd w:id="271"/>
    </w:p>
    <w:p w14:paraId="1DA6D83D">
      <w:pPr>
        <w:autoSpaceDE w:val="0"/>
        <w:autoSpaceDN w:val="0"/>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废气排放口、废水排放口、固定噪声源和固体废物贮存必须按照国家和内蒙古自治区的有关规定进行建设，应符合“一明显、二合理、三便于”的要求，即环保标志明显，排污口(接管口)设置合理，便于采集样品、便于监测计量、便于公众参与和监督管理。同时要求按照国家环保总局制定的《环境保护图形标志实施细则(试行)》的规定，设置与排污口相应的图形标志牌。</w:t>
      </w:r>
    </w:p>
    <w:p w14:paraId="1ED2A679">
      <w:pPr>
        <w:autoSpaceDE w:val="0"/>
        <w:autoSpaceDN w:val="0"/>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（1）排污口管理</w:t>
      </w:r>
    </w:p>
    <w:p w14:paraId="6F278BF8">
      <w:pPr>
        <w:autoSpaceDE w:val="0"/>
        <w:autoSpaceDN w:val="0"/>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建设单位应在各个排污口处树立标志牌，并如实填写《中华人民共和国规范化排 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682E077B">
      <w:pPr>
        <w:autoSpaceDE w:val="0"/>
        <w:autoSpaceDN w:val="0"/>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（2）环境保护图形标志</w:t>
      </w:r>
    </w:p>
    <w:p w14:paraId="3FCCD6CC">
      <w:pPr>
        <w:autoSpaceDE w:val="0"/>
        <w:autoSpaceDN w:val="0"/>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在厂区的废水排放口、固体废物贮存处置场应设置环境保护图形标志，图形符号分为提示图形和警告图形符号两种，分别按《环境保护图形标志-排放口（源）》GB15562.1-1995、《环境保护图形标志固体废物贮存(处置)场》GB15562.2-1995及</w:t>
      </w:r>
      <w:r>
        <w:rPr>
          <w:rFonts w:hint="eastAsia"/>
          <w:color w:val="auto"/>
          <w:sz w:val="24"/>
          <w:szCs w:val="24"/>
          <w:highlight w:val="none"/>
          <w:lang w:eastAsia="zh-CN"/>
        </w:rPr>
        <w:t>《危险废物识别标志设置技术规范》（HJ1276-2022）</w:t>
      </w:r>
      <w:r>
        <w:rPr>
          <w:rFonts w:hint="eastAsia"/>
          <w:color w:val="auto"/>
          <w:sz w:val="24"/>
          <w:szCs w:val="24"/>
          <w:highlight w:val="none"/>
          <w:lang w:val="en-US" w:eastAsia="zh-CN"/>
        </w:rPr>
        <w:t>执行。环境保护图形标志的形状及颜色见下表9.3-1，环境保护图形符号见下表9.3-2。</w:t>
      </w:r>
    </w:p>
    <w:p w14:paraId="054878A6">
      <w:pPr>
        <w:pStyle w:val="199"/>
        <w:spacing w:before="120"/>
        <w:ind w:firstLine="480"/>
        <w:rPr>
          <w:rFonts w:hint="eastAsia"/>
          <w:color w:val="auto"/>
          <w:sz w:val="24"/>
          <w:highlight w:val="none"/>
        </w:rPr>
      </w:pPr>
    </w:p>
    <w:p w14:paraId="15E4FE7F">
      <w:pPr>
        <w:pStyle w:val="199"/>
        <w:spacing w:before="120"/>
        <w:ind w:firstLine="480"/>
        <w:rPr>
          <w:rFonts w:hint="eastAsia"/>
          <w:color w:val="auto"/>
          <w:sz w:val="24"/>
          <w:highlight w:val="none"/>
        </w:rPr>
      </w:pPr>
    </w:p>
    <w:p w14:paraId="238CC023">
      <w:pPr>
        <w:pStyle w:val="199"/>
        <w:spacing w:before="120"/>
        <w:ind w:firstLine="480"/>
        <w:rPr>
          <w:rFonts w:hint="eastAsia"/>
          <w:color w:val="auto"/>
          <w:sz w:val="24"/>
          <w:highlight w:val="none"/>
        </w:rPr>
      </w:pPr>
      <w:r>
        <w:rPr>
          <w:rFonts w:hint="eastAsia"/>
          <w:color w:val="auto"/>
          <w:sz w:val="24"/>
          <w:highlight w:val="none"/>
        </w:rPr>
        <w:t>表9.3-1</w:t>
      </w:r>
      <w:r>
        <w:rPr>
          <w:rFonts w:hint="eastAsia"/>
          <w:color w:val="auto"/>
          <w:sz w:val="24"/>
          <w:highlight w:val="none"/>
          <w:lang w:val="en-US" w:eastAsia="zh-CN"/>
        </w:rPr>
        <w:t xml:space="preserve">   </w:t>
      </w:r>
      <w:r>
        <w:rPr>
          <w:rFonts w:hint="eastAsia"/>
          <w:color w:val="auto"/>
          <w:sz w:val="24"/>
          <w:highlight w:val="none"/>
        </w:rPr>
        <w:t>环境保护保护图形标志的形状及颜色表</w:t>
      </w:r>
    </w:p>
    <w:tbl>
      <w:tblPr>
        <w:tblStyle w:val="297"/>
        <w:tblW w:w="5000" w:type="pct"/>
        <w:tblInd w:w="74"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78"/>
        <w:gridCol w:w="2073"/>
        <w:gridCol w:w="2073"/>
        <w:gridCol w:w="2078"/>
      </w:tblGrid>
      <w:tr w14:paraId="211F2F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8" w:type="dxa"/>
            <w:tcBorders>
              <w:tl2br w:val="nil"/>
              <w:tr2bl w:val="nil"/>
            </w:tcBorders>
            <w:noWrap w:val="0"/>
            <w:vAlign w:val="center"/>
          </w:tcPr>
          <w:p w14:paraId="5E973909">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2"/>
                <w:highlight w:val="none"/>
              </w:rPr>
              <w:t>标志名称</w:t>
            </w:r>
          </w:p>
        </w:tc>
        <w:tc>
          <w:tcPr>
            <w:tcW w:w="2243" w:type="dxa"/>
            <w:tcBorders>
              <w:tl2br w:val="nil"/>
              <w:tr2bl w:val="nil"/>
            </w:tcBorders>
            <w:noWrap w:val="0"/>
            <w:vAlign w:val="center"/>
          </w:tcPr>
          <w:p w14:paraId="1528C8FC">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3"/>
                <w:highlight w:val="none"/>
              </w:rPr>
              <w:t>形状</w:t>
            </w:r>
          </w:p>
        </w:tc>
        <w:tc>
          <w:tcPr>
            <w:tcW w:w="2243" w:type="dxa"/>
            <w:tcBorders>
              <w:tl2br w:val="nil"/>
              <w:tr2bl w:val="nil"/>
            </w:tcBorders>
            <w:noWrap w:val="0"/>
            <w:vAlign w:val="center"/>
          </w:tcPr>
          <w:p w14:paraId="57EF4E21">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3"/>
                <w:highlight w:val="none"/>
              </w:rPr>
              <w:t>背景颜色</w:t>
            </w:r>
          </w:p>
        </w:tc>
        <w:tc>
          <w:tcPr>
            <w:tcW w:w="2248" w:type="dxa"/>
            <w:tcBorders>
              <w:tl2br w:val="nil"/>
              <w:tr2bl w:val="nil"/>
            </w:tcBorders>
            <w:noWrap w:val="0"/>
            <w:vAlign w:val="center"/>
          </w:tcPr>
          <w:p w14:paraId="3408D181">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7"/>
                <w:highlight w:val="none"/>
              </w:rPr>
              <w:t>图形颜色</w:t>
            </w:r>
          </w:p>
        </w:tc>
      </w:tr>
      <w:tr w14:paraId="6663AD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8" w:type="dxa"/>
            <w:tcBorders>
              <w:tl2br w:val="nil"/>
              <w:tr2bl w:val="nil"/>
            </w:tcBorders>
            <w:noWrap w:val="0"/>
            <w:vAlign w:val="center"/>
          </w:tcPr>
          <w:p w14:paraId="6C2CE293">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3"/>
                <w:highlight w:val="none"/>
              </w:rPr>
              <w:t>警告标志</w:t>
            </w:r>
          </w:p>
        </w:tc>
        <w:tc>
          <w:tcPr>
            <w:tcW w:w="2243" w:type="dxa"/>
            <w:tcBorders>
              <w:tl2br w:val="nil"/>
              <w:tr2bl w:val="nil"/>
            </w:tcBorders>
            <w:noWrap w:val="0"/>
            <w:vAlign w:val="center"/>
          </w:tcPr>
          <w:p w14:paraId="67CA5F68">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1"/>
                <w:highlight w:val="none"/>
              </w:rPr>
              <w:t>三角形边框</w:t>
            </w:r>
          </w:p>
        </w:tc>
        <w:tc>
          <w:tcPr>
            <w:tcW w:w="2243" w:type="dxa"/>
            <w:tcBorders>
              <w:tl2br w:val="nil"/>
              <w:tr2bl w:val="nil"/>
            </w:tcBorders>
            <w:noWrap w:val="0"/>
            <w:vAlign w:val="center"/>
          </w:tcPr>
          <w:p w14:paraId="7F8AEE2B">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2"/>
                <w:highlight w:val="none"/>
              </w:rPr>
              <w:t>黄色</w:t>
            </w:r>
          </w:p>
        </w:tc>
        <w:tc>
          <w:tcPr>
            <w:tcW w:w="2248" w:type="dxa"/>
            <w:tcBorders>
              <w:tl2br w:val="nil"/>
              <w:tr2bl w:val="nil"/>
            </w:tcBorders>
            <w:noWrap w:val="0"/>
            <w:vAlign w:val="center"/>
          </w:tcPr>
          <w:p w14:paraId="4C5A7CE1">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3"/>
                <w:highlight w:val="none"/>
              </w:rPr>
              <w:t>黑色</w:t>
            </w:r>
          </w:p>
        </w:tc>
      </w:tr>
      <w:tr w14:paraId="6F007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48" w:type="dxa"/>
            <w:tcBorders>
              <w:tl2br w:val="nil"/>
              <w:tr2bl w:val="nil"/>
            </w:tcBorders>
            <w:noWrap w:val="0"/>
            <w:vAlign w:val="center"/>
          </w:tcPr>
          <w:p w14:paraId="23BFF15C">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2"/>
                <w:highlight w:val="none"/>
              </w:rPr>
              <w:t>提示标志</w:t>
            </w:r>
          </w:p>
        </w:tc>
        <w:tc>
          <w:tcPr>
            <w:tcW w:w="2243" w:type="dxa"/>
            <w:tcBorders>
              <w:tl2br w:val="nil"/>
              <w:tr2bl w:val="nil"/>
            </w:tcBorders>
            <w:noWrap w:val="0"/>
            <w:vAlign w:val="center"/>
          </w:tcPr>
          <w:p w14:paraId="6005FF80">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2"/>
                <w:highlight w:val="none"/>
              </w:rPr>
              <w:t>正方形边框</w:t>
            </w:r>
          </w:p>
        </w:tc>
        <w:tc>
          <w:tcPr>
            <w:tcW w:w="2243" w:type="dxa"/>
            <w:tcBorders>
              <w:tl2br w:val="nil"/>
              <w:tr2bl w:val="nil"/>
            </w:tcBorders>
            <w:noWrap w:val="0"/>
            <w:vAlign w:val="center"/>
          </w:tcPr>
          <w:p w14:paraId="59069CD4">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2"/>
                <w:highlight w:val="none"/>
              </w:rPr>
              <w:t>绿色</w:t>
            </w:r>
          </w:p>
        </w:tc>
        <w:tc>
          <w:tcPr>
            <w:tcW w:w="2248" w:type="dxa"/>
            <w:tcBorders>
              <w:tl2br w:val="nil"/>
              <w:tr2bl w:val="nil"/>
            </w:tcBorders>
            <w:noWrap w:val="0"/>
            <w:vAlign w:val="center"/>
          </w:tcPr>
          <w:p w14:paraId="71CA2CEA">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highlight w:val="none"/>
              </w:rPr>
            </w:pPr>
            <w:r>
              <w:rPr>
                <w:color w:val="auto"/>
                <w:spacing w:val="-10"/>
                <w:highlight w:val="none"/>
              </w:rPr>
              <w:t>白色</w:t>
            </w:r>
          </w:p>
        </w:tc>
      </w:tr>
    </w:tbl>
    <w:p w14:paraId="7F1E5C06">
      <w:pPr>
        <w:pStyle w:val="199"/>
        <w:spacing w:before="120"/>
        <w:ind w:firstLine="480"/>
        <w:rPr>
          <w:rFonts w:hint="eastAsia"/>
          <w:color w:val="auto"/>
          <w:sz w:val="24"/>
          <w:highlight w:val="none"/>
        </w:rPr>
      </w:pPr>
      <w:r>
        <w:rPr>
          <w:rFonts w:hint="eastAsia"/>
          <w:color w:val="auto"/>
          <w:sz w:val="24"/>
          <w:highlight w:val="none"/>
        </w:rPr>
        <w:t>表9.3-2</w:t>
      </w:r>
      <w:r>
        <w:rPr>
          <w:rFonts w:hint="eastAsia"/>
          <w:color w:val="auto"/>
          <w:sz w:val="24"/>
          <w:highlight w:val="none"/>
          <w:lang w:val="en-US" w:eastAsia="zh-CN"/>
        </w:rPr>
        <w:t xml:space="preserve">    </w:t>
      </w:r>
      <w:r>
        <w:rPr>
          <w:rFonts w:hint="eastAsia"/>
          <w:color w:val="auto"/>
          <w:sz w:val="24"/>
          <w:highlight w:val="none"/>
        </w:rPr>
        <w:t>环境保护保护图形符号一览表</w:t>
      </w:r>
    </w:p>
    <w:tbl>
      <w:tblPr>
        <w:tblStyle w:val="297"/>
        <w:tblW w:w="5000" w:type="pct"/>
        <w:tblInd w:w="4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624"/>
        <w:gridCol w:w="1730"/>
        <w:gridCol w:w="1402"/>
        <w:gridCol w:w="2815"/>
      </w:tblGrid>
      <w:tr w14:paraId="5D1927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30" w:type="dxa"/>
            <w:tcBorders>
              <w:tl2br w:val="nil"/>
              <w:tr2bl w:val="nil"/>
            </w:tcBorders>
            <w:noWrap w:val="0"/>
            <w:vAlign w:val="center"/>
          </w:tcPr>
          <w:p w14:paraId="1A01AA73">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序号</w:t>
            </w:r>
          </w:p>
        </w:tc>
        <w:tc>
          <w:tcPr>
            <w:tcW w:w="1624" w:type="dxa"/>
            <w:tcBorders>
              <w:tl2br w:val="nil"/>
              <w:tr2bl w:val="nil"/>
            </w:tcBorders>
            <w:noWrap w:val="0"/>
            <w:vAlign w:val="center"/>
          </w:tcPr>
          <w:p w14:paraId="19E2D142">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提示图形符号</w:t>
            </w:r>
          </w:p>
        </w:tc>
        <w:tc>
          <w:tcPr>
            <w:tcW w:w="1730" w:type="dxa"/>
            <w:tcBorders>
              <w:tl2br w:val="nil"/>
              <w:tr2bl w:val="nil"/>
            </w:tcBorders>
            <w:noWrap w:val="0"/>
            <w:vAlign w:val="center"/>
          </w:tcPr>
          <w:p w14:paraId="5C716D68">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警告图形符号</w:t>
            </w:r>
          </w:p>
        </w:tc>
        <w:tc>
          <w:tcPr>
            <w:tcW w:w="1402" w:type="dxa"/>
            <w:tcBorders>
              <w:tl2br w:val="nil"/>
              <w:tr2bl w:val="nil"/>
            </w:tcBorders>
            <w:noWrap w:val="0"/>
            <w:vAlign w:val="center"/>
          </w:tcPr>
          <w:p w14:paraId="143A9ADD">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名称</w:t>
            </w:r>
          </w:p>
        </w:tc>
        <w:tc>
          <w:tcPr>
            <w:tcW w:w="2815" w:type="dxa"/>
            <w:tcBorders>
              <w:tl2br w:val="nil"/>
              <w:tr2bl w:val="nil"/>
            </w:tcBorders>
            <w:noWrap w:val="0"/>
            <w:vAlign w:val="center"/>
          </w:tcPr>
          <w:p w14:paraId="707C6D27">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功能</w:t>
            </w:r>
          </w:p>
        </w:tc>
      </w:tr>
      <w:tr w14:paraId="66F2A1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730" w:type="dxa"/>
            <w:tcBorders>
              <w:tl2br w:val="nil"/>
              <w:tr2bl w:val="nil"/>
            </w:tcBorders>
            <w:noWrap w:val="0"/>
            <w:vAlign w:val="center"/>
          </w:tcPr>
          <w:p w14:paraId="1966487F">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1</w:t>
            </w:r>
          </w:p>
        </w:tc>
        <w:tc>
          <w:tcPr>
            <w:tcW w:w="1624" w:type="dxa"/>
            <w:tcBorders>
              <w:tl2br w:val="nil"/>
              <w:tr2bl w:val="nil"/>
            </w:tcBorders>
            <w:noWrap w:val="0"/>
            <w:vAlign w:val="center"/>
          </w:tcPr>
          <w:p w14:paraId="5E9A6032">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drawing>
                <wp:inline distT="0" distB="0" distL="114300" distR="114300">
                  <wp:extent cx="791845" cy="756285"/>
                  <wp:effectExtent l="0" t="0" r="8255" b="5715"/>
                  <wp:docPr id="48" name="IM 474"/>
                  <wp:cNvGraphicFramePr/>
                  <a:graphic xmlns:a="http://schemas.openxmlformats.org/drawingml/2006/main">
                    <a:graphicData uri="http://schemas.openxmlformats.org/drawingml/2006/picture">
                      <pic:pic xmlns:pic="http://schemas.openxmlformats.org/drawingml/2006/picture">
                        <pic:nvPicPr>
                          <pic:cNvPr id="48" name="IM 474"/>
                          <pic:cNvPicPr/>
                        </pic:nvPicPr>
                        <pic:blipFill>
                          <a:blip r:embed="rId95"/>
                          <a:stretch>
                            <a:fillRect/>
                          </a:stretch>
                        </pic:blipFill>
                        <pic:spPr>
                          <a:xfrm>
                            <a:off x="0" y="0"/>
                            <a:ext cx="791845" cy="756285"/>
                          </a:xfrm>
                          <a:prstGeom prst="rect">
                            <a:avLst/>
                          </a:prstGeom>
                          <a:noFill/>
                          <a:ln>
                            <a:noFill/>
                          </a:ln>
                        </pic:spPr>
                      </pic:pic>
                    </a:graphicData>
                  </a:graphic>
                </wp:inline>
              </w:drawing>
            </w:r>
          </w:p>
        </w:tc>
        <w:tc>
          <w:tcPr>
            <w:tcW w:w="1730" w:type="dxa"/>
            <w:tcBorders>
              <w:tl2br w:val="nil"/>
              <w:tr2bl w:val="nil"/>
            </w:tcBorders>
            <w:noWrap w:val="0"/>
            <w:vAlign w:val="center"/>
          </w:tcPr>
          <w:p w14:paraId="0A2886BC">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drawing>
                <wp:inline distT="0" distB="0" distL="114300" distR="114300">
                  <wp:extent cx="791845" cy="756285"/>
                  <wp:effectExtent l="0" t="0" r="8255" b="5715"/>
                  <wp:docPr id="49" name="IM 476"/>
                  <wp:cNvGraphicFramePr/>
                  <a:graphic xmlns:a="http://schemas.openxmlformats.org/drawingml/2006/main">
                    <a:graphicData uri="http://schemas.openxmlformats.org/drawingml/2006/picture">
                      <pic:pic xmlns:pic="http://schemas.openxmlformats.org/drawingml/2006/picture">
                        <pic:nvPicPr>
                          <pic:cNvPr id="49" name="IM 476"/>
                          <pic:cNvPicPr/>
                        </pic:nvPicPr>
                        <pic:blipFill>
                          <a:blip r:embed="rId96"/>
                          <a:stretch>
                            <a:fillRect/>
                          </a:stretch>
                        </pic:blipFill>
                        <pic:spPr>
                          <a:xfrm>
                            <a:off x="0" y="0"/>
                            <a:ext cx="791845" cy="756285"/>
                          </a:xfrm>
                          <a:prstGeom prst="rect">
                            <a:avLst/>
                          </a:prstGeom>
                          <a:noFill/>
                          <a:ln>
                            <a:noFill/>
                          </a:ln>
                        </pic:spPr>
                      </pic:pic>
                    </a:graphicData>
                  </a:graphic>
                </wp:inline>
              </w:drawing>
            </w:r>
          </w:p>
        </w:tc>
        <w:tc>
          <w:tcPr>
            <w:tcW w:w="1402" w:type="dxa"/>
            <w:tcBorders>
              <w:tl2br w:val="nil"/>
              <w:tr2bl w:val="nil"/>
            </w:tcBorders>
            <w:noWrap w:val="0"/>
            <w:vAlign w:val="center"/>
          </w:tcPr>
          <w:p w14:paraId="11CA6EC8">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废水排放口</w:t>
            </w:r>
          </w:p>
        </w:tc>
        <w:tc>
          <w:tcPr>
            <w:tcW w:w="2815" w:type="dxa"/>
            <w:tcBorders>
              <w:tl2br w:val="nil"/>
              <w:tr2bl w:val="nil"/>
            </w:tcBorders>
            <w:noWrap w:val="0"/>
            <w:vAlign w:val="center"/>
          </w:tcPr>
          <w:p w14:paraId="611E8E8F">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表示废水向水体排放</w:t>
            </w:r>
          </w:p>
        </w:tc>
      </w:tr>
      <w:tr w14:paraId="290FE1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730" w:type="dxa"/>
            <w:tcBorders>
              <w:tl2br w:val="nil"/>
              <w:tr2bl w:val="nil"/>
            </w:tcBorders>
            <w:noWrap w:val="0"/>
            <w:vAlign w:val="center"/>
          </w:tcPr>
          <w:p w14:paraId="0A796FCB">
            <w:pPr>
              <w:pStyle w:val="3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2"/>
                <w:kern w:val="2"/>
                <w:sz w:val="21"/>
                <w:szCs w:val="21"/>
                <w:highlight w:val="none"/>
                <w:lang w:val="en-US" w:eastAsia="en-US" w:bidi="ar-SA"/>
              </w:rPr>
            </w:pPr>
            <w:r>
              <w:rPr>
                <w:color w:val="auto"/>
                <w:spacing w:val="-2"/>
                <w:highlight w:val="none"/>
              </w:rPr>
              <w:t>2</w:t>
            </w:r>
          </w:p>
        </w:tc>
        <w:tc>
          <w:tcPr>
            <w:tcW w:w="1624" w:type="dxa"/>
            <w:tcBorders>
              <w:tl2br w:val="nil"/>
              <w:tr2bl w:val="nil"/>
            </w:tcBorders>
            <w:noWrap w:val="0"/>
            <w:vAlign w:val="center"/>
          </w:tcPr>
          <w:p w14:paraId="14596929">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highlight w:val="none"/>
              </w:rPr>
              <w:drawing>
                <wp:inline distT="0" distB="0" distL="114300" distR="114300">
                  <wp:extent cx="735330" cy="946785"/>
                  <wp:effectExtent l="0" t="0" r="7620" b="5715"/>
                  <wp:docPr id="5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6"/>
                          <pic:cNvPicPr>
                            <a:picLocks noChangeAspect="1"/>
                          </pic:cNvPicPr>
                        </pic:nvPicPr>
                        <pic:blipFill>
                          <a:blip r:embed="rId97"/>
                          <a:stretch>
                            <a:fillRect/>
                          </a:stretch>
                        </pic:blipFill>
                        <pic:spPr>
                          <a:xfrm>
                            <a:off x="0" y="0"/>
                            <a:ext cx="735330" cy="946785"/>
                          </a:xfrm>
                          <a:prstGeom prst="rect">
                            <a:avLst/>
                          </a:prstGeom>
                          <a:noFill/>
                          <a:ln>
                            <a:noFill/>
                          </a:ln>
                        </pic:spPr>
                      </pic:pic>
                    </a:graphicData>
                  </a:graphic>
                </wp:inline>
              </w:drawing>
            </w:r>
          </w:p>
        </w:tc>
        <w:tc>
          <w:tcPr>
            <w:tcW w:w="1730" w:type="dxa"/>
            <w:tcBorders>
              <w:tl2br w:val="nil"/>
              <w:tr2bl w:val="nil"/>
            </w:tcBorders>
            <w:noWrap w:val="0"/>
            <w:vAlign w:val="center"/>
          </w:tcPr>
          <w:p w14:paraId="76BC75A0">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highlight w:val="none"/>
              </w:rPr>
              <w:drawing>
                <wp:inline distT="0" distB="0" distL="114300" distR="114300">
                  <wp:extent cx="852805" cy="1067435"/>
                  <wp:effectExtent l="0" t="0" r="4445" b="18415"/>
                  <wp:docPr id="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7"/>
                          <pic:cNvPicPr>
                            <a:picLocks noChangeAspect="1"/>
                          </pic:cNvPicPr>
                        </pic:nvPicPr>
                        <pic:blipFill>
                          <a:blip r:embed="rId98"/>
                          <a:stretch>
                            <a:fillRect/>
                          </a:stretch>
                        </pic:blipFill>
                        <pic:spPr>
                          <a:xfrm>
                            <a:off x="0" y="0"/>
                            <a:ext cx="852805" cy="1067435"/>
                          </a:xfrm>
                          <a:prstGeom prst="rect">
                            <a:avLst/>
                          </a:prstGeom>
                          <a:noFill/>
                          <a:ln>
                            <a:noFill/>
                          </a:ln>
                        </pic:spPr>
                      </pic:pic>
                    </a:graphicData>
                  </a:graphic>
                </wp:inline>
              </w:drawing>
            </w:r>
          </w:p>
        </w:tc>
        <w:tc>
          <w:tcPr>
            <w:tcW w:w="1402" w:type="dxa"/>
            <w:tcBorders>
              <w:tl2br w:val="nil"/>
              <w:tr2bl w:val="nil"/>
            </w:tcBorders>
            <w:noWrap w:val="0"/>
            <w:vAlign w:val="center"/>
          </w:tcPr>
          <w:p w14:paraId="3D9CD13E">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spacing w:val="-2"/>
                <w:highlight w:val="none"/>
                <w:lang w:val="en-US" w:eastAsia="zh-CN"/>
              </w:rPr>
            </w:pPr>
            <w:r>
              <w:rPr>
                <w:color w:val="auto"/>
                <w:spacing w:val="-2"/>
                <w:highlight w:val="none"/>
              </w:rPr>
              <w:t>废</w:t>
            </w:r>
            <w:r>
              <w:rPr>
                <w:rFonts w:hint="eastAsia"/>
                <w:color w:val="auto"/>
                <w:spacing w:val="-2"/>
                <w:highlight w:val="none"/>
                <w:lang w:val="en-US" w:eastAsia="zh-CN"/>
              </w:rPr>
              <w:t>气</w:t>
            </w:r>
            <w:r>
              <w:rPr>
                <w:color w:val="auto"/>
                <w:spacing w:val="-2"/>
                <w:highlight w:val="none"/>
              </w:rPr>
              <w:t>排放</w:t>
            </w:r>
            <w:r>
              <w:rPr>
                <w:rFonts w:hint="eastAsia"/>
                <w:color w:val="auto"/>
                <w:spacing w:val="-2"/>
                <w:highlight w:val="none"/>
                <w:lang w:val="en-US" w:eastAsia="zh-CN"/>
              </w:rPr>
              <w:t>口</w:t>
            </w:r>
          </w:p>
        </w:tc>
        <w:tc>
          <w:tcPr>
            <w:tcW w:w="2815" w:type="dxa"/>
            <w:tcBorders>
              <w:tl2br w:val="nil"/>
              <w:tr2bl w:val="nil"/>
            </w:tcBorders>
            <w:noWrap w:val="0"/>
            <w:vAlign w:val="center"/>
          </w:tcPr>
          <w:p w14:paraId="218875E0">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表示废</w:t>
            </w:r>
            <w:r>
              <w:rPr>
                <w:rFonts w:hint="eastAsia"/>
                <w:color w:val="auto"/>
                <w:spacing w:val="-2"/>
                <w:highlight w:val="none"/>
                <w:lang w:val="en-US" w:eastAsia="zh-CN"/>
              </w:rPr>
              <w:t>气</w:t>
            </w:r>
            <w:r>
              <w:rPr>
                <w:color w:val="auto"/>
                <w:spacing w:val="-2"/>
                <w:highlight w:val="none"/>
              </w:rPr>
              <w:t>向</w:t>
            </w:r>
            <w:r>
              <w:rPr>
                <w:rFonts w:hint="eastAsia"/>
                <w:color w:val="auto"/>
                <w:spacing w:val="-2"/>
                <w:highlight w:val="none"/>
                <w:lang w:val="en-US" w:eastAsia="zh-CN"/>
              </w:rPr>
              <w:t>大气</w:t>
            </w:r>
            <w:r>
              <w:rPr>
                <w:color w:val="auto"/>
                <w:spacing w:val="-2"/>
                <w:highlight w:val="none"/>
              </w:rPr>
              <w:t>排放</w:t>
            </w:r>
          </w:p>
        </w:tc>
      </w:tr>
      <w:tr w14:paraId="4268C0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730" w:type="dxa"/>
            <w:tcBorders>
              <w:tl2br w:val="nil"/>
              <w:tr2bl w:val="nil"/>
            </w:tcBorders>
            <w:noWrap w:val="0"/>
            <w:vAlign w:val="center"/>
          </w:tcPr>
          <w:p w14:paraId="45835E8C">
            <w:pPr>
              <w:pStyle w:val="3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2"/>
                <w:kern w:val="2"/>
                <w:sz w:val="21"/>
                <w:szCs w:val="21"/>
                <w:highlight w:val="none"/>
                <w:lang w:val="en-US" w:eastAsia="en-US" w:bidi="ar-SA"/>
              </w:rPr>
            </w:pPr>
            <w:r>
              <w:rPr>
                <w:color w:val="auto"/>
                <w:spacing w:val="-2"/>
                <w:highlight w:val="none"/>
              </w:rPr>
              <w:t>3</w:t>
            </w:r>
          </w:p>
        </w:tc>
        <w:tc>
          <w:tcPr>
            <w:tcW w:w="1624" w:type="dxa"/>
            <w:tcBorders>
              <w:tl2br w:val="nil"/>
              <w:tr2bl w:val="nil"/>
            </w:tcBorders>
            <w:noWrap w:val="0"/>
            <w:vAlign w:val="center"/>
          </w:tcPr>
          <w:p w14:paraId="5CFAF369">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drawing>
                <wp:inline distT="0" distB="0" distL="114300" distR="114300">
                  <wp:extent cx="791845" cy="756285"/>
                  <wp:effectExtent l="0" t="0" r="8255" b="5715"/>
                  <wp:docPr id="52" name="IM 478"/>
                  <wp:cNvGraphicFramePr/>
                  <a:graphic xmlns:a="http://schemas.openxmlformats.org/drawingml/2006/main">
                    <a:graphicData uri="http://schemas.openxmlformats.org/drawingml/2006/picture">
                      <pic:pic xmlns:pic="http://schemas.openxmlformats.org/drawingml/2006/picture">
                        <pic:nvPicPr>
                          <pic:cNvPr id="52" name="IM 478"/>
                          <pic:cNvPicPr/>
                        </pic:nvPicPr>
                        <pic:blipFill>
                          <a:blip r:embed="rId99"/>
                          <a:stretch>
                            <a:fillRect/>
                          </a:stretch>
                        </pic:blipFill>
                        <pic:spPr>
                          <a:xfrm>
                            <a:off x="0" y="0"/>
                            <a:ext cx="791845" cy="756285"/>
                          </a:xfrm>
                          <a:prstGeom prst="rect">
                            <a:avLst/>
                          </a:prstGeom>
                          <a:noFill/>
                          <a:ln>
                            <a:noFill/>
                          </a:ln>
                        </pic:spPr>
                      </pic:pic>
                    </a:graphicData>
                  </a:graphic>
                </wp:inline>
              </w:drawing>
            </w:r>
          </w:p>
        </w:tc>
        <w:tc>
          <w:tcPr>
            <w:tcW w:w="1730" w:type="dxa"/>
            <w:tcBorders>
              <w:tl2br w:val="nil"/>
              <w:tr2bl w:val="nil"/>
            </w:tcBorders>
            <w:noWrap w:val="0"/>
            <w:vAlign w:val="center"/>
          </w:tcPr>
          <w:p w14:paraId="4AD2DD80">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drawing>
                <wp:inline distT="0" distB="0" distL="114300" distR="114300">
                  <wp:extent cx="791845" cy="756285"/>
                  <wp:effectExtent l="0" t="0" r="8255" b="5715"/>
                  <wp:docPr id="56" name="IM 480"/>
                  <wp:cNvGraphicFramePr/>
                  <a:graphic xmlns:a="http://schemas.openxmlformats.org/drawingml/2006/main">
                    <a:graphicData uri="http://schemas.openxmlformats.org/drawingml/2006/picture">
                      <pic:pic xmlns:pic="http://schemas.openxmlformats.org/drawingml/2006/picture">
                        <pic:nvPicPr>
                          <pic:cNvPr id="56" name="IM 480"/>
                          <pic:cNvPicPr/>
                        </pic:nvPicPr>
                        <pic:blipFill>
                          <a:blip r:embed="rId100"/>
                          <a:stretch>
                            <a:fillRect/>
                          </a:stretch>
                        </pic:blipFill>
                        <pic:spPr>
                          <a:xfrm>
                            <a:off x="0" y="0"/>
                            <a:ext cx="791845" cy="756285"/>
                          </a:xfrm>
                          <a:prstGeom prst="rect">
                            <a:avLst/>
                          </a:prstGeom>
                          <a:noFill/>
                          <a:ln>
                            <a:noFill/>
                          </a:ln>
                        </pic:spPr>
                      </pic:pic>
                    </a:graphicData>
                  </a:graphic>
                </wp:inline>
              </w:drawing>
            </w:r>
          </w:p>
        </w:tc>
        <w:tc>
          <w:tcPr>
            <w:tcW w:w="1402" w:type="dxa"/>
            <w:tcBorders>
              <w:tl2br w:val="nil"/>
              <w:tr2bl w:val="nil"/>
            </w:tcBorders>
            <w:noWrap w:val="0"/>
            <w:vAlign w:val="center"/>
          </w:tcPr>
          <w:p w14:paraId="4BB3A43E">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一般固体废物</w:t>
            </w:r>
          </w:p>
        </w:tc>
        <w:tc>
          <w:tcPr>
            <w:tcW w:w="2815" w:type="dxa"/>
            <w:tcBorders>
              <w:tl2br w:val="nil"/>
              <w:tr2bl w:val="nil"/>
            </w:tcBorders>
            <w:noWrap w:val="0"/>
            <w:vAlign w:val="center"/>
          </w:tcPr>
          <w:p w14:paraId="0DBEF369">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表示一般固体废物贮存、处置场</w:t>
            </w:r>
          </w:p>
        </w:tc>
      </w:tr>
      <w:tr w14:paraId="3917DC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95" w:hRule="atLeast"/>
        </w:trPr>
        <w:tc>
          <w:tcPr>
            <w:tcW w:w="730" w:type="dxa"/>
            <w:tcBorders>
              <w:tl2br w:val="nil"/>
              <w:tr2bl w:val="nil"/>
            </w:tcBorders>
            <w:noWrap w:val="0"/>
            <w:vAlign w:val="center"/>
          </w:tcPr>
          <w:p w14:paraId="42D46B31">
            <w:pPr>
              <w:pStyle w:val="3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宋体" w:hAnsi="宋体" w:eastAsia="宋体" w:cs="宋体"/>
                <w:color w:val="auto"/>
                <w:spacing w:val="-2"/>
                <w:kern w:val="2"/>
                <w:sz w:val="21"/>
                <w:szCs w:val="21"/>
                <w:highlight w:val="none"/>
                <w:lang w:val="en-US" w:eastAsia="en-US" w:bidi="ar-SA"/>
              </w:rPr>
            </w:pPr>
            <w:r>
              <w:rPr>
                <w:color w:val="auto"/>
                <w:spacing w:val="-2"/>
                <w:highlight w:val="none"/>
              </w:rPr>
              <w:t>4</w:t>
            </w:r>
          </w:p>
        </w:tc>
        <w:tc>
          <w:tcPr>
            <w:tcW w:w="1624" w:type="dxa"/>
            <w:tcBorders>
              <w:tl2br w:val="nil"/>
              <w:tr2bl w:val="nil"/>
            </w:tcBorders>
            <w:noWrap w:val="0"/>
            <w:vAlign w:val="center"/>
          </w:tcPr>
          <w:p w14:paraId="5C98872A">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w:t>
            </w:r>
          </w:p>
        </w:tc>
        <w:tc>
          <w:tcPr>
            <w:tcW w:w="1730" w:type="dxa"/>
            <w:tcBorders>
              <w:tl2br w:val="nil"/>
              <w:tr2bl w:val="nil"/>
            </w:tcBorders>
            <w:noWrap w:val="0"/>
            <w:vAlign w:val="center"/>
          </w:tcPr>
          <w:p w14:paraId="76F3592F">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drawing>
                <wp:inline distT="0" distB="0" distL="114300" distR="114300">
                  <wp:extent cx="791845" cy="756285"/>
                  <wp:effectExtent l="0" t="0" r="8255" b="5715"/>
                  <wp:docPr id="57" name="IM 482"/>
                  <wp:cNvGraphicFramePr/>
                  <a:graphic xmlns:a="http://schemas.openxmlformats.org/drawingml/2006/main">
                    <a:graphicData uri="http://schemas.openxmlformats.org/drawingml/2006/picture">
                      <pic:pic xmlns:pic="http://schemas.openxmlformats.org/drawingml/2006/picture">
                        <pic:nvPicPr>
                          <pic:cNvPr id="57" name="IM 482"/>
                          <pic:cNvPicPr/>
                        </pic:nvPicPr>
                        <pic:blipFill>
                          <a:blip r:embed="rId101"/>
                          <a:stretch>
                            <a:fillRect/>
                          </a:stretch>
                        </pic:blipFill>
                        <pic:spPr>
                          <a:xfrm>
                            <a:off x="0" y="0"/>
                            <a:ext cx="791845" cy="756285"/>
                          </a:xfrm>
                          <a:prstGeom prst="rect">
                            <a:avLst/>
                          </a:prstGeom>
                          <a:noFill/>
                          <a:ln>
                            <a:noFill/>
                          </a:ln>
                        </pic:spPr>
                      </pic:pic>
                    </a:graphicData>
                  </a:graphic>
                </wp:inline>
              </w:drawing>
            </w:r>
          </w:p>
        </w:tc>
        <w:tc>
          <w:tcPr>
            <w:tcW w:w="1402" w:type="dxa"/>
            <w:tcBorders>
              <w:tl2br w:val="nil"/>
              <w:tr2bl w:val="nil"/>
            </w:tcBorders>
            <w:noWrap w:val="0"/>
            <w:vAlign w:val="center"/>
          </w:tcPr>
          <w:p w14:paraId="1A66F3FB">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危险废物</w:t>
            </w:r>
          </w:p>
        </w:tc>
        <w:tc>
          <w:tcPr>
            <w:tcW w:w="2815" w:type="dxa"/>
            <w:tcBorders>
              <w:tl2br w:val="nil"/>
              <w:tr2bl w:val="nil"/>
            </w:tcBorders>
            <w:noWrap w:val="0"/>
            <w:vAlign w:val="center"/>
          </w:tcPr>
          <w:p w14:paraId="4EB7EAA7">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表示危险废物贮存、处置场</w:t>
            </w:r>
          </w:p>
        </w:tc>
      </w:tr>
      <w:tr w14:paraId="639CB0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730" w:type="dxa"/>
            <w:tcBorders>
              <w:tl2br w:val="nil"/>
              <w:tr2bl w:val="nil"/>
            </w:tcBorders>
            <w:noWrap w:val="0"/>
            <w:vAlign w:val="center"/>
          </w:tcPr>
          <w:p w14:paraId="6C04B86B">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auto"/>
                <w:spacing w:val="-2"/>
                <w:highlight w:val="none"/>
                <w:lang w:val="en-US" w:eastAsia="zh-CN"/>
              </w:rPr>
            </w:pPr>
            <w:r>
              <w:rPr>
                <w:rFonts w:hint="eastAsia"/>
                <w:color w:val="auto"/>
                <w:spacing w:val="-2"/>
                <w:highlight w:val="none"/>
                <w:lang w:val="en-US" w:eastAsia="zh-CN"/>
              </w:rPr>
              <w:t>5</w:t>
            </w:r>
          </w:p>
        </w:tc>
        <w:tc>
          <w:tcPr>
            <w:tcW w:w="1624" w:type="dxa"/>
            <w:tcBorders>
              <w:tl2br w:val="nil"/>
              <w:tr2bl w:val="nil"/>
            </w:tcBorders>
            <w:noWrap w:val="0"/>
            <w:vAlign w:val="center"/>
          </w:tcPr>
          <w:p w14:paraId="716CB01B">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drawing>
                <wp:inline distT="0" distB="0" distL="114300" distR="114300">
                  <wp:extent cx="791845" cy="756285"/>
                  <wp:effectExtent l="0" t="0" r="8255" b="5715"/>
                  <wp:docPr id="58" name="IM 484"/>
                  <wp:cNvGraphicFramePr/>
                  <a:graphic xmlns:a="http://schemas.openxmlformats.org/drawingml/2006/main">
                    <a:graphicData uri="http://schemas.openxmlformats.org/drawingml/2006/picture">
                      <pic:pic xmlns:pic="http://schemas.openxmlformats.org/drawingml/2006/picture">
                        <pic:nvPicPr>
                          <pic:cNvPr id="58" name="IM 484"/>
                          <pic:cNvPicPr/>
                        </pic:nvPicPr>
                        <pic:blipFill>
                          <a:blip r:embed="rId102"/>
                          <a:stretch>
                            <a:fillRect/>
                          </a:stretch>
                        </pic:blipFill>
                        <pic:spPr>
                          <a:xfrm>
                            <a:off x="0" y="0"/>
                            <a:ext cx="791845" cy="756285"/>
                          </a:xfrm>
                          <a:prstGeom prst="rect">
                            <a:avLst/>
                          </a:prstGeom>
                          <a:noFill/>
                          <a:ln>
                            <a:noFill/>
                          </a:ln>
                        </pic:spPr>
                      </pic:pic>
                    </a:graphicData>
                  </a:graphic>
                </wp:inline>
              </w:drawing>
            </w:r>
          </w:p>
        </w:tc>
        <w:tc>
          <w:tcPr>
            <w:tcW w:w="1730" w:type="dxa"/>
            <w:tcBorders>
              <w:tl2br w:val="nil"/>
              <w:tr2bl w:val="nil"/>
            </w:tcBorders>
            <w:noWrap w:val="0"/>
            <w:vAlign w:val="center"/>
          </w:tcPr>
          <w:p w14:paraId="42EA2F38">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drawing>
                <wp:inline distT="0" distB="0" distL="114300" distR="114300">
                  <wp:extent cx="791845" cy="756285"/>
                  <wp:effectExtent l="0" t="0" r="8255" b="5715"/>
                  <wp:docPr id="59" name="IM 486"/>
                  <wp:cNvGraphicFramePr/>
                  <a:graphic xmlns:a="http://schemas.openxmlformats.org/drawingml/2006/main">
                    <a:graphicData uri="http://schemas.openxmlformats.org/drawingml/2006/picture">
                      <pic:pic xmlns:pic="http://schemas.openxmlformats.org/drawingml/2006/picture">
                        <pic:nvPicPr>
                          <pic:cNvPr id="59" name="IM 486"/>
                          <pic:cNvPicPr/>
                        </pic:nvPicPr>
                        <pic:blipFill>
                          <a:blip r:embed="rId103"/>
                          <a:stretch>
                            <a:fillRect/>
                          </a:stretch>
                        </pic:blipFill>
                        <pic:spPr>
                          <a:xfrm>
                            <a:off x="0" y="0"/>
                            <a:ext cx="791845" cy="756285"/>
                          </a:xfrm>
                          <a:prstGeom prst="rect">
                            <a:avLst/>
                          </a:prstGeom>
                          <a:noFill/>
                          <a:ln>
                            <a:noFill/>
                          </a:ln>
                        </pic:spPr>
                      </pic:pic>
                    </a:graphicData>
                  </a:graphic>
                </wp:inline>
              </w:drawing>
            </w:r>
          </w:p>
        </w:tc>
        <w:tc>
          <w:tcPr>
            <w:tcW w:w="1402" w:type="dxa"/>
            <w:tcBorders>
              <w:tl2br w:val="nil"/>
              <w:tr2bl w:val="nil"/>
            </w:tcBorders>
            <w:noWrap w:val="0"/>
            <w:vAlign w:val="center"/>
          </w:tcPr>
          <w:p w14:paraId="224D68ED">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噪声排放源</w:t>
            </w:r>
          </w:p>
        </w:tc>
        <w:tc>
          <w:tcPr>
            <w:tcW w:w="2815" w:type="dxa"/>
            <w:tcBorders>
              <w:tl2br w:val="nil"/>
              <w:tr2bl w:val="nil"/>
            </w:tcBorders>
            <w:noWrap w:val="0"/>
            <w:vAlign w:val="center"/>
          </w:tcPr>
          <w:p w14:paraId="14D91DF4">
            <w:pPr>
              <w:pStyle w:val="318"/>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auto"/>
                <w:spacing w:val="-2"/>
                <w:highlight w:val="none"/>
              </w:rPr>
            </w:pPr>
            <w:r>
              <w:rPr>
                <w:color w:val="auto"/>
                <w:spacing w:val="-2"/>
                <w:highlight w:val="none"/>
              </w:rPr>
              <w:t>表示噪声向外环境排放</w:t>
            </w:r>
          </w:p>
        </w:tc>
      </w:tr>
    </w:tbl>
    <w:p w14:paraId="0D38A56B">
      <w:pPr>
        <w:pStyle w:val="4"/>
        <w:spacing w:before="120" w:after="120"/>
        <w:rPr>
          <w:rFonts w:hint="eastAsia" w:cs="Times New Roman"/>
          <w:color w:val="auto"/>
          <w:highlight w:val="none"/>
        </w:rPr>
      </w:pPr>
      <w:bookmarkStart w:id="272" w:name="bookmark349"/>
      <w:bookmarkEnd w:id="272"/>
      <w:bookmarkStart w:id="273" w:name="bookmark350"/>
      <w:bookmarkEnd w:id="273"/>
      <w:bookmarkStart w:id="274" w:name="_Toc29058"/>
      <w:r>
        <w:rPr>
          <w:rFonts w:hint="eastAsia" w:cs="Times New Roman"/>
          <w:color w:val="auto"/>
          <w:highlight w:val="none"/>
        </w:rPr>
        <w:t>总量控制与排污许可衔接</w:t>
      </w:r>
      <w:bookmarkEnd w:id="274"/>
    </w:p>
    <w:p w14:paraId="4B65E4E3">
      <w:pPr>
        <w:pStyle w:val="5"/>
        <w:rPr>
          <w:rFonts w:hint="eastAsia" w:cs="Times New Roman"/>
          <w:color w:val="auto"/>
          <w:highlight w:val="none"/>
        </w:rPr>
      </w:pPr>
      <w:r>
        <w:rPr>
          <w:rFonts w:hint="eastAsia" w:cs="Times New Roman"/>
          <w:color w:val="auto"/>
          <w:highlight w:val="none"/>
        </w:rPr>
        <w:t>总量控制分析</w:t>
      </w:r>
    </w:p>
    <w:p w14:paraId="5895E4EE">
      <w:pPr>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（1）大气污染物</w:t>
      </w:r>
    </w:p>
    <w:p w14:paraId="30C19DB5">
      <w:pPr>
        <w:keepNext w:val="0"/>
        <w:keepLines w:val="0"/>
        <w:widowControl/>
        <w:suppressLineNumbers w:val="0"/>
        <w:jc w:val="left"/>
        <w:rPr>
          <w:color w:val="auto"/>
          <w:highlight w:val="none"/>
        </w:rPr>
      </w:pPr>
      <w:r>
        <w:rPr>
          <w:rFonts w:hint="eastAsia" w:ascii="Times New Roman" w:hAnsi="Times New Roman" w:cs="Times New Roman"/>
          <w:color w:val="auto"/>
          <w:highlight w:val="none"/>
          <w:lang w:val="en-US" w:eastAsia="zh-CN"/>
        </w:rPr>
        <w:t>根据本项目污染源特征，</w:t>
      </w:r>
      <w:r>
        <w:rPr>
          <w:rFonts w:hint="eastAsia" w:ascii="Times New Roman" w:hAnsi="Times New Roman" w:cs="Times New Roman"/>
          <w:color w:val="auto"/>
          <w:highlight w:val="none"/>
        </w:rPr>
        <w:t>本项目大气污染物主要为粉尘</w:t>
      </w:r>
      <w:r>
        <w:rPr>
          <w:rFonts w:hint="eastAsia" w:ascii="Times New Roman" w:hAnsi="Times New Roman" w:cs="Times New Roman"/>
          <w:color w:val="auto"/>
          <w:highlight w:val="none"/>
          <w:lang w:val="en-US" w:eastAsia="zh-CN"/>
        </w:rPr>
        <w:t>颗粒物</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故本项目</w:t>
      </w:r>
      <w:r>
        <w:rPr>
          <w:rFonts w:ascii="瀹嬩綋" w:hAnsi="瀹嬩綋" w:eastAsia="瀹嬩綋" w:cs="瀹嬩綋"/>
          <w:color w:val="auto"/>
          <w:kern w:val="0"/>
          <w:sz w:val="24"/>
          <w:szCs w:val="24"/>
          <w:highlight w:val="none"/>
          <w:lang w:val="en-US" w:eastAsia="zh-CN" w:bidi="ar"/>
        </w:rPr>
        <w:t>不涉及大气污染物总量</w:t>
      </w:r>
      <w:r>
        <w:rPr>
          <w:rFonts w:hint="default" w:ascii="瀹嬩綋" w:hAnsi="瀹嬩綋" w:eastAsia="瀹嬩綋" w:cs="瀹嬩綋"/>
          <w:color w:val="auto"/>
          <w:kern w:val="0"/>
          <w:sz w:val="24"/>
          <w:szCs w:val="24"/>
          <w:highlight w:val="none"/>
          <w:lang w:val="en-US" w:eastAsia="zh-CN" w:bidi="ar"/>
        </w:rPr>
        <w:t>控制指标</w:t>
      </w:r>
      <w:r>
        <w:rPr>
          <w:rFonts w:hint="default" w:ascii="Times New Roman" w:hAnsi="Times New Roman" w:eastAsia="宋体" w:cs="Times New Roman"/>
          <w:color w:val="auto"/>
          <w:kern w:val="0"/>
          <w:sz w:val="24"/>
          <w:szCs w:val="24"/>
          <w:highlight w:val="none"/>
          <w:lang w:val="en-US" w:eastAsia="zh-CN" w:bidi="ar"/>
        </w:rPr>
        <w:t>SO</w:t>
      </w:r>
      <w:r>
        <w:rPr>
          <w:rFonts w:hint="default" w:ascii="Times New Roman" w:hAnsi="Times New Roman" w:eastAsia="宋体" w:cs="Times New Roman"/>
          <w:color w:val="auto"/>
          <w:kern w:val="0"/>
          <w:sz w:val="16"/>
          <w:szCs w:val="16"/>
          <w:highlight w:val="none"/>
          <w:lang w:val="en-US" w:eastAsia="zh-CN" w:bidi="ar"/>
        </w:rPr>
        <w:t>2</w:t>
      </w:r>
      <w:r>
        <w:rPr>
          <w:rFonts w:hint="eastAsia" w:ascii="Times New Roman" w:hAnsi="Times New Roman" w:eastAsia="宋体" w:cs="Times New Roman"/>
          <w:color w:val="auto"/>
          <w:kern w:val="0"/>
          <w:sz w:val="24"/>
          <w:szCs w:val="24"/>
          <w:highlight w:val="none"/>
          <w:vertAlign w:val="baseline"/>
          <w:lang w:val="en-US" w:eastAsia="zh-CN" w:bidi="ar"/>
        </w:rPr>
        <w:t>和</w:t>
      </w:r>
      <w:r>
        <w:rPr>
          <w:rFonts w:hint="default" w:ascii="Times New Roman" w:hAnsi="Times New Roman" w:eastAsia="宋体" w:cs="Times New Roman"/>
          <w:color w:val="auto"/>
          <w:kern w:val="0"/>
          <w:sz w:val="24"/>
          <w:szCs w:val="24"/>
          <w:highlight w:val="none"/>
          <w:lang w:val="en-US" w:eastAsia="zh-CN" w:bidi="ar"/>
        </w:rPr>
        <w:t>NOx</w:t>
      </w:r>
      <w:r>
        <w:rPr>
          <w:rFonts w:hint="default" w:ascii="瀹嬩綋" w:hAnsi="瀹嬩綋" w:eastAsia="瀹嬩綋" w:cs="瀹嬩綋"/>
          <w:color w:val="auto"/>
          <w:kern w:val="0"/>
          <w:sz w:val="24"/>
          <w:szCs w:val="24"/>
          <w:highlight w:val="none"/>
          <w:lang w:val="en-US" w:eastAsia="zh-CN" w:bidi="ar"/>
        </w:rPr>
        <w:t>排放。</w:t>
      </w:r>
    </w:p>
    <w:p w14:paraId="74417D36">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水污染物</w:t>
      </w:r>
    </w:p>
    <w:p w14:paraId="50C9821C">
      <w:pPr>
        <w:keepNext w:val="0"/>
        <w:keepLines w:val="0"/>
        <w:widowControl/>
        <w:suppressLineNumbers w:val="0"/>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本项目选矿废水经澄清沉淀后全部循环利用，不外排；生活污水经依托盟东水泥厂办公区现有化粪池收集处理，再定期拉运至诺尔镇污水处理厂处理。因此，本项目新增水污染COD和</w:t>
      </w:r>
      <w:r>
        <w:rPr>
          <w:rFonts w:hint="default" w:ascii="Times New Roman" w:hAnsi="Times New Roman" w:eastAsia="宋体" w:cs="Times New Roman"/>
          <w:color w:val="auto"/>
          <w:szCs w:val="22"/>
          <w:highlight w:val="none"/>
        </w:rPr>
        <w:t>NH</w:t>
      </w:r>
      <w:r>
        <w:rPr>
          <w:rFonts w:hint="default" w:ascii="Times New Roman" w:hAnsi="Times New Roman" w:eastAsia="宋体" w:cs="Times New Roman"/>
          <w:color w:val="auto"/>
          <w:szCs w:val="22"/>
          <w:highlight w:val="none"/>
          <w:vertAlign w:val="subscript"/>
        </w:rPr>
        <w:t>3</w:t>
      </w:r>
      <w:r>
        <w:rPr>
          <w:rFonts w:hint="default" w:ascii="Times New Roman" w:hAnsi="Times New Roman" w:eastAsia="宋体" w:cs="Times New Roman"/>
          <w:color w:val="auto"/>
          <w:szCs w:val="22"/>
          <w:highlight w:val="none"/>
        </w:rPr>
        <w:t>-N</w:t>
      </w:r>
      <w:r>
        <w:rPr>
          <w:rFonts w:hint="eastAsia" w:ascii="Times New Roman" w:hAnsi="Times New Roman" w:eastAsia="宋体" w:cs="Times New Roman"/>
          <w:color w:val="auto"/>
          <w:szCs w:val="22"/>
          <w:highlight w:val="none"/>
          <w:lang w:val="en-US" w:eastAsia="zh-CN"/>
        </w:rPr>
        <w:t>排放总量纳入</w:t>
      </w:r>
      <w:r>
        <w:rPr>
          <w:rFonts w:hint="eastAsia" w:ascii="Times New Roman" w:hAnsi="Times New Roman" w:cs="Times New Roman"/>
          <w:color w:val="auto"/>
          <w:highlight w:val="none"/>
          <w:lang w:val="en-US" w:eastAsia="zh-CN"/>
        </w:rPr>
        <w:t>诺尔镇污水处理厂排放总量，本项目无需重新申请总量。</w:t>
      </w:r>
    </w:p>
    <w:p w14:paraId="56180AE4">
      <w:pPr>
        <w:pStyle w:val="5"/>
        <w:rPr>
          <w:rFonts w:hint="eastAsia" w:cs="Times New Roman"/>
          <w:color w:val="auto"/>
          <w:highlight w:val="none"/>
        </w:rPr>
      </w:pPr>
      <w:r>
        <w:rPr>
          <w:rFonts w:hint="eastAsia" w:cs="Times New Roman"/>
          <w:color w:val="auto"/>
          <w:highlight w:val="none"/>
          <w:lang w:val="en-US" w:eastAsia="zh-CN"/>
        </w:rPr>
        <w:t>排污许可衔接</w:t>
      </w:r>
    </w:p>
    <w:p w14:paraId="57D5EDD6">
      <w:pPr>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根据生态环境部2022年04月01日发布的《关于印发.&lt;“十四五”环境影响评价与排污许可工作实施方案&gt;的通知》(环环评〔2022〕26号)中关于环评审批与排污许可相衔接的要求：“坚持制度衔接、形成合力，构建生态环境分区管控、规划环评、项目环评、排污许可有效联动体系，强化与执法、督察等制度的相互支撑”。</w:t>
      </w:r>
    </w:p>
    <w:p w14:paraId="0D0FA771">
      <w:pPr>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lang w:eastAsia="zh-CN"/>
        </w:rPr>
        <w:t>）排污许可证申请与核发技术规范相关要求</w:t>
      </w:r>
    </w:p>
    <w:p w14:paraId="6131573D">
      <w:pPr>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根据《固定污染源排污许可分类管理名录（2019年版）》本项目属于“六、非色金属矿采选业10是面积其他非金属矿采选109，涉及通用工序其他”，属于登记管理。</w:t>
      </w:r>
    </w:p>
    <w:p w14:paraId="30A1972A">
      <w:pPr>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 xml:space="preserve">建设单位应当在投入生产或使用并产生实际排污行为之前，根据《排污许可证申请与核发技术规范 </w:t>
      </w:r>
      <w:r>
        <w:rPr>
          <w:rFonts w:hint="eastAsia" w:ascii="Times New Roman" w:hAnsi="Times New Roman" w:cs="Times New Roman"/>
          <w:color w:val="auto"/>
          <w:highlight w:val="none"/>
          <w:lang w:val="en-US" w:eastAsia="zh-CN"/>
        </w:rPr>
        <w:t>总则</w:t>
      </w:r>
      <w:r>
        <w:rPr>
          <w:rFonts w:hint="eastAsia" w:ascii="Times New Roman" w:hAnsi="Times New Roman" w:cs="Times New Roman"/>
          <w:color w:val="auto"/>
          <w:highlight w:val="none"/>
          <w:lang w:eastAsia="zh-CN"/>
        </w:rPr>
        <w:t>》（HJ</w:t>
      </w:r>
      <w:r>
        <w:rPr>
          <w:rFonts w:hint="eastAsia" w:ascii="Times New Roman" w:hAnsi="Times New Roman" w:cs="Times New Roman"/>
          <w:color w:val="auto"/>
          <w:highlight w:val="none"/>
          <w:lang w:val="en-US" w:eastAsia="zh-CN"/>
        </w:rPr>
        <w:t>942</w:t>
      </w:r>
      <w:r>
        <w:rPr>
          <w:rFonts w:hint="eastAsia" w:ascii="Times New Roman" w:hAnsi="Times New Roman" w:cs="Times New Roman"/>
          <w:color w:val="auto"/>
          <w:highlight w:val="none"/>
          <w:lang w:eastAsia="zh-CN"/>
        </w:rPr>
        <w:t>-2018）要求，实行登记管理的排污单位，不需要申请取得排污许可证，在全国排污许可证管理信息平台填报排污登记表，登记基本信息、污染物排放去向、执行的污染物排放标准以及采取的污染防治措施等信息。</w:t>
      </w:r>
    </w:p>
    <w:p w14:paraId="606B3DCE">
      <w:pPr>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（2）项目总量许可情况</w:t>
      </w:r>
    </w:p>
    <w:p w14:paraId="4BCCAFE1">
      <w:pPr>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 xml:space="preserve">根据《排污许可证申请与核发技术规范 </w:t>
      </w:r>
      <w:r>
        <w:rPr>
          <w:rFonts w:hint="eastAsia" w:ascii="Times New Roman" w:hAnsi="Times New Roman" w:cs="Times New Roman"/>
          <w:color w:val="auto"/>
          <w:highlight w:val="none"/>
          <w:lang w:val="en-US" w:eastAsia="zh-CN"/>
        </w:rPr>
        <w:t>总则</w:t>
      </w:r>
      <w:r>
        <w:rPr>
          <w:rFonts w:hint="eastAsia" w:ascii="Times New Roman" w:hAnsi="Times New Roman" w:cs="Times New Roman"/>
          <w:color w:val="auto"/>
          <w:highlight w:val="none"/>
          <w:lang w:eastAsia="zh-CN"/>
        </w:rPr>
        <w:t>》（HJ</w:t>
      </w:r>
      <w:r>
        <w:rPr>
          <w:rFonts w:hint="eastAsia" w:ascii="Times New Roman" w:hAnsi="Times New Roman" w:cs="Times New Roman"/>
          <w:color w:val="auto"/>
          <w:highlight w:val="none"/>
          <w:lang w:val="en-US" w:eastAsia="zh-CN"/>
        </w:rPr>
        <w:t>942</w:t>
      </w:r>
      <w:r>
        <w:rPr>
          <w:rFonts w:hint="eastAsia" w:ascii="Times New Roman" w:hAnsi="Times New Roman" w:cs="Times New Roman"/>
          <w:color w:val="auto"/>
          <w:highlight w:val="none"/>
          <w:lang w:eastAsia="zh-CN"/>
        </w:rPr>
        <w:t>-2018）中4.5.2.4排放口类型规定：“</w:t>
      </w:r>
      <w:r>
        <w:rPr>
          <w:rFonts w:hint="eastAsia" w:ascii="Times New Roman" w:hAnsi="Times New Roman" w:cs="Times New Roman"/>
          <w:color w:val="auto"/>
          <w:highlight w:val="none"/>
          <w:lang w:val="en-US" w:eastAsia="zh-CN"/>
        </w:rPr>
        <w:t>主体工程-其他</w:t>
      </w:r>
      <w:r>
        <w:rPr>
          <w:rFonts w:hint="eastAsia" w:ascii="Times New Roman" w:hAnsi="Times New Roman" w:cs="Times New Roman"/>
          <w:color w:val="auto"/>
          <w:highlight w:val="none"/>
          <w:lang w:eastAsia="zh-CN"/>
        </w:rPr>
        <w:t>”有组织排放口为一般排放口。</w:t>
      </w:r>
    </w:p>
    <w:p w14:paraId="4C4E08A5">
      <w:pPr>
        <w:ind w:firstLine="480"/>
        <w:rPr>
          <w:color w:val="auto"/>
          <w:highlight w:val="none"/>
        </w:rPr>
      </w:pPr>
      <w:r>
        <w:rPr>
          <w:rFonts w:hint="eastAsia" w:ascii="Times New Roman" w:hAnsi="Times New Roman" w:cs="Times New Roman"/>
          <w:color w:val="auto"/>
          <w:highlight w:val="none"/>
          <w:lang w:eastAsia="zh-CN"/>
        </w:rPr>
        <w:t>因此，本项目废气排放口不需要许可排放量。</w:t>
      </w:r>
    </w:p>
    <w:p w14:paraId="2FF69685">
      <w:pPr>
        <w:pStyle w:val="4"/>
        <w:spacing w:before="120" w:after="120"/>
        <w:rPr>
          <w:rFonts w:hint="eastAsia"/>
          <w:color w:val="auto"/>
          <w:highlight w:val="none"/>
        </w:rPr>
      </w:pPr>
      <w:bookmarkStart w:id="275" w:name="_Toc16667"/>
      <w:r>
        <w:rPr>
          <w:rFonts w:hint="eastAsia"/>
          <w:color w:val="auto"/>
          <w:highlight w:val="none"/>
        </w:rPr>
        <w:t>项目“三同时”环保竣工验收</w:t>
      </w:r>
      <w:bookmarkEnd w:id="275"/>
    </w:p>
    <w:p w14:paraId="22AD8CE0">
      <w:pPr>
        <w:autoSpaceDE w:val="0"/>
        <w:autoSpaceDN w:val="0"/>
        <w:adjustRightInd w:val="0"/>
        <w:snapToGrid w:val="0"/>
        <w:spacing w:line="480" w:lineRule="exact"/>
        <w:ind w:firstLine="480" w:firstLineChars="200"/>
        <w:rPr>
          <w:rFonts w:hint="eastAsia"/>
          <w:color w:val="auto"/>
          <w:sz w:val="24"/>
          <w:szCs w:val="24"/>
          <w:highlight w:val="none"/>
          <w:lang w:val="en-US" w:eastAsia="zh-CN"/>
        </w:rPr>
        <w:sectPr>
          <w:pgSz w:w="11907" w:h="16839"/>
          <w:pgMar w:top="1440" w:right="1803" w:bottom="1440" w:left="1803" w:header="863" w:footer="1009" w:gutter="0"/>
          <w:pgBorders>
            <w:top w:val="none" w:sz="0" w:space="0"/>
            <w:left w:val="none" w:sz="0" w:space="0"/>
            <w:bottom w:val="none" w:sz="0" w:space="0"/>
            <w:right w:val="none" w:sz="0" w:space="0"/>
          </w:pgBorders>
          <w:pgNumType w:fmt="decimal"/>
          <w:cols w:space="720" w:num="1"/>
        </w:sectPr>
      </w:pPr>
      <w:r>
        <w:rPr>
          <w:rFonts w:hint="eastAsia"/>
          <w:color w:val="auto"/>
          <w:sz w:val="24"/>
          <w:szCs w:val="24"/>
          <w:highlight w:val="none"/>
          <w:lang w:val="en-US" w:eastAsia="zh-CN"/>
        </w:rPr>
        <w:t>本项目“三同时”环保竣工验收情况详见下表9.5-1。</w:t>
      </w:r>
    </w:p>
    <w:p w14:paraId="0E4A5978">
      <w:pPr>
        <w:pStyle w:val="199"/>
        <w:keepNext w:val="0"/>
        <w:keepLines w:val="0"/>
        <w:pageBreakBefore w:val="0"/>
        <w:widowControl w:val="0"/>
        <w:kinsoku/>
        <w:wordWrap/>
        <w:overflowPunct/>
        <w:topLinePunct w:val="0"/>
        <w:autoSpaceDE/>
        <w:autoSpaceDN/>
        <w:bidi w:val="0"/>
        <w:adjustRightInd/>
        <w:snapToGrid/>
        <w:spacing w:beforeLines="0"/>
        <w:ind w:firstLine="0"/>
        <w:textAlignment w:val="auto"/>
        <w:rPr>
          <w:rFonts w:hint="eastAsia"/>
          <w:color w:val="auto"/>
          <w:sz w:val="24"/>
          <w:highlight w:val="none"/>
        </w:rPr>
      </w:pPr>
      <w:r>
        <w:rPr>
          <w:rFonts w:hint="eastAsia"/>
          <w:color w:val="auto"/>
          <w:sz w:val="24"/>
          <w:highlight w:val="none"/>
        </w:rPr>
        <w:t>表9.</w:t>
      </w:r>
      <w:r>
        <w:rPr>
          <w:rFonts w:hint="eastAsia"/>
          <w:color w:val="auto"/>
          <w:sz w:val="24"/>
          <w:highlight w:val="none"/>
          <w:lang w:val="en-US" w:eastAsia="zh-CN"/>
        </w:rPr>
        <w:t>5</w:t>
      </w:r>
      <w:r>
        <w:rPr>
          <w:rFonts w:hint="eastAsia"/>
          <w:color w:val="auto"/>
          <w:sz w:val="24"/>
          <w:highlight w:val="none"/>
        </w:rPr>
        <w:t xml:space="preserve">-1 </w:t>
      </w:r>
      <w:r>
        <w:rPr>
          <w:rFonts w:hint="eastAsia"/>
          <w:color w:val="auto"/>
          <w:sz w:val="24"/>
          <w:highlight w:val="none"/>
          <w:lang w:val="en-US" w:eastAsia="zh-CN"/>
        </w:rPr>
        <w:t xml:space="preserve">   </w:t>
      </w:r>
      <w:r>
        <w:rPr>
          <w:rFonts w:hint="eastAsia"/>
          <w:color w:val="auto"/>
          <w:sz w:val="24"/>
          <w:highlight w:val="none"/>
        </w:rPr>
        <w:t>本项目“三同时”竣工验收一览表</w:t>
      </w:r>
    </w:p>
    <w:tbl>
      <w:tblPr>
        <w:tblStyle w:val="41"/>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790"/>
        <w:gridCol w:w="1542"/>
        <w:gridCol w:w="1260"/>
        <w:gridCol w:w="5069"/>
        <w:gridCol w:w="2806"/>
        <w:gridCol w:w="1085"/>
      </w:tblGrid>
      <w:tr w14:paraId="3D753EF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tcBorders>
              <w:top w:val="single" w:color="auto" w:sz="12" w:space="0"/>
              <w:left w:val="nil"/>
              <w:bottom w:val="single" w:color="auto" w:sz="4" w:space="0"/>
              <w:right w:val="single" w:color="auto" w:sz="4" w:space="0"/>
            </w:tcBorders>
            <w:noWrap w:val="0"/>
            <w:vAlign w:val="center"/>
          </w:tcPr>
          <w:p w14:paraId="7CF19F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类别</w:t>
            </w:r>
          </w:p>
        </w:tc>
        <w:tc>
          <w:tcPr>
            <w:tcW w:w="1790" w:type="dxa"/>
            <w:tcBorders>
              <w:top w:val="single" w:color="auto" w:sz="12" w:space="0"/>
              <w:left w:val="single" w:color="auto" w:sz="4" w:space="0"/>
              <w:bottom w:val="single" w:color="auto" w:sz="4" w:space="0"/>
              <w:right w:val="single" w:color="auto" w:sz="4" w:space="0"/>
            </w:tcBorders>
            <w:noWrap w:val="0"/>
            <w:vAlign w:val="center"/>
          </w:tcPr>
          <w:p w14:paraId="5A8AAF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污染源</w:t>
            </w:r>
          </w:p>
        </w:tc>
        <w:tc>
          <w:tcPr>
            <w:tcW w:w="1542" w:type="dxa"/>
            <w:tcBorders>
              <w:top w:val="single" w:color="auto" w:sz="12" w:space="0"/>
              <w:left w:val="single" w:color="auto" w:sz="4" w:space="0"/>
              <w:bottom w:val="single" w:color="auto" w:sz="4" w:space="0"/>
              <w:right w:val="single" w:color="auto" w:sz="4" w:space="0"/>
            </w:tcBorders>
            <w:noWrap w:val="0"/>
            <w:vAlign w:val="center"/>
          </w:tcPr>
          <w:p w14:paraId="0A82E6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排放形式</w:t>
            </w:r>
          </w:p>
        </w:tc>
        <w:tc>
          <w:tcPr>
            <w:tcW w:w="1260" w:type="dxa"/>
            <w:tcBorders>
              <w:top w:val="single" w:color="auto" w:sz="12" w:space="0"/>
              <w:left w:val="single" w:color="auto" w:sz="4" w:space="0"/>
              <w:bottom w:val="single" w:color="auto" w:sz="4" w:space="0"/>
              <w:right w:val="single" w:color="auto" w:sz="4" w:space="0"/>
            </w:tcBorders>
            <w:noWrap w:val="0"/>
            <w:vAlign w:val="center"/>
          </w:tcPr>
          <w:p w14:paraId="660BA9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污染物</w:t>
            </w:r>
          </w:p>
        </w:tc>
        <w:tc>
          <w:tcPr>
            <w:tcW w:w="5069" w:type="dxa"/>
            <w:tcBorders>
              <w:top w:val="single" w:color="auto" w:sz="12" w:space="0"/>
              <w:left w:val="single" w:color="auto" w:sz="4" w:space="0"/>
              <w:bottom w:val="single" w:color="auto" w:sz="4" w:space="0"/>
              <w:right w:val="single" w:color="auto" w:sz="4" w:space="0"/>
            </w:tcBorders>
            <w:noWrap w:val="0"/>
            <w:vAlign w:val="center"/>
          </w:tcPr>
          <w:p w14:paraId="669222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zh-CN"/>
              </w:rPr>
              <w:t>治理措施</w:t>
            </w:r>
            <w:r>
              <w:rPr>
                <w:rFonts w:hint="eastAsia"/>
                <w:color w:val="auto"/>
                <w:sz w:val="21"/>
                <w:szCs w:val="21"/>
                <w:highlight w:val="none"/>
                <w:lang w:val="en-US" w:eastAsia="zh-CN"/>
              </w:rPr>
              <w:t>及效率</w:t>
            </w:r>
          </w:p>
        </w:tc>
        <w:tc>
          <w:tcPr>
            <w:tcW w:w="2806" w:type="dxa"/>
            <w:tcBorders>
              <w:top w:val="single" w:color="auto" w:sz="12" w:space="0"/>
              <w:left w:val="single" w:color="auto" w:sz="4" w:space="0"/>
              <w:bottom w:val="single" w:color="auto" w:sz="4" w:space="0"/>
              <w:right w:val="single" w:color="auto" w:sz="4" w:space="0"/>
            </w:tcBorders>
            <w:noWrap w:val="0"/>
            <w:vAlign w:val="center"/>
          </w:tcPr>
          <w:p w14:paraId="50E3F3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验收标准</w:t>
            </w:r>
          </w:p>
        </w:tc>
        <w:tc>
          <w:tcPr>
            <w:tcW w:w="1085" w:type="dxa"/>
            <w:tcBorders>
              <w:top w:val="single" w:color="auto" w:sz="12" w:space="0"/>
              <w:left w:val="single" w:color="auto" w:sz="4" w:space="0"/>
              <w:bottom w:val="single" w:color="auto" w:sz="4" w:space="0"/>
              <w:right w:val="nil"/>
            </w:tcBorders>
            <w:noWrap w:val="0"/>
            <w:vAlign w:val="center"/>
          </w:tcPr>
          <w:p w14:paraId="036517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备注</w:t>
            </w:r>
          </w:p>
        </w:tc>
      </w:tr>
      <w:tr w14:paraId="11D7D3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restart"/>
            <w:tcBorders>
              <w:top w:val="single" w:color="auto" w:sz="4" w:space="0"/>
              <w:left w:val="nil"/>
              <w:right w:val="single" w:color="auto" w:sz="4" w:space="0"/>
            </w:tcBorders>
            <w:noWrap w:val="0"/>
            <w:vAlign w:val="center"/>
          </w:tcPr>
          <w:p w14:paraId="4A1A14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zh-CN" w:eastAsia="zh-CN"/>
              </w:rPr>
            </w:pPr>
            <w:r>
              <w:rPr>
                <w:rFonts w:hint="eastAsia"/>
                <w:color w:val="auto"/>
                <w:sz w:val="21"/>
                <w:szCs w:val="21"/>
                <w:highlight w:val="none"/>
                <w:lang w:val="en-US" w:eastAsia="zh-CN"/>
              </w:rPr>
              <w:t>废气</w:t>
            </w:r>
          </w:p>
        </w:tc>
        <w:tc>
          <w:tcPr>
            <w:tcW w:w="1790" w:type="dxa"/>
            <w:tcBorders>
              <w:top w:val="single" w:color="auto" w:sz="4" w:space="0"/>
              <w:left w:val="single" w:color="auto" w:sz="4" w:space="0"/>
              <w:bottom w:val="single" w:color="auto" w:sz="4" w:space="0"/>
              <w:right w:val="single" w:color="auto" w:sz="4" w:space="0"/>
            </w:tcBorders>
            <w:noWrap w:val="0"/>
            <w:vAlign w:val="center"/>
          </w:tcPr>
          <w:p w14:paraId="3C880F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zh-CN" w:eastAsia="zh-CN"/>
              </w:rPr>
            </w:pPr>
            <w:r>
              <w:rPr>
                <w:rFonts w:hint="eastAsia"/>
                <w:color w:val="auto"/>
                <w:sz w:val="21"/>
                <w:szCs w:val="21"/>
                <w:highlight w:val="none"/>
                <w:lang w:val="en-US" w:eastAsia="zh-CN"/>
              </w:rPr>
              <w:t>运输道路</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73885A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无组织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1CA8C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颗粒物</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0B7414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s="Times New Roman"/>
                <w:color w:val="auto"/>
                <w:sz w:val="21"/>
                <w:szCs w:val="21"/>
                <w:highlight w:val="none"/>
                <w:lang w:val="en-US" w:eastAsia="zh-CN"/>
              </w:rPr>
              <w:t>运输</w:t>
            </w:r>
            <w:r>
              <w:rPr>
                <w:rFonts w:hint="eastAsia" w:ascii="Times New Roman" w:hAnsi="Times New Roman" w:cs="Times New Roman"/>
                <w:color w:val="auto"/>
                <w:sz w:val="21"/>
                <w:szCs w:val="21"/>
                <w:highlight w:val="none"/>
                <w:lang w:val="en-US" w:eastAsia="zh-CN"/>
              </w:rPr>
              <w:t>道路</w:t>
            </w:r>
            <w:r>
              <w:rPr>
                <w:rFonts w:hint="eastAsia" w:cs="Times New Roman"/>
                <w:color w:val="auto"/>
                <w:sz w:val="21"/>
                <w:szCs w:val="21"/>
                <w:highlight w:val="none"/>
                <w:lang w:val="en-US" w:eastAsia="zh-CN"/>
              </w:rPr>
              <w:t>进行</w:t>
            </w:r>
            <w:r>
              <w:rPr>
                <w:rFonts w:hint="eastAsia" w:ascii="Times New Roman" w:hAnsi="Times New Roman" w:cs="Times New Roman"/>
                <w:color w:val="auto"/>
                <w:sz w:val="21"/>
                <w:szCs w:val="21"/>
                <w:highlight w:val="none"/>
                <w:lang w:val="en-US" w:eastAsia="zh-CN"/>
              </w:rPr>
              <w:t>硬化</w:t>
            </w:r>
            <w:r>
              <w:rPr>
                <w:rFonts w:hint="eastAsia" w:cs="Times New Roman"/>
                <w:color w:val="auto"/>
                <w:sz w:val="21"/>
                <w:szCs w:val="21"/>
                <w:highlight w:val="none"/>
                <w:lang w:val="en-US" w:eastAsia="zh-CN"/>
              </w:rPr>
              <w:t>，采取</w:t>
            </w:r>
            <w:r>
              <w:rPr>
                <w:rFonts w:hint="eastAsia" w:ascii="Times New Roman" w:hAnsi="Times New Roman" w:cs="Times New Roman"/>
                <w:color w:val="auto"/>
                <w:sz w:val="21"/>
                <w:szCs w:val="21"/>
                <w:highlight w:val="none"/>
                <w:lang w:val="en-US" w:eastAsia="zh-CN"/>
              </w:rPr>
              <w:t>洒水抑</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车辆加盖苫布</w:t>
            </w:r>
            <w:r>
              <w:rPr>
                <w:rFonts w:hint="eastAsia" w:cs="Times New Roman"/>
                <w:color w:val="auto"/>
                <w:sz w:val="21"/>
                <w:szCs w:val="21"/>
                <w:highlight w:val="none"/>
                <w:lang w:val="en-US" w:eastAsia="zh-CN"/>
              </w:rPr>
              <w:t>措施</w:t>
            </w:r>
            <w:r>
              <w:rPr>
                <w:rFonts w:hint="eastAsia"/>
                <w:color w:val="auto"/>
                <w:sz w:val="21"/>
                <w:szCs w:val="21"/>
                <w:highlight w:val="none"/>
                <w:lang w:val="zh-CN"/>
              </w:rPr>
              <w:t>。</w:t>
            </w:r>
          </w:p>
        </w:tc>
        <w:tc>
          <w:tcPr>
            <w:tcW w:w="2806" w:type="dxa"/>
            <w:vMerge w:val="restart"/>
            <w:tcBorders>
              <w:top w:val="single" w:color="auto" w:sz="4" w:space="0"/>
              <w:left w:val="single" w:color="auto" w:sz="4" w:space="0"/>
              <w:bottom w:val="single" w:color="auto" w:sz="4" w:space="0"/>
              <w:right w:val="single" w:color="auto" w:sz="4" w:space="0"/>
            </w:tcBorders>
            <w:noWrap w:val="0"/>
            <w:vAlign w:val="center"/>
          </w:tcPr>
          <w:p w14:paraId="308944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粉尘排放执行《大气污染物综合排放标准》（</w:t>
            </w:r>
            <w:r>
              <w:rPr>
                <w:color w:val="auto"/>
                <w:sz w:val="21"/>
                <w:szCs w:val="21"/>
                <w:highlight w:val="none"/>
                <w:lang w:val="zh-CN"/>
              </w:rPr>
              <w:t>GB16297-1996</w:t>
            </w:r>
            <w:r>
              <w:rPr>
                <w:rFonts w:hint="eastAsia"/>
                <w:color w:val="auto"/>
                <w:sz w:val="21"/>
                <w:szCs w:val="21"/>
                <w:highlight w:val="none"/>
                <w:lang w:val="zh-CN"/>
              </w:rPr>
              <w:t>）表</w:t>
            </w:r>
            <w:r>
              <w:rPr>
                <w:color w:val="auto"/>
                <w:sz w:val="21"/>
                <w:szCs w:val="21"/>
                <w:highlight w:val="none"/>
                <w:lang w:val="zh-CN"/>
              </w:rPr>
              <w:t>2</w:t>
            </w:r>
            <w:r>
              <w:rPr>
                <w:rFonts w:hint="eastAsia"/>
                <w:color w:val="auto"/>
                <w:sz w:val="21"/>
                <w:szCs w:val="21"/>
                <w:highlight w:val="none"/>
                <w:lang w:val="zh-CN"/>
              </w:rPr>
              <w:t>中新污染源大气污染物排放限值</w:t>
            </w:r>
          </w:p>
        </w:tc>
        <w:tc>
          <w:tcPr>
            <w:tcW w:w="1085" w:type="dxa"/>
            <w:tcBorders>
              <w:top w:val="single" w:color="auto" w:sz="4" w:space="0"/>
              <w:left w:val="single" w:color="auto" w:sz="4" w:space="0"/>
              <w:bottom w:val="single" w:color="auto" w:sz="4" w:space="0"/>
              <w:right w:val="nil"/>
            </w:tcBorders>
            <w:noWrap w:val="0"/>
            <w:vAlign w:val="center"/>
          </w:tcPr>
          <w:p w14:paraId="227F5A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三同时</w:t>
            </w:r>
          </w:p>
        </w:tc>
      </w:tr>
      <w:tr w14:paraId="123AF69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left w:val="nil"/>
              <w:right w:val="single" w:color="auto" w:sz="4" w:space="0"/>
            </w:tcBorders>
            <w:noWrap w:val="0"/>
            <w:vAlign w:val="center"/>
          </w:tcPr>
          <w:p w14:paraId="5D55CC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1790" w:type="dxa"/>
            <w:tcBorders>
              <w:top w:val="single" w:color="auto" w:sz="4" w:space="0"/>
              <w:left w:val="single" w:color="auto" w:sz="4" w:space="0"/>
              <w:bottom w:val="single" w:color="auto" w:sz="4" w:space="0"/>
              <w:right w:val="single" w:color="auto" w:sz="4" w:space="0"/>
            </w:tcBorders>
            <w:noWrap w:val="0"/>
            <w:vAlign w:val="center"/>
          </w:tcPr>
          <w:p w14:paraId="35EDF7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ascii="Times New Roman" w:hAnsi="Times New Roman" w:cs="Times New Roman"/>
                <w:color w:val="auto"/>
                <w:sz w:val="21"/>
                <w:szCs w:val="21"/>
                <w:highlight w:val="none"/>
                <w:lang w:val="en-US" w:eastAsia="zh-CN"/>
              </w:rPr>
              <w:t>原料装卸堆存</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75453B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无组织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EC25A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eastAsia"/>
                <w:color w:val="auto"/>
                <w:sz w:val="21"/>
                <w:szCs w:val="21"/>
                <w:highlight w:val="none"/>
                <w:lang w:val="en-US" w:eastAsia="zh-CN"/>
              </w:rPr>
              <w:t>颗粒物</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0F7C5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s="Times New Roman"/>
                <w:color w:val="auto"/>
                <w:sz w:val="21"/>
                <w:szCs w:val="21"/>
                <w:highlight w:val="none"/>
                <w:lang w:val="en-US" w:eastAsia="zh-CN"/>
              </w:rPr>
              <w:t>设置</w:t>
            </w:r>
            <w:r>
              <w:rPr>
                <w:rFonts w:hint="eastAsia" w:ascii="Times New Roman" w:hAnsi="Times New Roman" w:cs="Times New Roman"/>
                <w:color w:val="auto"/>
                <w:sz w:val="21"/>
                <w:szCs w:val="21"/>
                <w:highlight w:val="none"/>
                <w:lang w:val="en-US" w:eastAsia="zh-CN"/>
              </w:rPr>
              <w:t>全封闭库房，</w:t>
            </w:r>
            <w:r>
              <w:rPr>
                <w:rFonts w:hint="eastAsia" w:cs="Times New Roman"/>
                <w:color w:val="auto"/>
                <w:sz w:val="21"/>
                <w:szCs w:val="21"/>
                <w:highlight w:val="none"/>
                <w:lang w:val="en-US" w:eastAsia="zh-CN"/>
              </w:rPr>
              <w:t>采取</w:t>
            </w:r>
            <w:r>
              <w:rPr>
                <w:rFonts w:hint="eastAsia" w:ascii="Times New Roman" w:hAnsi="Times New Roman" w:cs="Times New Roman"/>
                <w:color w:val="auto"/>
                <w:sz w:val="21"/>
                <w:szCs w:val="21"/>
                <w:highlight w:val="none"/>
                <w:lang w:val="en-US" w:eastAsia="zh-CN"/>
              </w:rPr>
              <w:t>洒水抑尘</w:t>
            </w:r>
            <w:r>
              <w:rPr>
                <w:rFonts w:hint="eastAsia" w:cs="Times New Roman"/>
                <w:color w:val="auto"/>
                <w:sz w:val="21"/>
                <w:szCs w:val="21"/>
                <w:highlight w:val="none"/>
                <w:lang w:val="en-US" w:eastAsia="zh-CN"/>
              </w:rPr>
              <w:t>措施。</w:t>
            </w:r>
          </w:p>
        </w:tc>
        <w:tc>
          <w:tcPr>
            <w:tcW w:w="2806" w:type="dxa"/>
            <w:vMerge w:val="continue"/>
            <w:tcBorders>
              <w:left w:val="single" w:color="auto" w:sz="4" w:space="0"/>
              <w:right w:val="single" w:color="auto" w:sz="4" w:space="0"/>
            </w:tcBorders>
            <w:noWrap w:val="0"/>
            <w:vAlign w:val="center"/>
          </w:tcPr>
          <w:p w14:paraId="54823C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p>
        </w:tc>
        <w:tc>
          <w:tcPr>
            <w:tcW w:w="1085" w:type="dxa"/>
            <w:tcBorders>
              <w:top w:val="single" w:color="auto" w:sz="4" w:space="0"/>
              <w:left w:val="single" w:color="auto" w:sz="4" w:space="0"/>
              <w:bottom w:val="single" w:color="auto" w:sz="4" w:space="0"/>
              <w:right w:val="nil"/>
            </w:tcBorders>
            <w:noWrap w:val="0"/>
            <w:vAlign w:val="center"/>
          </w:tcPr>
          <w:p w14:paraId="382651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三同时</w:t>
            </w:r>
          </w:p>
        </w:tc>
      </w:tr>
      <w:tr w14:paraId="6A4FDD8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left w:val="nil"/>
              <w:right w:val="single" w:color="auto" w:sz="4" w:space="0"/>
            </w:tcBorders>
            <w:noWrap w:val="0"/>
            <w:vAlign w:val="center"/>
          </w:tcPr>
          <w:p w14:paraId="6BB35A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vMerge w:val="restart"/>
            <w:tcBorders>
              <w:top w:val="single" w:color="auto" w:sz="4" w:space="0"/>
              <w:left w:val="single" w:color="auto" w:sz="4" w:space="0"/>
              <w:right w:val="single" w:color="auto" w:sz="4" w:space="0"/>
            </w:tcBorders>
            <w:noWrap w:val="0"/>
            <w:vAlign w:val="center"/>
          </w:tcPr>
          <w:p w14:paraId="1B6143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破碎筛分车间</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761291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无组织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37AAC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en-US" w:eastAsia="zh-CN"/>
              </w:rPr>
              <w:t>颗粒物</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4DF4B3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设置封闭破碎筛分厂房</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给料机上料口上方设置水喷淋抑尘设施，一台粗破机落料口设1套1.2m×1.5m集气罩，两台细破落料口各设1套1.2m×1.5m集气罩，一台筛分机落料口设1套1.1m×1.2m集气罩，集破碎、筛分过程产生的粉尘颗粒物，再送入袋式除尘器进行过滤净化处理。集气罩在风机的负压作用下可做到90%以上收尘效率。</w:t>
            </w:r>
          </w:p>
        </w:tc>
        <w:tc>
          <w:tcPr>
            <w:tcW w:w="2806" w:type="dxa"/>
            <w:vMerge w:val="continue"/>
            <w:tcBorders>
              <w:top w:val="single" w:color="auto" w:sz="4" w:space="0"/>
              <w:left w:val="single" w:color="auto" w:sz="4" w:space="0"/>
              <w:bottom w:val="single" w:color="auto" w:sz="4" w:space="0"/>
              <w:right w:val="single" w:color="auto" w:sz="4" w:space="0"/>
            </w:tcBorders>
            <w:noWrap w:val="0"/>
            <w:vAlign w:val="center"/>
          </w:tcPr>
          <w:p w14:paraId="360A7D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085" w:type="dxa"/>
            <w:tcBorders>
              <w:top w:val="single" w:color="auto" w:sz="4" w:space="0"/>
              <w:left w:val="single" w:color="auto" w:sz="4" w:space="0"/>
              <w:bottom w:val="nil"/>
              <w:right w:val="nil"/>
            </w:tcBorders>
            <w:noWrap w:val="0"/>
            <w:vAlign w:val="center"/>
          </w:tcPr>
          <w:p w14:paraId="1D61AA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三同时</w:t>
            </w:r>
          </w:p>
        </w:tc>
      </w:tr>
      <w:tr w14:paraId="410BB57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left w:val="nil"/>
              <w:right w:val="single" w:color="auto" w:sz="4" w:space="0"/>
            </w:tcBorders>
            <w:noWrap w:val="0"/>
            <w:vAlign w:val="center"/>
          </w:tcPr>
          <w:p w14:paraId="5ED236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vMerge w:val="continue"/>
            <w:tcBorders>
              <w:left w:val="single" w:color="auto" w:sz="4" w:space="0"/>
              <w:bottom w:val="single" w:color="auto" w:sz="4" w:space="0"/>
              <w:right w:val="single" w:color="auto" w:sz="4" w:space="0"/>
            </w:tcBorders>
            <w:noWrap w:val="0"/>
            <w:vAlign w:val="center"/>
          </w:tcPr>
          <w:p w14:paraId="62C1BC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751105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有组织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B3844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en-US" w:eastAsia="zh-CN"/>
              </w:rPr>
              <w:t>颗粒物</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41A519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袋式除尘器（</w:t>
            </w:r>
            <w:r>
              <w:rPr>
                <w:rFonts w:hint="eastAsia"/>
                <w:color w:val="auto"/>
                <w:sz w:val="21"/>
                <w:szCs w:val="21"/>
                <w:highlight w:val="none"/>
                <w:lang w:val="en-US" w:eastAsia="zh-CN"/>
              </w:rPr>
              <w:t>除尘效率99%以上</w:t>
            </w:r>
            <w:r>
              <w:rPr>
                <w:rFonts w:hint="eastAsia"/>
                <w:color w:val="auto"/>
                <w:sz w:val="21"/>
                <w:szCs w:val="21"/>
                <w:highlight w:val="none"/>
                <w:lang w:val="zh-CN"/>
              </w:rPr>
              <w:t>）</w:t>
            </w:r>
            <w:r>
              <w:rPr>
                <w:rFonts w:hint="eastAsia"/>
                <w:color w:val="auto"/>
                <w:sz w:val="21"/>
                <w:szCs w:val="21"/>
                <w:highlight w:val="none"/>
                <w:lang w:val="zh-CN" w:eastAsia="zh-CN"/>
              </w:rPr>
              <w:t>+15m</w:t>
            </w:r>
            <w:r>
              <w:rPr>
                <w:rFonts w:hint="eastAsia"/>
                <w:color w:val="auto"/>
                <w:sz w:val="21"/>
                <w:szCs w:val="21"/>
                <w:highlight w:val="none"/>
                <w:lang w:val="en-US" w:eastAsia="zh-CN"/>
              </w:rPr>
              <w:t>高DA001</w:t>
            </w:r>
            <w:r>
              <w:rPr>
                <w:rFonts w:hint="eastAsia"/>
                <w:color w:val="auto"/>
                <w:sz w:val="21"/>
                <w:szCs w:val="21"/>
                <w:highlight w:val="none"/>
                <w:lang w:val="zh-CN" w:eastAsia="zh-CN"/>
              </w:rPr>
              <w:t>排气筒</w:t>
            </w:r>
          </w:p>
        </w:tc>
        <w:tc>
          <w:tcPr>
            <w:tcW w:w="2806" w:type="dxa"/>
            <w:vMerge w:val="continue"/>
            <w:tcBorders>
              <w:top w:val="single" w:color="auto" w:sz="4" w:space="0"/>
              <w:left w:val="single" w:color="auto" w:sz="4" w:space="0"/>
              <w:bottom w:val="single" w:color="auto" w:sz="4" w:space="0"/>
              <w:right w:val="single" w:color="auto" w:sz="4" w:space="0"/>
            </w:tcBorders>
            <w:noWrap w:val="0"/>
            <w:vAlign w:val="center"/>
          </w:tcPr>
          <w:p w14:paraId="7C451F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085" w:type="dxa"/>
            <w:tcBorders>
              <w:top w:val="single" w:color="auto" w:sz="4" w:space="0"/>
              <w:left w:val="single" w:color="auto" w:sz="4" w:space="0"/>
              <w:bottom w:val="nil"/>
              <w:right w:val="nil"/>
            </w:tcBorders>
            <w:noWrap w:val="0"/>
            <w:vAlign w:val="center"/>
          </w:tcPr>
          <w:p w14:paraId="0A2F2E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三同时</w:t>
            </w:r>
          </w:p>
        </w:tc>
      </w:tr>
      <w:tr w14:paraId="1BCED02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left w:val="nil"/>
              <w:right w:val="single" w:color="auto" w:sz="4" w:space="0"/>
            </w:tcBorders>
            <w:noWrap w:val="0"/>
            <w:vAlign w:val="center"/>
          </w:tcPr>
          <w:p w14:paraId="495B03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tcBorders>
              <w:left w:val="single" w:color="auto" w:sz="4" w:space="0"/>
              <w:bottom w:val="single" w:color="auto" w:sz="4" w:space="0"/>
              <w:right w:val="single" w:color="auto" w:sz="4" w:space="0"/>
            </w:tcBorders>
            <w:noWrap w:val="0"/>
            <w:vAlign w:val="center"/>
          </w:tcPr>
          <w:p w14:paraId="47EA5E82">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default"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精矿粉库</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15918E4E">
            <w:pPr>
              <w:pStyle w:val="245"/>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无组织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EEF70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69E0CB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s="Times New Roman"/>
                <w:color w:val="auto"/>
                <w:sz w:val="21"/>
                <w:szCs w:val="21"/>
                <w:highlight w:val="none"/>
                <w:lang w:val="en-US" w:eastAsia="zh-CN"/>
              </w:rPr>
              <w:t>设置</w:t>
            </w:r>
            <w:r>
              <w:rPr>
                <w:rFonts w:hint="eastAsia" w:ascii="Times New Roman" w:hAnsi="Times New Roman" w:cs="Times New Roman"/>
                <w:color w:val="auto"/>
                <w:sz w:val="21"/>
                <w:szCs w:val="21"/>
                <w:highlight w:val="none"/>
                <w:lang w:val="en-US" w:eastAsia="zh-CN"/>
              </w:rPr>
              <w:t>全封闭库房，</w:t>
            </w:r>
            <w:r>
              <w:rPr>
                <w:rFonts w:hint="eastAsia" w:cs="Times New Roman"/>
                <w:color w:val="auto"/>
                <w:sz w:val="21"/>
                <w:szCs w:val="21"/>
                <w:highlight w:val="none"/>
                <w:lang w:val="en-US" w:eastAsia="zh-CN"/>
              </w:rPr>
              <w:t>采取</w:t>
            </w:r>
            <w:r>
              <w:rPr>
                <w:rFonts w:hint="eastAsia" w:ascii="Times New Roman" w:hAnsi="Times New Roman" w:cs="Times New Roman"/>
                <w:color w:val="auto"/>
                <w:sz w:val="21"/>
                <w:szCs w:val="21"/>
                <w:highlight w:val="none"/>
                <w:lang w:val="en-US" w:eastAsia="zh-CN"/>
              </w:rPr>
              <w:t>洒水抑尘</w:t>
            </w:r>
            <w:r>
              <w:rPr>
                <w:rFonts w:hint="eastAsia" w:cs="Times New Roman"/>
                <w:color w:val="auto"/>
                <w:sz w:val="21"/>
                <w:szCs w:val="21"/>
                <w:highlight w:val="none"/>
                <w:lang w:val="en-US" w:eastAsia="zh-CN"/>
              </w:rPr>
              <w:t>措施。</w:t>
            </w:r>
          </w:p>
        </w:tc>
        <w:tc>
          <w:tcPr>
            <w:tcW w:w="2806" w:type="dxa"/>
            <w:vMerge w:val="continue"/>
            <w:tcBorders>
              <w:top w:val="single" w:color="auto" w:sz="4" w:space="0"/>
              <w:left w:val="single" w:color="auto" w:sz="4" w:space="0"/>
              <w:bottom w:val="single" w:color="auto" w:sz="4" w:space="0"/>
              <w:right w:val="single" w:color="auto" w:sz="4" w:space="0"/>
            </w:tcBorders>
            <w:noWrap w:val="0"/>
            <w:vAlign w:val="center"/>
          </w:tcPr>
          <w:p w14:paraId="67A572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085" w:type="dxa"/>
            <w:tcBorders>
              <w:top w:val="single" w:color="auto" w:sz="4" w:space="0"/>
              <w:left w:val="single" w:color="auto" w:sz="4" w:space="0"/>
              <w:bottom w:val="nil"/>
              <w:right w:val="nil"/>
            </w:tcBorders>
            <w:noWrap w:val="0"/>
            <w:vAlign w:val="center"/>
          </w:tcPr>
          <w:p w14:paraId="520637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三同时</w:t>
            </w:r>
          </w:p>
        </w:tc>
      </w:tr>
      <w:tr w14:paraId="40CC50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left w:val="nil"/>
              <w:right w:val="single" w:color="auto" w:sz="4" w:space="0"/>
            </w:tcBorders>
            <w:noWrap w:val="0"/>
            <w:vAlign w:val="center"/>
          </w:tcPr>
          <w:p w14:paraId="6D07D5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tcBorders>
              <w:left w:val="single" w:color="auto" w:sz="4" w:space="0"/>
              <w:bottom w:val="single" w:color="auto" w:sz="4" w:space="0"/>
              <w:right w:val="single" w:color="auto" w:sz="4" w:space="0"/>
            </w:tcBorders>
            <w:noWrap w:val="0"/>
            <w:vAlign w:val="center"/>
          </w:tcPr>
          <w:p w14:paraId="3E534BF9">
            <w:pPr>
              <w:pStyle w:val="199"/>
              <w:keepNext w:val="0"/>
              <w:keepLines w:val="0"/>
              <w:pageBreakBefore w:val="0"/>
              <w:widowControl w:val="0"/>
              <w:kinsoku/>
              <w:wordWrap/>
              <w:overflowPunct/>
              <w:topLinePunct w:val="0"/>
              <w:autoSpaceDE w:val="0"/>
              <w:autoSpaceDN w:val="0"/>
              <w:bidi w:val="0"/>
              <w:adjustRightInd/>
              <w:snapToGrid/>
              <w:spacing w:beforeLines="0" w:line="240" w:lineRule="auto"/>
              <w:ind w:firstLine="0" w:firstLineChars="0"/>
              <w:jc w:val="center"/>
              <w:textAlignment w:val="auto"/>
              <w:rPr>
                <w:rFonts w:hint="eastAsia" w:ascii="Times New Roman" w:hAnsi="Times New Roman" w:eastAsia="宋体" w:cs="Times New Roman"/>
                <w:b w:val="0"/>
                <w:color w:val="auto"/>
                <w:kern w:val="0"/>
                <w:sz w:val="21"/>
                <w:szCs w:val="21"/>
                <w:highlight w:val="none"/>
                <w:lang w:val="en-US" w:eastAsia="zh-CN" w:bidi="ar-SA"/>
              </w:rPr>
            </w:pPr>
            <w:r>
              <w:rPr>
                <w:rFonts w:hint="eastAsia" w:cs="Times New Roman"/>
                <w:b w:val="0"/>
                <w:color w:val="auto"/>
                <w:kern w:val="0"/>
                <w:sz w:val="21"/>
                <w:szCs w:val="21"/>
                <w:highlight w:val="none"/>
                <w:lang w:val="en-US" w:eastAsia="zh-CN"/>
              </w:rPr>
              <w:t>尾矿砂库</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1E4FB1E6">
            <w:pPr>
              <w:pStyle w:val="245"/>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无组织</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225D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067E49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s="Times New Roman"/>
                <w:color w:val="auto"/>
                <w:sz w:val="21"/>
                <w:szCs w:val="21"/>
                <w:highlight w:val="none"/>
                <w:lang w:val="en-US" w:eastAsia="zh-CN"/>
              </w:rPr>
              <w:t>设置</w:t>
            </w:r>
            <w:r>
              <w:rPr>
                <w:rFonts w:hint="eastAsia" w:ascii="Times New Roman" w:hAnsi="Times New Roman" w:cs="Times New Roman"/>
                <w:color w:val="auto"/>
                <w:sz w:val="21"/>
                <w:szCs w:val="21"/>
                <w:highlight w:val="none"/>
                <w:lang w:val="en-US" w:eastAsia="zh-CN"/>
              </w:rPr>
              <w:t>全封闭库房，</w:t>
            </w:r>
            <w:r>
              <w:rPr>
                <w:rFonts w:hint="eastAsia" w:cs="Times New Roman"/>
                <w:color w:val="auto"/>
                <w:sz w:val="21"/>
                <w:szCs w:val="21"/>
                <w:highlight w:val="none"/>
                <w:lang w:val="en-US" w:eastAsia="zh-CN"/>
              </w:rPr>
              <w:t>采取</w:t>
            </w:r>
            <w:r>
              <w:rPr>
                <w:rFonts w:hint="eastAsia" w:ascii="Times New Roman" w:hAnsi="Times New Roman" w:cs="Times New Roman"/>
                <w:color w:val="auto"/>
                <w:sz w:val="21"/>
                <w:szCs w:val="21"/>
                <w:highlight w:val="none"/>
                <w:lang w:val="en-US" w:eastAsia="zh-CN"/>
              </w:rPr>
              <w:t>洒水抑尘</w:t>
            </w:r>
            <w:r>
              <w:rPr>
                <w:rFonts w:hint="eastAsia" w:cs="Times New Roman"/>
                <w:color w:val="auto"/>
                <w:sz w:val="21"/>
                <w:szCs w:val="21"/>
                <w:highlight w:val="none"/>
                <w:lang w:val="en-US" w:eastAsia="zh-CN"/>
              </w:rPr>
              <w:t>措施。</w:t>
            </w:r>
          </w:p>
        </w:tc>
        <w:tc>
          <w:tcPr>
            <w:tcW w:w="2806" w:type="dxa"/>
            <w:vMerge w:val="continue"/>
            <w:tcBorders>
              <w:top w:val="single" w:color="auto" w:sz="4" w:space="0"/>
              <w:left w:val="single" w:color="auto" w:sz="4" w:space="0"/>
              <w:bottom w:val="single" w:color="auto" w:sz="4" w:space="0"/>
              <w:right w:val="single" w:color="auto" w:sz="4" w:space="0"/>
            </w:tcBorders>
            <w:noWrap w:val="0"/>
            <w:vAlign w:val="center"/>
          </w:tcPr>
          <w:p w14:paraId="799A9E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085" w:type="dxa"/>
            <w:tcBorders>
              <w:top w:val="single" w:color="auto" w:sz="4" w:space="0"/>
              <w:left w:val="single" w:color="auto" w:sz="4" w:space="0"/>
              <w:bottom w:val="nil"/>
              <w:right w:val="nil"/>
            </w:tcBorders>
            <w:noWrap w:val="0"/>
            <w:vAlign w:val="center"/>
          </w:tcPr>
          <w:p w14:paraId="1347D4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三同时</w:t>
            </w:r>
          </w:p>
        </w:tc>
      </w:tr>
      <w:tr w14:paraId="71E0F42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restart"/>
            <w:tcBorders>
              <w:top w:val="single" w:color="auto" w:sz="4" w:space="0"/>
              <w:left w:val="nil"/>
              <w:right w:val="single" w:color="auto" w:sz="4" w:space="0"/>
            </w:tcBorders>
            <w:noWrap w:val="0"/>
            <w:vAlign w:val="center"/>
          </w:tcPr>
          <w:p w14:paraId="30D0DE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废水</w:t>
            </w:r>
          </w:p>
        </w:tc>
        <w:tc>
          <w:tcPr>
            <w:tcW w:w="1790" w:type="dxa"/>
            <w:tcBorders>
              <w:top w:val="single" w:color="auto" w:sz="4" w:space="0"/>
              <w:left w:val="single" w:color="auto" w:sz="4" w:space="0"/>
              <w:bottom w:val="single" w:color="auto" w:sz="4" w:space="0"/>
              <w:right w:val="single" w:color="auto" w:sz="4" w:space="0"/>
            </w:tcBorders>
            <w:noWrap w:val="0"/>
            <w:vAlign w:val="center"/>
          </w:tcPr>
          <w:p w14:paraId="264CB0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选矿废水</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48CFA9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E6D7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SS</w:t>
            </w:r>
          </w:p>
          <w:p w14:paraId="456762FE">
            <w:pPr>
              <w:pStyle w:val="2"/>
              <w:jc w:val="center"/>
              <w:rPr>
                <w:rFonts w:hint="default"/>
                <w:color w:val="auto"/>
                <w:highlight w:val="none"/>
                <w:lang w:val="en-US" w:eastAsia="zh-CN"/>
              </w:rPr>
            </w:pPr>
            <w:r>
              <w:rPr>
                <w:rFonts w:hint="eastAsia"/>
                <w:color w:val="auto"/>
                <w:sz w:val="21"/>
                <w:szCs w:val="21"/>
                <w:highlight w:val="none"/>
                <w:lang w:val="en-US" w:eastAsia="zh-CN"/>
              </w:rPr>
              <w:t>氟化物</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44CA6E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ascii="Times New Roman" w:hAnsi="Times New Roman" w:cs="Times New Roman"/>
                <w:color w:val="auto"/>
                <w:sz w:val="21"/>
                <w:szCs w:val="21"/>
                <w:highlight w:val="none"/>
                <w:lang w:val="en-US" w:eastAsia="zh-CN"/>
              </w:rPr>
              <w:t>浓密罐沉淀的上清液以及压滤机压滤沉淀后收集于循环水池，后回用于生产，形成闭路循环，不外排。</w:t>
            </w:r>
          </w:p>
        </w:tc>
        <w:tc>
          <w:tcPr>
            <w:tcW w:w="2806" w:type="dxa"/>
            <w:tcBorders>
              <w:top w:val="single" w:color="auto" w:sz="4" w:space="0"/>
              <w:left w:val="single" w:color="auto" w:sz="4" w:space="0"/>
              <w:bottom w:val="single" w:color="auto" w:sz="4" w:space="0"/>
              <w:right w:val="single" w:color="auto" w:sz="4" w:space="0"/>
            </w:tcBorders>
            <w:noWrap w:val="0"/>
            <w:vAlign w:val="center"/>
          </w:tcPr>
          <w:p w14:paraId="483E67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en-US" w:eastAsia="zh-CN"/>
              </w:rPr>
              <w:t>循环利用，</w:t>
            </w:r>
            <w:r>
              <w:rPr>
                <w:rFonts w:hint="eastAsia"/>
                <w:color w:val="auto"/>
                <w:sz w:val="21"/>
                <w:szCs w:val="21"/>
                <w:highlight w:val="none"/>
                <w:lang w:val="zh-CN"/>
              </w:rPr>
              <w:t>不外排</w:t>
            </w:r>
          </w:p>
        </w:tc>
        <w:tc>
          <w:tcPr>
            <w:tcW w:w="1085" w:type="dxa"/>
            <w:tcBorders>
              <w:top w:val="single" w:color="auto" w:sz="4" w:space="0"/>
              <w:left w:val="single" w:color="auto" w:sz="4" w:space="0"/>
              <w:bottom w:val="single" w:color="auto" w:sz="4" w:space="0"/>
              <w:right w:val="nil"/>
            </w:tcBorders>
            <w:noWrap w:val="0"/>
            <w:vAlign w:val="center"/>
          </w:tcPr>
          <w:p w14:paraId="3C708A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三同时</w:t>
            </w:r>
          </w:p>
        </w:tc>
      </w:tr>
      <w:tr w14:paraId="7103112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left w:val="nil"/>
              <w:bottom w:val="single" w:color="auto" w:sz="4" w:space="0"/>
              <w:right w:val="single" w:color="auto" w:sz="4" w:space="0"/>
            </w:tcBorders>
            <w:noWrap w:val="0"/>
            <w:vAlign w:val="center"/>
          </w:tcPr>
          <w:p w14:paraId="1AF12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tcBorders>
              <w:top w:val="single" w:color="auto" w:sz="4" w:space="0"/>
              <w:left w:val="single" w:color="auto" w:sz="4" w:space="0"/>
              <w:bottom w:val="single" w:color="auto" w:sz="4" w:space="0"/>
              <w:right w:val="single" w:color="auto" w:sz="4" w:space="0"/>
            </w:tcBorders>
            <w:noWrap w:val="0"/>
            <w:vAlign w:val="center"/>
          </w:tcPr>
          <w:p w14:paraId="39E164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生活污水</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2BF284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间接排放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E81F2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color w:val="auto"/>
                <w:sz w:val="21"/>
                <w:szCs w:val="21"/>
                <w:highlight w:val="none"/>
                <w:lang w:val="zh-CN"/>
              </w:rPr>
              <w:t>COD</w:t>
            </w:r>
          </w:p>
          <w:p w14:paraId="43E07B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BOD</w:t>
            </w:r>
            <w:r>
              <w:rPr>
                <w:rFonts w:hint="eastAsia"/>
                <w:color w:val="auto"/>
                <w:sz w:val="21"/>
                <w:szCs w:val="21"/>
                <w:highlight w:val="none"/>
                <w:vertAlign w:val="subscript"/>
                <w:lang w:val="zh-CN"/>
              </w:rPr>
              <w:t>5</w:t>
            </w:r>
          </w:p>
          <w:p w14:paraId="6D5358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氨氮</w:t>
            </w:r>
          </w:p>
          <w:p w14:paraId="19BFBC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zh-CN" w:eastAsia="zh-CN" w:bidi="ar-SA"/>
              </w:rPr>
            </w:pPr>
            <w:r>
              <w:rPr>
                <w:rFonts w:hint="eastAsia"/>
                <w:color w:val="auto"/>
                <w:sz w:val="21"/>
                <w:szCs w:val="21"/>
                <w:highlight w:val="none"/>
                <w:lang w:val="zh-CN"/>
              </w:rPr>
              <w:t>SS</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68ED2C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ascii="Times New Roman" w:hAnsi="Times New Roman" w:cs="Times New Roman"/>
                <w:color w:val="auto"/>
                <w:sz w:val="21"/>
                <w:szCs w:val="21"/>
                <w:highlight w:val="none"/>
                <w:lang w:val="en-US" w:eastAsia="zh-CN"/>
              </w:rPr>
              <w:t>依托盟东水泥厂办公区现有化粪池收集处理，再定期拉运至诺尔镇污水处理厂处理。</w:t>
            </w:r>
          </w:p>
        </w:tc>
        <w:tc>
          <w:tcPr>
            <w:tcW w:w="2806" w:type="dxa"/>
            <w:tcBorders>
              <w:top w:val="single" w:color="auto" w:sz="4" w:space="0"/>
              <w:left w:val="single" w:color="auto" w:sz="4" w:space="0"/>
              <w:bottom w:val="single" w:color="auto" w:sz="4" w:space="0"/>
              <w:right w:val="single" w:color="auto" w:sz="4" w:space="0"/>
            </w:tcBorders>
            <w:noWrap w:val="0"/>
            <w:vAlign w:val="center"/>
          </w:tcPr>
          <w:p w14:paraId="2D06B129">
            <w:pPr>
              <w:pStyle w:val="245"/>
              <w:spacing w:line="240" w:lineRule="auto"/>
              <w:ind w:firstLine="0" w:firstLineChars="0"/>
              <w:jc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zh-CN"/>
              </w:rPr>
              <w:t>《污水综合排放标准》（GB8978-1996）三级标准</w:t>
            </w:r>
          </w:p>
        </w:tc>
        <w:tc>
          <w:tcPr>
            <w:tcW w:w="1085" w:type="dxa"/>
            <w:tcBorders>
              <w:top w:val="single" w:color="auto" w:sz="4" w:space="0"/>
              <w:left w:val="single" w:color="auto" w:sz="4" w:space="0"/>
              <w:bottom w:val="single" w:color="auto" w:sz="4" w:space="0"/>
              <w:right w:val="nil"/>
            </w:tcBorders>
            <w:noWrap w:val="0"/>
            <w:vAlign w:val="center"/>
          </w:tcPr>
          <w:p w14:paraId="1E1BDF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三同时</w:t>
            </w:r>
          </w:p>
        </w:tc>
      </w:tr>
      <w:tr w14:paraId="27BE97A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727" w:type="dxa"/>
            <w:vMerge w:val="restart"/>
            <w:tcBorders>
              <w:top w:val="single" w:color="auto" w:sz="4" w:space="0"/>
              <w:left w:val="nil"/>
              <w:bottom w:val="single" w:color="auto" w:sz="4" w:space="0"/>
              <w:right w:val="single" w:color="auto" w:sz="4" w:space="0"/>
            </w:tcBorders>
            <w:noWrap w:val="0"/>
            <w:vAlign w:val="center"/>
          </w:tcPr>
          <w:p w14:paraId="549D8E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固废</w:t>
            </w:r>
          </w:p>
        </w:tc>
        <w:tc>
          <w:tcPr>
            <w:tcW w:w="1790" w:type="dxa"/>
            <w:vMerge w:val="restart"/>
            <w:tcBorders>
              <w:top w:val="single" w:color="auto" w:sz="4" w:space="0"/>
              <w:left w:val="single" w:color="auto" w:sz="4" w:space="0"/>
              <w:bottom w:val="single" w:color="auto" w:sz="4" w:space="0"/>
              <w:right w:val="single" w:color="auto" w:sz="4" w:space="0"/>
            </w:tcBorders>
            <w:noWrap w:val="0"/>
            <w:vAlign w:val="center"/>
          </w:tcPr>
          <w:p w14:paraId="0721C5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生产车间</w:t>
            </w:r>
          </w:p>
        </w:tc>
        <w:tc>
          <w:tcPr>
            <w:tcW w:w="1542" w:type="dxa"/>
            <w:tcBorders>
              <w:top w:val="single" w:color="auto" w:sz="4" w:space="0"/>
              <w:left w:val="single" w:color="auto" w:sz="4" w:space="0"/>
              <w:right w:val="single" w:color="auto" w:sz="4" w:space="0"/>
            </w:tcBorders>
            <w:noWrap w:val="0"/>
            <w:vAlign w:val="center"/>
          </w:tcPr>
          <w:p w14:paraId="2A7A90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除尘灰</w:t>
            </w:r>
          </w:p>
        </w:tc>
        <w:tc>
          <w:tcPr>
            <w:tcW w:w="1260" w:type="dxa"/>
            <w:vMerge w:val="restart"/>
            <w:tcBorders>
              <w:top w:val="single" w:color="auto" w:sz="4" w:space="0"/>
              <w:left w:val="single" w:color="auto" w:sz="4" w:space="0"/>
              <w:right w:val="single" w:color="auto" w:sz="4" w:space="0"/>
            </w:tcBorders>
            <w:noWrap w:val="0"/>
            <w:vAlign w:val="center"/>
          </w:tcPr>
          <w:p w14:paraId="7AF685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一般工业固体废物</w:t>
            </w:r>
          </w:p>
        </w:tc>
        <w:tc>
          <w:tcPr>
            <w:tcW w:w="5069" w:type="dxa"/>
            <w:tcBorders>
              <w:top w:val="single" w:color="auto" w:sz="4" w:space="0"/>
              <w:left w:val="single" w:color="auto" w:sz="4" w:space="0"/>
              <w:right w:val="single" w:color="auto" w:sz="4" w:space="0"/>
            </w:tcBorders>
            <w:noWrap w:val="0"/>
            <w:vAlign w:val="center"/>
          </w:tcPr>
          <w:p w14:paraId="336333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cs="Times New Roman"/>
                <w:color w:val="auto"/>
                <w:sz w:val="21"/>
                <w:szCs w:val="21"/>
                <w:highlight w:val="none"/>
              </w:rPr>
              <w:t>收集后全部回用于</w:t>
            </w:r>
            <w:r>
              <w:rPr>
                <w:rFonts w:hint="eastAsia" w:ascii="Times New Roman" w:hAnsi="Times New Roman" w:cs="Times New Roman"/>
                <w:color w:val="auto"/>
                <w:sz w:val="21"/>
                <w:szCs w:val="21"/>
                <w:highlight w:val="none"/>
                <w:lang w:val="en-US" w:eastAsia="zh-CN"/>
              </w:rPr>
              <w:t>球磨、浮现</w:t>
            </w:r>
            <w:r>
              <w:rPr>
                <w:rFonts w:hint="eastAsia" w:ascii="Times New Roman" w:hAnsi="Times New Roman" w:cs="Times New Roman"/>
                <w:color w:val="auto"/>
                <w:sz w:val="21"/>
                <w:szCs w:val="21"/>
                <w:highlight w:val="none"/>
              </w:rPr>
              <w:t>工序</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资源化利用。不外排。</w:t>
            </w:r>
          </w:p>
        </w:tc>
        <w:tc>
          <w:tcPr>
            <w:tcW w:w="2806" w:type="dxa"/>
            <w:vMerge w:val="restart"/>
            <w:tcBorders>
              <w:top w:val="single" w:color="auto" w:sz="4" w:space="0"/>
              <w:left w:val="single" w:color="auto" w:sz="4" w:space="0"/>
              <w:bottom w:val="single" w:color="auto" w:sz="4" w:space="0"/>
              <w:right w:val="single" w:color="auto" w:sz="4" w:space="0"/>
            </w:tcBorders>
            <w:noWrap w:val="0"/>
            <w:vAlign w:val="center"/>
          </w:tcPr>
          <w:p w14:paraId="15364D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一般工业固体废物贮存和填埋污染控制标准》（</w:t>
            </w:r>
            <w:r>
              <w:rPr>
                <w:color w:val="auto"/>
                <w:sz w:val="21"/>
                <w:szCs w:val="21"/>
                <w:highlight w:val="none"/>
                <w:lang w:val="zh-CN"/>
              </w:rPr>
              <w:t>GB18599-2020</w:t>
            </w:r>
            <w:r>
              <w:rPr>
                <w:rFonts w:hint="eastAsia"/>
                <w:color w:val="auto"/>
                <w:sz w:val="21"/>
                <w:szCs w:val="21"/>
                <w:highlight w:val="none"/>
                <w:lang w:val="zh-CN"/>
              </w:rPr>
              <w:t>）</w:t>
            </w:r>
          </w:p>
        </w:tc>
        <w:tc>
          <w:tcPr>
            <w:tcW w:w="1085" w:type="dxa"/>
            <w:tcBorders>
              <w:top w:val="single" w:color="auto" w:sz="4" w:space="0"/>
              <w:left w:val="single" w:color="auto" w:sz="4" w:space="0"/>
              <w:bottom w:val="single" w:color="auto" w:sz="4" w:space="0"/>
              <w:right w:val="nil"/>
            </w:tcBorders>
            <w:noWrap w:val="0"/>
            <w:vAlign w:val="center"/>
          </w:tcPr>
          <w:p w14:paraId="0582F2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三同时</w:t>
            </w:r>
          </w:p>
        </w:tc>
      </w:tr>
      <w:tr w14:paraId="7E39288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727" w:type="dxa"/>
            <w:vMerge w:val="continue"/>
            <w:tcBorders>
              <w:left w:val="nil"/>
              <w:right w:val="single" w:color="auto" w:sz="4" w:space="0"/>
            </w:tcBorders>
            <w:noWrap w:val="0"/>
            <w:vAlign w:val="center"/>
          </w:tcPr>
          <w:p w14:paraId="2F45E6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p>
        </w:tc>
        <w:tc>
          <w:tcPr>
            <w:tcW w:w="1790" w:type="dxa"/>
            <w:vMerge w:val="continue"/>
            <w:tcBorders>
              <w:left w:val="single" w:color="auto" w:sz="4" w:space="0"/>
              <w:right w:val="single" w:color="auto" w:sz="4" w:space="0"/>
            </w:tcBorders>
            <w:noWrap w:val="0"/>
            <w:vAlign w:val="center"/>
          </w:tcPr>
          <w:p w14:paraId="1802EC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p>
        </w:tc>
        <w:tc>
          <w:tcPr>
            <w:tcW w:w="1542" w:type="dxa"/>
            <w:tcBorders>
              <w:top w:val="single" w:color="auto" w:sz="4" w:space="0"/>
              <w:left w:val="single" w:color="auto" w:sz="4" w:space="0"/>
              <w:right w:val="single" w:color="auto" w:sz="4" w:space="0"/>
            </w:tcBorders>
            <w:noWrap w:val="0"/>
            <w:vAlign w:val="center"/>
          </w:tcPr>
          <w:p w14:paraId="02547C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zh-CN" w:eastAsia="zh-CN" w:bidi="ar-SA"/>
              </w:rPr>
            </w:pPr>
            <w:r>
              <w:rPr>
                <w:rFonts w:hint="eastAsia"/>
                <w:color w:val="auto"/>
                <w:sz w:val="21"/>
                <w:szCs w:val="21"/>
                <w:highlight w:val="none"/>
                <w:lang w:val="zh-CN"/>
              </w:rPr>
              <w:t>废钢球</w:t>
            </w:r>
          </w:p>
        </w:tc>
        <w:tc>
          <w:tcPr>
            <w:tcW w:w="1260" w:type="dxa"/>
            <w:vMerge w:val="continue"/>
            <w:tcBorders>
              <w:left w:val="single" w:color="auto" w:sz="4" w:space="0"/>
              <w:right w:val="single" w:color="auto" w:sz="4" w:space="0"/>
            </w:tcBorders>
            <w:noWrap w:val="0"/>
            <w:vAlign w:val="center"/>
          </w:tcPr>
          <w:p w14:paraId="445879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zh-CN" w:eastAsia="zh-CN" w:bidi="ar-SA"/>
              </w:rPr>
            </w:pPr>
          </w:p>
        </w:tc>
        <w:tc>
          <w:tcPr>
            <w:tcW w:w="5069" w:type="dxa"/>
            <w:tcBorders>
              <w:top w:val="single" w:color="auto" w:sz="4" w:space="0"/>
              <w:left w:val="single" w:color="auto" w:sz="4" w:space="0"/>
              <w:right w:val="single" w:color="auto" w:sz="4" w:space="0"/>
            </w:tcBorders>
            <w:noWrap w:val="0"/>
            <w:vAlign w:val="center"/>
          </w:tcPr>
          <w:p w14:paraId="197A53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cs="Times New Roman"/>
                <w:color w:val="auto"/>
                <w:sz w:val="21"/>
                <w:szCs w:val="21"/>
                <w:highlight w:val="none"/>
                <w:lang w:val="en-US" w:eastAsia="zh-CN"/>
              </w:rPr>
              <w:t>更换下废钢球不落地，供应商回收利用</w:t>
            </w:r>
            <w:r>
              <w:rPr>
                <w:rFonts w:hint="eastAsia" w:cs="Times New Roman"/>
                <w:color w:val="auto"/>
                <w:sz w:val="21"/>
                <w:szCs w:val="21"/>
                <w:highlight w:val="none"/>
                <w:lang w:val="en-US" w:eastAsia="zh-CN"/>
              </w:rPr>
              <w:t>，不外排。</w:t>
            </w:r>
          </w:p>
        </w:tc>
        <w:tc>
          <w:tcPr>
            <w:tcW w:w="2806" w:type="dxa"/>
            <w:vMerge w:val="continue"/>
            <w:tcBorders>
              <w:left w:val="single" w:color="auto" w:sz="4" w:space="0"/>
              <w:right w:val="single" w:color="auto" w:sz="4" w:space="0"/>
            </w:tcBorders>
            <w:noWrap w:val="0"/>
            <w:vAlign w:val="center"/>
          </w:tcPr>
          <w:p w14:paraId="2FDA51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p>
        </w:tc>
        <w:tc>
          <w:tcPr>
            <w:tcW w:w="1085" w:type="dxa"/>
            <w:tcBorders>
              <w:top w:val="single" w:color="auto" w:sz="4" w:space="0"/>
              <w:left w:val="single" w:color="auto" w:sz="4" w:space="0"/>
              <w:bottom w:val="single" w:color="auto" w:sz="4" w:space="0"/>
              <w:right w:val="nil"/>
            </w:tcBorders>
            <w:noWrap w:val="0"/>
            <w:vAlign w:val="center"/>
          </w:tcPr>
          <w:p w14:paraId="1FE0AD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三同时</w:t>
            </w:r>
          </w:p>
        </w:tc>
      </w:tr>
      <w:tr w14:paraId="0807E9A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top w:val="single" w:color="auto" w:sz="4" w:space="0"/>
              <w:left w:val="nil"/>
              <w:bottom w:val="single" w:color="auto" w:sz="4" w:space="0"/>
              <w:right w:val="single" w:color="auto" w:sz="4" w:space="0"/>
            </w:tcBorders>
            <w:noWrap w:val="0"/>
            <w:vAlign w:val="center"/>
          </w:tcPr>
          <w:p w14:paraId="305975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14:paraId="4409AD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0D3573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尾矿砂</w:t>
            </w:r>
          </w:p>
        </w:tc>
        <w:tc>
          <w:tcPr>
            <w:tcW w:w="1260" w:type="dxa"/>
            <w:vMerge w:val="continue"/>
            <w:tcBorders>
              <w:left w:val="single" w:color="auto" w:sz="4" w:space="0"/>
              <w:right w:val="single" w:color="auto" w:sz="4" w:space="0"/>
            </w:tcBorders>
            <w:noWrap w:val="0"/>
            <w:vAlign w:val="center"/>
          </w:tcPr>
          <w:p w14:paraId="0E8682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2"/>
                <w:sz w:val="21"/>
                <w:szCs w:val="21"/>
                <w:highlight w:val="none"/>
                <w:lang w:val="zh-CN" w:eastAsia="zh-CN" w:bidi="ar-SA"/>
              </w:rPr>
            </w:pPr>
          </w:p>
        </w:tc>
        <w:tc>
          <w:tcPr>
            <w:tcW w:w="5069" w:type="dxa"/>
            <w:tcBorders>
              <w:top w:val="single" w:color="auto" w:sz="4" w:space="0"/>
              <w:left w:val="single" w:color="auto" w:sz="4" w:space="0"/>
              <w:bottom w:val="single" w:color="auto" w:sz="4" w:space="0"/>
              <w:right w:val="single" w:color="auto" w:sz="4" w:space="0"/>
            </w:tcBorders>
            <w:noWrap w:val="0"/>
            <w:vAlign w:val="center"/>
          </w:tcPr>
          <w:p w14:paraId="3A0391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本项目产生尾矿砂属于第</w:t>
            </w:r>
            <w:r>
              <w:rPr>
                <w:rFonts w:hint="eastAsia" w:ascii="Times New Roman" w:hAnsi="Times New Roman" w:cs="Times New Roman"/>
                <w:color w:val="auto"/>
                <w:sz w:val="21"/>
                <w:szCs w:val="21"/>
                <w:highlight w:val="none"/>
                <w:lang w:val="en-US" w:eastAsia="zh-CN"/>
              </w:rPr>
              <w:fldChar w:fldCharType="begin"/>
            </w:r>
            <w:r>
              <w:rPr>
                <w:rFonts w:hint="eastAsia" w:ascii="Times New Roman" w:hAnsi="Times New Roman" w:cs="Times New Roman"/>
                <w:color w:val="auto"/>
                <w:sz w:val="21"/>
                <w:szCs w:val="21"/>
                <w:highlight w:val="none"/>
                <w:lang w:val="en-US" w:eastAsia="zh-CN"/>
              </w:rPr>
              <w:instrText xml:space="preserve"> = 1 \* ROMAN </w:instrText>
            </w:r>
            <w:r>
              <w:rPr>
                <w:rFonts w:hint="eastAsia" w:ascii="Times New Roman" w:hAnsi="Times New Roman" w:cs="Times New Roman"/>
                <w:color w:val="auto"/>
                <w:sz w:val="21"/>
                <w:szCs w:val="21"/>
                <w:highlight w:val="none"/>
                <w:lang w:val="en-US" w:eastAsia="zh-CN"/>
              </w:rPr>
              <w:fldChar w:fldCharType="separate"/>
            </w:r>
            <w:r>
              <w:rPr>
                <w:rFonts w:hint="eastAsia" w:ascii="Times New Roman" w:hAnsi="Times New Roman" w:cs="Times New Roman"/>
                <w:color w:val="auto"/>
                <w:sz w:val="21"/>
                <w:szCs w:val="21"/>
                <w:highlight w:val="none"/>
                <w:lang w:val="en-US" w:eastAsia="zh-CN"/>
              </w:rPr>
              <w:t>I</w:t>
            </w:r>
            <w:r>
              <w:rPr>
                <w:rFonts w:hint="eastAsia" w:ascii="Times New Roman" w:hAnsi="Times New Roman" w:cs="Times New Roman"/>
                <w:color w:val="auto"/>
                <w:sz w:val="21"/>
                <w:szCs w:val="21"/>
                <w:highlight w:val="none"/>
                <w:lang w:val="en-US" w:eastAsia="zh-CN"/>
              </w:rPr>
              <w:fldChar w:fldCharType="end"/>
            </w:r>
            <w:r>
              <w:rPr>
                <w:rFonts w:hint="eastAsia" w:ascii="Times New Roman" w:hAnsi="Times New Roman" w:cs="Times New Roman"/>
                <w:color w:val="auto"/>
                <w:sz w:val="21"/>
                <w:szCs w:val="21"/>
                <w:highlight w:val="none"/>
                <w:lang w:val="en-US" w:eastAsia="zh-CN"/>
              </w:rPr>
              <w:t>类一般工业固体废物，厂区内建设1座800m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尾矿砂临时贮存库，定期采用密闭车辆送至</w:t>
            </w:r>
            <w:r>
              <w:rPr>
                <w:rFonts w:hint="eastAsia" w:ascii="Times New Roman" w:hAnsi="Times New Roman" w:cs="Times New Roman"/>
                <w:color w:val="auto"/>
                <w:sz w:val="21"/>
                <w:szCs w:val="21"/>
                <w:highlight w:val="yellow"/>
                <w:lang w:val="en-US" w:eastAsia="zh-CN"/>
              </w:rPr>
              <w:t>河北围场满族蒙古族自治县联玉墙体材料厂和隆化县皓诚新型节能砖厂</w:t>
            </w:r>
            <w:r>
              <w:rPr>
                <w:rFonts w:hint="eastAsia" w:ascii="Times New Roman" w:hAnsi="Times New Roman" w:cs="Times New Roman"/>
                <w:color w:val="auto"/>
                <w:sz w:val="21"/>
                <w:szCs w:val="21"/>
                <w:highlight w:val="none"/>
                <w:lang w:val="en-US" w:eastAsia="zh-CN"/>
              </w:rPr>
              <w:t>作制砖原材料，优先资源化综合利用。</w:t>
            </w:r>
          </w:p>
          <w:p w14:paraId="425FBE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ascii="Times New Roman" w:hAnsi="Times New Roman" w:cs="Times New Roman"/>
                <w:color w:val="auto"/>
                <w:sz w:val="21"/>
                <w:szCs w:val="21"/>
                <w:highlight w:val="none"/>
                <w:lang w:val="en-US" w:eastAsia="zh-CN"/>
              </w:rPr>
              <w:t>因接纳砖厂市场原因利用不畅时，本项目产生的尾矿砂做周边矿区采空坑生态恢复填充料进行综合利用。</w:t>
            </w:r>
          </w:p>
        </w:tc>
        <w:tc>
          <w:tcPr>
            <w:tcW w:w="2806" w:type="dxa"/>
            <w:vMerge w:val="continue"/>
            <w:tcBorders>
              <w:top w:val="single" w:color="auto" w:sz="4" w:space="0"/>
              <w:left w:val="single" w:color="auto" w:sz="4" w:space="0"/>
              <w:bottom w:val="single" w:color="auto" w:sz="4" w:space="0"/>
              <w:right w:val="single" w:color="auto" w:sz="4" w:space="0"/>
            </w:tcBorders>
            <w:noWrap w:val="0"/>
            <w:vAlign w:val="center"/>
          </w:tcPr>
          <w:p w14:paraId="04EC13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085" w:type="dxa"/>
            <w:tcBorders>
              <w:top w:val="single" w:color="auto" w:sz="4" w:space="0"/>
              <w:left w:val="single" w:color="auto" w:sz="4" w:space="0"/>
              <w:bottom w:val="single" w:color="auto" w:sz="4" w:space="0"/>
              <w:right w:val="nil"/>
            </w:tcBorders>
            <w:noWrap w:val="0"/>
            <w:vAlign w:val="center"/>
          </w:tcPr>
          <w:p w14:paraId="759739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三同时</w:t>
            </w:r>
          </w:p>
        </w:tc>
      </w:tr>
      <w:tr w14:paraId="5262B18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top w:val="single" w:color="auto" w:sz="4" w:space="0"/>
              <w:left w:val="nil"/>
              <w:bottom w:val="single" w:color="auto" w:sz="4" w:space="0"/>
              <w:right w:val="single" w:color="auto" w:sz="4" w:space="0"/>
            </w:tcBorders>
            <w:noWrap w:val="0"/>
            <w:vAlign w:val="center"/>
          </w:tcPr>
          <w:p w14:paraId="78B730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14:paraId="15FF90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5E1D41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废机油</w:t>
            </w:r>
          </w:p>
        </w:tc>
        <w:tc>
          <w:tcPr>
            <w:tcW w:w="1260" w:type="dxa"/>
            <w:vMerge w:val="restart"/>
            <w:tcBorders>
              <w:top w:val="single" w:color="auto" w:sz="4" w:space="0"/>
              <w:left w:val="single" w:color="auto" w:sz="4" w:space="0"/>
              <w:bottom w:val="single" w:color="auto" w:sz="4" w:space="0"/>
              <w:right w:val="single" w:color="auto" w:sz="4" w:space="0"/>
            </w:tcBorders>
            <w:noWrap w:val="0"/>
            <w:vAlign w:val="center"/>
          </w:tcPr>
          <w:p w14:paraId="012A40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危险废物</w:t>
            </w:r>
          </w:p>
        </w:tc>
        <w:tc>
          <w:tcPr>
            <w:tcW w:w="5069" w:type="dxa"/>
            <w:vMerge w:val="restart"/>
            <w:tcBorders>
              <w:top w:val="single" w:color="auto" w:sz="4" w:space="0"/>
              <w:left w:val="single" w:color="auto" w:sz="4" w:space="0"/>
              <w:bottom w:val="single" w:color="auto" w:sz="4" w:space="0"/>
              <w:right w:val="single" w:color="auto" w:sz="4" w:space="0"/>
            </w:tcBorders>
            <w:noWrap w:val="0"/>
            <w:vAlign w:val="center"/>
          </w:tcPr>
          <w:p w14:paraId="2E9646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暂存于危废暂存间内，定期交由</w:t>
            </w:r>
            <w:r>
              <w:rPr>
                <w:rFonts w:hint="eastAsia"/>
                <w:color w:val="auto"/>
                <w:sz w:val="21"/>
                <w:szCs w:val="21"/>
                <w:highlight w:val="none"/>
                <w:lang w:val="en-US" w:eastAsia="zh-CN"/>
              </w:rPr>
              <w:t>具有危废经营许可证</w:t>
            </w:r>
            <w:r>
              <w:rPr>
                <w:rFonts w:hint="eastAsia"/>
                <w:color w:val="auto"/>
                <w:sz w:val="21"/>
                <w:szCs w:val="21"/>
                <w:highlight w:val="none"/>
                <w:lang w:val="zh-CN"/>
              </w:rPr>
              <w:t>单位进行处置。</w:t>
            </w:r>
          </w:p>
        </w:tc>
        <w:tc>
          <w:tcPr>
            <w:tcW w:w="2806" w:type="dxa"/>
            <w:vMerge w:val="restart"/>
            <w:tcBorders>
              <w:top w:val="single" w:color="auto" w:sz="4" w:space="0"/>
              <w:left w:val="single" w:color="auto" w:sz="4" w:space="0"/>
              <w:bottom w:val="single" w:color="auto" w:sz="4" w:space="0"/>
              <w:right w:val="single" w:color="auto" w:sz="4" w:space="0"/>
            </w:tcBorders>
            <w:noWrap w:val="0"/>
            <w:vAlign w:val="center"/>
          </w:tcPr>
          <w:p w14:paraId="3C0FE0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《危险废物贮存污染控制标准》（GB18597-2023）</w:t>
            </w:r>
          </w:p>
        </w:tc>
        <w:tc>
          <w:tcPr>
            <w:tcW w:w="1085" w:type="dxa"/>
            <w:tcBorders>
              <w:top w:val="single" w:color="auto" w:sz="4" w:space="0"/>
              <w:left w:val="single" w:color="auto" w:sz="4" w:space="0"/>
              <w:bottom w:val="single" w:color="auto" w:sz="4" w:space="0"/>
              <w:right w:val="nil"/>
            </w:tcBorders>
            <w:noWrap w:val="0"/>
            <w:vAlign w:val="center"/>
          </w:tcPr>
          <w:p w14:paraId="599126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三同时</w:t>
            </w:r>
          </w:p>
        </w:tc>
      </w:tr>
      <w:tr w14:paraId="7B2DDAA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top w:val="single" w:color="auto" w:sz="4" w:space="0"/>
              <w:left w:val="nil"/>
              <w:bottom w:val="single" w:color="auto" w:sz="4" w:space="0"/>
              <w:right w:val="single" w:color="auto" w:sz="4" w:space="0"/>
            </w:tcBorders>
            <w:noWrap w:val="0"/>
            <w:vAlign w:val="center"/>
          </w:tcPr>
          <w:p w14:paraId="7E7AF3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vMerge w:val="continue"/>
            <w:tcBorders>
              <w:top w:val="single" w:color="auto" w:sz="4" w:space="0"/>
              <w:left w:val="single" w:color="auto" w:sz="4" w:space="0"/>
              <w:bottom w:val="single" w:color="auto" w:sz="4" w:space="0"/>
              <w:right w:val="single" w:color="auto" w:sz="4" w:space="0"/>
            </w:tcBorders>
            <w:noWrap w:val="0"/>
            <w:vAlign w:val="center"/>
          </w:tcPr>
          <w:p w14:paraId="6FABE7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542" w:type="dxa"/>
            <w:tcBorders>
              <w:top w:val="single" w:color="auto" w:sz="4" w:space="0"/>
              <w:left w:val="single" w:color="auto" w:sz="4" w:space="0"/>
              <w:bottom w:val="single" w:color="auto" w:sz="4" w:space="0"/>
              <w:right w:val="single" w:color="auto" w:sz="4" w:space="0"/>
            </w:tcBorders>
            <w:noWrap w:val="0"/>
            <w:vAlign w:val="center"/>
          </w:tcPr>
          <w:p w14:paraId="18E136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废油桶</w:t>
            </w: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14:paraId="6B3425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5069" w:type="dxa"/>
            <w:vMerge w:val="continue"/>
            <w:tcBorders>
              <w:top w:val="single" w:color="auto" w:sz="4" w:space="0"/>
              <w:left w:val="single" w:color="auto" w:sz="4" w:space="0"/>
              <w:bottom w:val="single" w:color="auto" w:sz="4" w:space="0"/>
              <w:right w:val="single" w:color="auto" w:sz="4" w:space="0"/>
            </w:tcBorders>
            <w:noWrap w:val="0"/>
            <w:vAlign w:val="center"/>
          </w:tcPr>
          <w:p w14:paraId="120231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2806" w:type="dxa"/>
            <w:vMerge w:val="continue"/>
            <w:tcBorders>
              <w:top w:val="single" w:color="auto" w:sz="4" w:space="0"/>
              <w:left w:val="single" w:color="auto" w:sz="4" w:space="0"/>
              <w:bottom w:val="single" w:color="auto" w:sz="4" w:space="0"/>
              <w:right w:val="single" w:color="auto" w:sz="4" w:space="0"/>
            </w:tcBorders>
            <w:noWrap w:val="0"/>
            <w:vAlign w:val="center"/>
          </w:tcPr>
          <w:p w14:paraId="02DE62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085" w:type="dxa"/>
            <w:tcBorders>
              <w:top w:val="single" w:color="auto" w:sz="4" w:space="0"/>
              <w:left w:val="single" w:color="auto" w:sz="4" w:space="0"/>
              <w:bottom w:val="single" w:color="auto" w:sz="4" w:space="0"/>
              <w:right w:val="nil"/>
            </w:tcBorders>
            <w:noWrap w:val="0"/>
            <w:vAlign w:val="center"/>
          </w:tcPr>
          <w:p w14:paraId="49418B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三同时</w:t>
            </w:r>
          </w:p>
        </w:tc>
      </w:tr>
      <w:tr w14:paraId="1869F54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top w:val="single" w:color="auto" w:sz="4" w:space="0"/>
              <w:left w:val="nil"/>
              <w:bottom w:val="single" w:color="auto" w:sz="4" w:space="0"/>
              <w:right w:val="single" w:color="auto" w:sz="4" w:space="0"/>
            </w:tcBorders>
            <w:noWrap w:val="0"/>
            <w:vAlign w:val="center"/>
          </w:tcPr>
          <w:p w14:paraId="5F888D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tcBorders>
              <w:top w:val="single" w:color="auto" w:sz="4" w:space="0"/>
              <w:left w:val="single" w:color="auto" w:sz="4" w:space="0"/>
              <w:bottom w:val="single" w:color="auto" w:sz="4" w:space="0"/>
              <w:right w:val="single" w:color="auto" w:sz="4" w:space="0"/>
            </w:tcBorders>
            <w:noWrap w:val="0"/>
            <w:vAlign w:val="center"/>
          </w:tcPr>
          <w:p w14:paraId="26B93C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循环沉淀池</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351812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底泥</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E77A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一般工业固体废物</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664D50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eastAsia="zh-CN"/>
              </w:rPr>
              <w:t>循环水池内混凝</w:t>
            </w:r>
            <w:r>
              <w:rPr>
                <w:rFonts w:hint="default"/>
                <w:color w:val="auto"/>
                <w:sz w:val="21"/>
                <w:szCs w:val="21"/>
                <w:highlight w:val="none"/>
                <w:lang w:val="zh-CN" w:eastAsia="zh-CN"/>
              </w:rPr>
              <w:t>沉淀后产生的底泥</w:t>
            </w:r>
            <w:r>
              <w:rPr>
                <w:rFonts w:hint="eastAsia"/>
                <w:color w:val="auto"/>
                <w:sz w:val="21"/>
                <w:szCs w:val="21"/>
                <w:highlight w:val="none"/>
                <w:lang w:val="zh-CN" w:eastAsia="zh-CN"/>
              </w:rPr>
              <w:t>，</w:t>
            </w:r>
            <w:r>
              <w:rPr>
                <w:rFonts w:hint="default"/>
                <w:color w:val="auto"/>
                <w:sz w:val="21"/>
                <w:szCs w:val="21"/>
                <w:highlight w:val="none"/>
                <w:lang w:val="zh-CN" w:eastAsia="zh-CN"/>
              </w:rPr>
              <w:t>经</w:t>
            </w:r>
            <w:r>
              <w:rPr>
                <w:rFonts w:hint="eastAsia"/>
                <w:color w:val="auto"/>
                <w:sz w:val="21"/>
                <w:szCs w:val="21"/>
                <w:highlight w:val="none"/>
                <w:lang w:val="zh-CN" w:eastAsia="zh-CN"/>
              </w:rPr>
              <w:t>尾矿</w:t>
            </w:r>
            <w:r>
              <w:rPr>
                <w:rFonts w:hint="default"/>
                <w:color w:val="auto"/>
                <w:sz w:val="21"/>
                <w:szCs w:val="21"/>
                <w:highlight w:val="none"/>
                <w:lang w:val="zh-CN" w:eastAsia="zh-CN"/>
              </w:rPr>
              <w:t>压滤机压滤后</w:t>
            </w:r>
            <w:r>
              <w:rPr>
                <w:rFonts w:hint="eastAsia"/>
                <w:color w:val="auto"/>
                <w:sz w:val="21"/>
                <w:szCs w:val="21"/>
                <w:highlight w:val="none"/>
                <w:lang w:val="zh-CN" w:eastAsia="zh-CN"/>
              </w:rPr>
              <w:t>，</w:t>
            </w:r>
            <w:r>
              <w:rPr>
                <w:rFonts w:hint="default"/>
                <w:color w:val="auto"/>
                <w:sz w:val="21"/>
                <w:szCs w:val="21"/>
                <w:highlight w:val="none"/>
                <w:lang w:val="zh-CN" w:eastAsia="zh-CN"/>
              </w:rPr>
              <w:t>同尾矿砂一同综合利用</w:t>
            </w:r>
            <w:r>
              <w:rPr>
                <w:rFonts w:hint="eastAsia"/>
                <w:color w:val="auto"/>
                <w:sz w:val="21"/>
                <w:szCs w:val="21"/>
                <w:highlight w:val="none"/>
                <w:lang w:val="zh-CN" w:eastAsia="zh-CN"/>
              </w:rPr>
              <w:t>。</w:t>
            </w:r>
          </w:p>
        </w:tc>
        <w:tc>
          <w:tcPr>
            <w:tcW w:w="2806" w:type="dxa"/>
            <w:tcBorders>
              <w:top w:val="single" w:color="auto" w:sz="4" w:space="0"/>
              <w:left w:val="single" w:color="auto" w:sz="4" w:space="0"/>
              <w:bottom w:val="single" w:color="auto" w:sz="4" w:space="0"/>
              <w:right w:val="single" w:color="auto" w:sz="4" w:space="0"/>
            </w:tcBorders>
            <w:noWrap w:val="0"/>
            <w:vAlign w:val="center"/>
          </w:tcPr>
          <w:p w14:paraId="66D917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一般工业固体废物贮存和填埋污染控制标准》（</w:t>
            </w:r>
            <w:r>
              <w:rPr>
                <w:color w:val="auto"/>
                <w:sz w:val="21"/>
                <w:szCs w:val="21"/>
                <w:highlight w:val="none"/>
                <w:lang w:val="zh-CN"/>
              </w:rPr>
              <w:t>GB18599-2020</w:t>
            </w:r>
            <w:r>
              <w:rPr>
                <w:rFonts w:hint="eastAsia"/>
                <w:color w:val="auto"/>
                <w:sz w:val="21"/>
                <w:szCs w:val="21"/>
                <w:highlight w:val="none"/>
                <w:lang w:val="zh-CN"/>
              </w:rPr>
              <w:t>）</w:t>
            </w:r>
          </w:p>
        </w:tc>
        <w:tc>
          <w:tcPr>
            <w:tcW w:w="1085" w:type="dxa"/>
            <w:tcBorders>
              <w:top w:val="single" w:color="auto" w:sz="4" w:space="0"/>
              <w:left w:val="single" w:color="auto" w:sz="4" w:space="0"/>
              <w:bottom w:val="single" w:color="auto" w:sz="4" w:space="0"/>
              <w:right w:val="nil"/>
            </w:tcBorders>
            <w:noWrap w:val="0"/>
            <w:vAlign w:val="center"/>
          </w:tcPr>
          <w:p w14:paraId="64A1A9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zh-CN"/>
              </w:rPr>
            </w:pPr>
            <w:r>
              <w:rPr>
                <w:rFonts w:hint="eastAsia"/>
                <w:color w:val="auto"/>
                <w:sz w:val="21"/>
                <w:szCs w:val="21"/>
                <w:highlight w:val="none"/>
                <w:lang w:val="zh-CN"/>
              </w:rPr>
              <w:t>三同时</w:t>
            </w:r>
          </w:p>
        </w:tc>
      </w:tr>
      <w:tr w14:paraId="2598DB8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vMerge w:val="continue"/>
            <w:tcBorders>
              <w:top w:val="single" w:color="auto" w:sz="4" w:space="0"/>
              <w:left w:val="nil"/>
              <w:bottom w:val="single" w:color="auto" w:sz="4" w:space="0"/>
              <w:right w:val="single" w:color="auto" w:sz="4" w:space="0"/>
            </w:tcBorders>
            <w:noWrap w:val="0"/>
            <w:vAlign w:val="center"/>
          </w:tcPr>
          <w:p w14:paraId="07B523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p>
        </w:tc>
        <w:tc>
          <w:tcPr>
            <w:tcW w:w="1790" w:type="dxa"/>
            <w:tcBorders>
              <w:top w:val="single" w:color="auto" w:sz="4" w:space="0"/>
              <w:left w:val="single" w:color="auto" w:sz="4" w:space="0"/>
              <w:bottom w:val="single" w:color="auto" w:sz="4" w:space="0"/>
              <w:right w:val="single" w:color="auto" w:sz="4" w:space="0"/>
            </w:tcBorders>
            <w:noWrap w:val="0"/>
            <w:vAlign w:val="center"/>
          </w:tcPr>
          <w:p w14:paraId="43686A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员工生活</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57F6A3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生活垃圾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0016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生活垃圾</w:t>
            </w:r>
          </w:p>
        </w:tc>
        <w:tc>
          <w:tcPr>
            <w:tcW w:w="5069" w:type="dxa"/>
            <w:tcBorders>
              <w:top w:val="single" w:color="auto" w:sz="4" w:space="0"/>
              <w:left w:val="single" w:color="auto" w:sz="4" w:space="0"/>
              <w:bottom w:val="single" w:color="auto" w:sz="4" w:space="0"/>
              <w:right w:val="single" w:color="auto" w:sz="4" w:space="0"/>
            </w:tcBorders>
            <w:noWrap w:val="0"/>
            <w:vAlign w:val="center"/>
          </w:tcPr>
          <w:p w14:paraId="753F77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委托当地环卫部门清运处置</w:t>
            </w:r>
          </w:p>
        </w:tc>
        <w:tc>
          <w:tcPr>
            <w:tcW w:w="2806" w:type="dxa"/>
            <w:tcBorders>
              <w:top w:val="single" w:color="auto" w:sz="4" w:space="0"/>
              <w:left w:val="single" w:color="auto" w:sz="4" w:space="0"/>
              <w:bottom w:val="single" w:color="auto" w:sz="4" w:space="0"/>
              <w:right w:val="single" w:color="auto" w:sz="4" w:space="0"/>
            </w:tcBorders>
            <w:noWrap w:val="0"/>
            <w:vAlign w:val="center"/>
          </w:tcPr>
          <w:p w14:paraId="6F269D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妥善处置</w:t>
            </w:r>
          </w:p>
        </w:tc>
        <w:tc>
          <w:tcPr>
            <w:tcW w:w="1085" w:type="dxa"/>
            <w:tcBorders>
              <w:top w:val="single" w:color="auto" w:sz="4" w:space="0"/>
              <w:left w:val="single" w:color="auto" w:sz="4" w:space="0"/>
              <w:bottom w:val="single" w:color="auto" w:sz="4" w:space="0"/>
              <w:right w:val="nil"/>
            </w:tcBorders>
            <w:noWrap w:val="0"/>
            <w:vAlign w:val="center"/>
          </w:tcPr>
          <w:p w14:paraId="7F8B1A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三同时</w:t>
            </w:r>
          </w:p>
        </w:tc>
      </w:tr>
      <w:tr w14:paraId="0C900E4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27" w:type="dxa"/>
            <w:tcBorders>
              <w:top w:val="single" w:color="auto" w:sz="4" w:space="0"/>
              <w:left w:val="nil"/>
              <w:bottom w:val="single" w:color="auto" w:sz="12" w:space="0"/>
              <w:right w:val="single" w:color="auto" w:sz="4" w:space="0"/>
            </w:tcBorders>
            <w:noWrap w:val="0"/>
            <w:vAlign w:val="center"/>
          </w:tcPr>
          <w:p w14:paraId="68AC4A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噪声</w:t>
            </w:r>
          </w:p>
        </w:tc>
        <w:tc>
          <w:tcPr>
            <w:tcW w:w="1790" w:type="dxa"/>
            <w:tcBorders>
              <w:top w:val="single" w:color="auto" w:sz="4" w:space="0"/>
              <w:left w:val="single" w:color="auto" w:sz="4" w:space="0"/>
              <w:bottom w:val="single" w:color="auto" w:sz="12" w:space="0"/>
              <w:right w:val="single" w:color="auto" w:sz="4" w:space="0"/>
            </w:tcBorders>
            <w:noWrap w:val="0"/>
            <w:vAlign w:val="center"/>
          </w:tcPr>
          <w:p w14:paraId="30FBA5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en-US" w:eastAsia="zh-CN"/>
              </w:rPr>
              <w:t>破碎机、振动筛</w:t>
            </w:r>
            <w:r>
              <w:rPr>
                <w:rFonts w:hint="eastAsia"/>
                <w:color w:val="auto"/>
                <w:sz w:val="21"/>
                <w:szCs w:val="21"/>
                <w:highlight w:val="none"/>
                <w:lang w:val="zh-CN"/>
              </w:rPr>
              <w:t>、球磨机、浮选机、水泵等设备</w:t>
            </w:r>
          </w:p>
        </w:tc>
        <w:tc>
          <w:tcPr>
            <w:tcW w:w="2802" w:type="dxa"/>
            <w:gridSpan w:val="2"/>
            <w:tcBorders>
              <w:top w:val="single" w:color="auto" w:sz="4" w:space="0"/>
              <w:left w:val="single" w:color="auto" w:sz="4" w:space="0"/>
              <w:bottom w:val="single" w:color="auto" w:sz="12" w:space="0"/>
              <w:right w:val="single" w:color="auto" w:sz="4" w:space="0"/>
            </w:tcBorders>
            <w:noWrap w:val="0"/>
            <w:vAlign w:val="center"/>
          </w:tcPr>
          <w:p w14:paraId="02C271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等效连续</w:t>
            </w:r>
            <w:r>
              <w:rPr>
                <w:color w:val="auto"/>
                <w:sz w:val="21"/>
                <w:szCs w:val="21"/>
                <w:highlight w:val="none"/>
                <w:lang w:val="zh-CN"/>
              </w:rPr>
              <w:t>A</w:t>
            </w:r>
            <w:r>
              <w:rPr>
                <w:rFonts w:hint="eastAsia"/>
                <w:color w:val="auto"/>
                <w:sz w:val="21"/>
                <w:szCs w:val="21"/>
                <w:highlight w:val="none"/>
                <w:lang w:val="zh-CN"/>
              </w:rPr>
              <w:t>声级</w:t>
            </w:r>
          </w:p>
        </w:tc>
        <w:tc>
          <w:tcPr>
            <w:tcW w:w="5069" w:type="dxa"/>
            <w:tcBorders>
              <w:top w:val="single" w:color="auto" w:sz="4" w:space="0"/>
              <w:left w:val="single" w:color="auto" w:sz="4" w:space="0"/>
              <w:bottom w:val="single" w:color="auto" w:sz="12" w:space="0"/>
              <w:right w:val="single" w:color="auto" w:sz="4" w:space="0"/>
            </w:tcBorders>
            <w:noWrap w:val="0"/>
            <w:vAlign w:val="center"/>
          </w:tcPr>
          <w:p w14:paraId="29A1F3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封闭车间厂房隔声、设备基础减振、车间外种植植被降噪以及车辆减速慢行，禁止鸣笛</w:t>
            </w:r>
            <w:r>
              <w:rPr>
                <w:rFonts w:hint="eastAsia"/>
                <w:color w:val="auto"/>
                <w:sz w:val="21"/>
                <w:szCs w:val="21"/>
                <w:highlight w:val="none"/>
                <w:lang w:val="en-US" w:eastAsia="zh-CN"/>
              </w:rPr>
              <w:t>等</w:t>
            </w:r>
            <w:r>
              <w:rPr>
                <w:rFonts w:hint="eastAsia"/>
                <w:color w:val="auto"/>
                <w:sz w:val="21"/>
                <w:szCs w:val="21"/>
                <w:highlight w:val="none"/>
                <w:lang w:val="zh-CN"/>
              </w:rPr>
              <w:t>。</w:t>
            </w:r>
          </w:p>
        </w:tc>
        <w:tc>
          <w:tcPr>
            <w:tcW w:w="2806" w:type="dxa"/>
            <w:tcBorders>
              <w:top w:val="single" w:color="auto" w:sz="4" w:space="0"/>
              <w:left w:val="single" w:color="auto" w:sz="4" w:space="0"/>
              <w:bottom w:val="single" w:color="auto" w:sz="12" w:space="0"/>
              <w:right w:val="single" w:color="auto" w:sz="4" w:space="0"/>
            </w:tcBorders>
            <w:noWrap w:val="0"/>
            <w:vAlign w:val="center"/>
          </w:tcPr>
          <w:p w14:paraId="47CF54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《工业企业厂界环境噪声排放标准》（</w:t>
            </w:r>
            <w:r>
              <w:rPr>
                <w:color w:val="auto"/>
                <w:sz w:val="21"/>
                <w:szCs w:val="21"/>
                <w:highlight w:val="none"/>
                <w:lang w:val="zh-CN"/>
              </w:rPr>
              <w:t>GB12348-2008</w:t>
            </w:r>
            <w:r>
              <w:rPr>
                <w:rFonts w:hint="eastAsia"/>
                <w:color w:val="auto"/>
                <w:sz w:val="21"/>
                <w:szCs w:val="21"/>
                <w:highlight w:val="none"/>
                <w:lang w:val="zh-CN"/>
              </w:rPr>
              <w:t>）</w:t>
            </w:r>
            <w:r>
              <w:rPr>
                <w:rFonts w:hint="eastAsia"/>
                <w:color w:val="auto"/>
                <w:sz w:val="21"/>
                <w:szCs w:val="21"/>
                <w:highlight w:val="none"/>
                <w:lang w:val="en-US" w:eastAsia="zh-CN"/>
              </w:rPr>
              <w:t>3</w:t>
            </w:r>
            <w:r>
              <w:rPr>
                <w:rFonts w:hint="eastAsia"/>
                <w:color w:val="auto"/>
                <w:sz w:val="21"/>
                <w:szCs w:val="21"/>
                <w:highlight w:val="none"/>
                <w:lang w:val="zh-CN"/>
              </w:rPr>
              <w:t>类标准</w:t>
            </w:r>
          </w:p>
        </w:tc>
        <w:tc>
          <w:tcPr>
            <w:tcW w:w="1085" w:type="dxa"/>
            <w:tcBorders>
              <w:top w:val="single" w:color="auto" w:sz="4" w:space="0"/>
              <w:left w:val="single" w:color="auto" w:sz="4" w:space="0"/>
              <w:bottom w:val="single" w:color="auto" w:sz="12" w:space="0"/>
              <w:right w:val="nil"/>
            </w:tcBorders>
            <w:noWrap w:val="0"/>
            <w:vAlign w:val="center"/>
          </w:tcPr>
          <w:p w14:paraId="10A5AB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lang w:val="zh-CN"/>
              </w:rPr>
            </w:pPr>
            <w:r>
              <w:rPr>
                <w:rFonts w:hint="eastAsia"/>
                <w:color w:val="auto"/>
                <w:sz w:val="21"/>
                <w:szCs w:val="21"/>
                <w:highlight w:val="none"/>
                <w:lang w:val="zh-CN"/>
              </w:rPr>
              <w:t>三同时</w:t>
            </w:r>
          </w:p>
        </w:tc>
      </w:tr>
    </w:tbl>
    <w:p w14:paraId="04370F13">
      <w:pPr>
        <w:spacing w:before="68" w:line="220" w:lineRule="auto"/>
        <w:ind w:left="5189"/>
        <w:rPr>
          <w:rFonts w:ascii="宋体" w:hAnsi="宋体" w:eastAsia="宋体" w:cs="宋体"/>
          <w:b/>
          <w:bCs/>
          <w:color w:val="auto"/>
          <w:spacing w:val="-2"/>
          <w:sz w:val="21"/>
          <w:szCs w:val="21"/>
          <w:highlight w:val="none"/>
        </w:rPr>
      </w:pPr>
    </w:p>
    <w:p w14:paraId="76546247">
      <w:pPr>
        <w:spacing w:line="220" w:lineRule="auto"/>
        <w:rPr>
          <w:rFonts w:ascii="宋体" w:hAnsi="宋体" w:eastAsia="宋体" w:cs="宋体"/>
          <w:color w:val="auto"/>
          <w:sz w:val="21"/>
          <w:szCs w:val="21"/>
          <w:highlight w:val="none"/>
        </w:rPr>
        <w:sectPr>
          <w:pgSz w:w="16839" w:h="11907" w:orient="landscape"/>
          <w:pgMar w:top="1195" w:right="1387" w:bottom="1028" w:left="1389" w:header="863" w:footer="1009" w:gutter="0"/>
          <w:pgBorders>
            <w:top w:val="none" w:sz="0" w:space="0"/>
            <w:left w:val="none" w:sz="0" w:space="0"/>
            <w:bottom w:val="none" w:sz="0" w:space="0"/>
            <w:right w:val="none" w:sz="0" w:space="0"/>
          </w:pgBorders>
          <w:pgNumType w:fmt="decimal"/>
          <w:cols w:space="720" w:num="1"/>
        </w:sectPr>
      </w:pPr>
    </w:p>
    <w:p w14:paraId="5D52FE0F">
      <w:pPr>
        <w:pStyle w:val="3"/>
        <w:spacing w:before="120" w:after="120"/>
        <w:rPr>
          <w:rFonts w:hint="eastAsia"/>
          <w:color w:val="auto"/>
          <w:highlight w:val="none"/>
        </w:rPr>
      </w:pPr>
      <w:bookmarkStart w:id="276" w:name="bookmark352"/>
      <w:bookmarkEnd w:id="276"/>
      <w:bookmarkStart w:id="277" w:name="bookmark351"/>
      <w:bookmarkEnd w:id="277"/>
      <w:bookmarkStart w:id="278" w:name="_Toc1470"/>
      <w:r>
        <w:rPr>
          <w:rFonts w:hint="eastAsia"/>
          <w:color w:val="auto"/>
          <w:highlight w:val="none"/>
        </w:rPr>
        <w:t>结论与建议</w:t>
      </w:r>
      <w:bookmarkEnd w:id="278"/>
    </w:p>
    <w:p w14:paraId="6BA9342B">
      <w:pPr>
        <w:pStyle w:val="4"/>
        <w:spacing w:before="120" w:after="120"/>
        <w:rPr>
          <w:rFonts w:hint="eastAsia"/>
          <w:color w:val="auto"/>
          <w:highlight w:val="none"/>
        </w:rPr>
      </w:pPr>
      <w:bookmarkStart w:id="279" w:name="bookmark354"/>
      <w:bookmarkEnd w:id="279"/>
      <w:bookmarkStart w:id="280" w:name="bookmark353"/>
      <w:bookmarkEnd w:id="280"/>
      <w:bookmarkStart w:id="281" w:name="_Toc7168"/>
      <w:r>
        <w:rPr>
          <w:rFonts w:hint="eastAsia"/>
          <w:color w:val="auto"/>
          <w:highlight w:val="none"/>
        </w:rPr>
        <w:t>项目建设概况</w:t>
      </w:r>
      <w:bookmarkEnd w:id="281"/>
    </w:p>
    <w:p w14:paraId="46A7D54D">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本项目位于内蒙古锡林郭勒多伦经济开发区</w:t>
      </w:r>
      <w:r>
        <w:rPr>
          <w:rFonts w:hint="eastAsia"/>
          <w:color w:val="auto"/>
          <w:highlight w:val="none"/>
          <w:lang w:val="en-US" w:eastAsia="zh-CN"/>
        </w:rPr>
        <w:t>多伦县隆盛新型建材有限公司盟东水泥厂院内</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本</w:t>
      </w:r>
      <w:r>
        <w:rPr>
          <w:rFonts w:hint="eastAsia" w:ascii="Times New Roman" w:hAnsi="Times New Roman" w:cs="Times New Roman"/>
          <w:color w:val="auto"/>
          <w:highlight w:val="none"/>
          <w:lang w:val="en-US" w:eastAsia="zh-CN"/>
        </w:rPr>
        <w:t>项目占地面积</w:t>
      </w:r>
      <w:r>
        <w:rPr>
          <w:rFonts w:hint="eastAsia" w:cs="Times New Roman"/>
          <w:color w:val="auto"/>
          <w:highlight w:val="none"/>
          <w:lang w:val="en-US" w:eastAsia="zh-CN"/>
        </w:rPr>
        <w:t>16650</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2</w:t>
      </w:r>
      <w:r>
        <w:rPr>
          <w:rFonts w:hint="eastAsia" w:cs="Times New Roman"/>
          <w:color w:val="auto"/>
          <w:highlight w:val="none"/>
          <w:vertAlign w:val="baseline"/>
          <w:lang w:val="en-US" w:eastAsia="zh-CN"/>
        </w:rPr>
        <w:t>，</w:t>
      </w:r>
      <w:r>
        <w:rPr>
          <w:rFonts w:hint="eastAsia" w:ascii="Times New Roman" w:hAnsi="Times New Roman" w:cs="Times New Roman"/>
          <w:color w:val="auto"/>
          <w:highlight w:val="none"/>
          <w:lang w:val="en-US" w:eastAsia="zh-CN"/>
        </w:rPr>
        <w:t>总投资</w:t>
      </w:r>
      <w:r>
        <w:rPr>
          <w:rFonts w:hint="eastAsia" w:cs="Times New Roman"/>
          <w:color w:val="auto"/>
          <w:highlight w:val="none"/>
          <w:lang w:val="en-US" w:eastAsia="zh-CN"/>
        </w:rPr>
        <w:t>2000</w:t>
      </w:r>
      <w:r>
        <w:rPr>
          <w:rFonts w:hint="eastAsia" w:ascii="Times New Roman" w:hAnsi="Times New Roman" w:cs="Times New Roman"/>
          <w:color w:val="auto"/>
          <w:highlight w:val="none"/>
          <w:lang w:val="en-US" w:eastAsia="zh-CN"/>
        </w:rPr>
        <w:t>万元，其中环保投资</w:t>
      </w:r>
      <w:r>
        <w:rPr>
          <w:rFonts w:hint="eastAsia" w:cs="Times New Roman"/>
          <w:color w:val="auto"/>
          <w:highlight w:val="none"/>
          <w:lang w:val="en-US" w:eastAsia="zh-CN"/>
        </w:rPr>
        <w:t>345</w:t>
      </w:r>
      <w:r>
        <w:rPr>
          <w:rFonts w:hint="eastAsia" w:ascii="Times New Roman" w:hAnsi="Times New Roman" w:cs="Times New Roman"/>
          <w:color w:val="auto"/>
          <w:highlight w:val="none"/>
          <w:lang w:val="en-US" w:eastAsia="zh-CN"/>
        </w:rPr>
        <w:t>万元，占总投资的</w:t>
      </w:r>
      <w:r>
        <w:rPr>
          <w:rFonts w:hint="eastAsia" w:cs="Times New Roman"/>
          <w:color w:val="auto"/>
          <w:highlight w:val="none"/>
          <w:lang w:val="en-US" w:eastAsia="zh-CN"/>
        </w:rPr>
        <w:t>17.25</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建设</w:t>
      </w:r>
      <w:r>
        <w:rPr>
          <w:rFonts w:hint="eastAsia" w:ascii="Times New Roman" w:hAnsi="Times New Roman" w:cs="Times New Roman"/>
          <w:color w:val="auto"/>
          <w:highlight w:val="none"/>
          <w:lang w:val="en-US" w:eastAsia="zh-CN"/>
        </w:rPr>
        <w:t>原矿石洗选量为30×10</w:t>
      </w:r>
      <w:r>
        <w:rPr>
          <w:rFonts w:hint="eastAsia" w:ascii="Times New Roman" w:hAnsi="Times New Roman" w:cs="Times New Roman"/>
          <w:color w:val="auto"/>
          <w:highlight w:val="none"/>
          <w:vertAlign w:val="superscript"/>
          <w:lang w:val="en-US" w:eastAsia="zh-CN"/>
        </w:rPr>
        <w:t>4</w:t>
      </w:r>
      <w:r>
        <w:rPr>
          <w:rFonts w:hint="eastAsia" w:ascii="Times New Roman" w:hAnsi="Times New Roman" w:cs="Times New Roman"/>
          <w:color w:val="auto"/>
          <w:highlight w:val="none"/>
          <w:lang w:val="en-US" w:eastAsia="zh-CN"/>
        </w:rPr>
        <w:t>t/a（1000t/d）生产线。建设内容包括：破碎、筛选车间、洗选车间、尾矿砂暂存库、产品精矿粉库、原矿堆放场、变配电室</w:t>
      </w:r>
      <w:r>
        <w:rPr>
          <w:rFonts w:hint="eastAsia" w:cs="Times New Roman"/>
          <w:color w:val="auto"/>
          <w:highlight w:val="none"/>
          <w:lang w:val="en-US" w:eastAsia="zh-CN"/>
        </w:rPr>
        <w:t>及除尘环保设施</w:t>
      </w:r>
      <w:r>
        <w:rPr>
          <w:rFonts w:hint="eastAsia" w:ascii="Times New Roman" w:hAnsi="Times New Roman" w:cs="Times New Roman"/>
          <w:color w:val="auto"/>
          <w:highlight w:val="none"/>
          <w:lang w:val="en-US" w:eastAsia="zh-CN"/>
        </w:rPr>
        <w:t>等。</w:t>
      </w:r>
    </w:p>
    <w:p w14:paraId="7A17A886">
      <w:pPr>
        <w:pStyle w:val="4"/>
        <w:spacing w:before="120" w:after="120"/>
        <w:rPr>
          <w:rFonts w:hint="eastAsia"/>
          <w:color w:val="auto"/>
          <w:highlight w:val="none"/>
        </w:rPr>
      </w:pPr>
      <w:bookmarkStart w:id="282" w:name="bookmark356"/>
      <w:bookmarkEnd w:id="282"/>
      <w:bookmarkStart w:id="283" w:name="bookmark355"/>
      <w:bookmarkEnd w:id="283"/>
      <w:bookmarkStart w:id="284" w:name="_Toc29036"/>
      <w:r>
        <w:rPr>
          <w:rFonts w:hint="eastAsia"/>
          <w:color w:val="auto"/>
          <w:highlight w:val="none"/>
        </w:rPr>
        <w:t>环境质量现状</w:t>
      </w:r>
      <w:bookmarkEnd w:id="284"/>
    </w:p>
    <w:p w14:paraId="20DD2E41">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环境空气质量现状</w:t>
      </w:r>
    </w:p>
    <w:p w14:paraId="000FBFBA">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根据</w:t>
      </w:r>
      <w:r>
        <w:rPr>
          <w:rFonts w:hint="eastAsia"/>
          <w:color w:val="auto"/>
          <w:highlight w:val="none"/>
          <w:lang w:val="en-US" w:eastAsia="zh-CN"/>
        </w:rPr>
        <w:t>《2023内蒙古自治区生态环境状况公报》可知，</w:t>
      </w:r>
      <w:r>
        <w:rPr>
          <w:rFonts w:hint="eastAsia" w:ascii="Times New Roman" w:hAnsi="Times New Roman" w:cs="Times New Roman"/>
          <w:color w:val="auto"/>
          <w:highlight w:val="none"/>
          <w:lang w:val="en-US" w:eastAsia="zh-CN"/>
        </w:rPr>
        <w:t>基本污染物年评价指标中，六项指标中SO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、NO</w:t>
      </w:r>
      <w:r>
        <w:rPr>
          <w:rFonts w:hint="eastAsia" w:ascii="Times New Roman" w:hAnsi="Times New Roman" w:cs="Times New Roman"/>
          <w:color w:val="auto"/>
          <w:highlight w:val="none"/>
          <w:vertAlign w:val="subscript"/>
          <w:lang w:val="en-US" w:eastAsia="zh-CN"/>
        </w:rPr>
        <w:t>2</w:t>
      </w:r>
      <w:r>
        <w:rPr>
          <w:rFonts w:hint="eastAsia" w:ascii="Times New Roman" w:hAnsi="Times New Roman" w:cs="Times New Roman"/>
          <w:color w:val="auto"/>
          <w:highlight w:val="none"/>
          <w:lang w:val="en-US" w:eastAsia="zh-CN"/>
        </w:rPr>
        <w:t>、CO、O</w:t>
      </w:r>
      <w:r>
        <w:rPr>
          <w:rFonts w:hint="eastAsia" w:ascii="Times New Roman" w:hAnsi="Times New Roman" w:cs="Times New Roman"/>
          <w:color w:val="auto"/>
          <w:highlight w:val="none"/>
          <w:vertAlign w:val="subscript"/>
          <w:lang w:val="en-US" w:eastAsia="zh-CN"/>
        </w:rPr>
        <w:t>3</w:t>
      </w:r>
      <w:r>
        <w:rPr>
          <w:rFonts w:hint="eastAsia" w:ascii="Times New Roman" w:hAnsi="Times New Roman" w:cs="Times New Roman"/>
          <w:color w:val="auto"/>
          <w:highlight w:val="none"/>
          <w:lang w:val="en-US" w:eastAsia="zh-CN"/>
        </w:rPr>
        <w:t>、PM</w:t>
      </w:r>
      <w:r>
        <w:rPr>
          <w:rFonts w:hint="eastAsia" w:ascii="Times New Roman" w:hAnsi="Times New Roman" w:cs="Times New Roman"/>
          <w:color w:val="auto"/>
          <w:highlight w:val="none"/>
          <w:vertAlign w:val="subscript"/>
          <w:lang w:val="en-US" w:eastAsia="zh-CN"/>
        </w:rPr>
        <w:t>10</w:t>
      </w:r>
      <w:r>
        <w:rPr>
          <w:rFonts w:hint="eastAsia" w:ascii="Times New Roman" w:hAnsi="Times New Roman" w:cs="Times New Roman"/>
          <w:color w:val="auto"/>
          <w:highlight w:val="none"/>
          <w:lang w:val="en-US" w:eastAsia="zh-CN"/>
        </w:rPr>
        <w:t>和PM</w:t>
      </w:r>
      <w:r>
        <w:rPr>
          <w:rFonts w:hint="eastAsia" w:ascii="Times New Roman" w:hAnsi="Times New Roman" w:cs="Times New Roman"/>
          <w:color w:val="auto"/>
          <w:highlight w:val="none"/>
          <w:vertAlign w:val="subscript"/>
          <w:lang w:val="en-US" w:eastAsia="zh-CN"/>
        </w:rPr>
        <w:t>2.5</w:t>
      </w:r>
      <w:r>
        <w:rPr>
          <w:rFonts w:hint="eastAsia" w:ascii="Times New Roman" w:hAnsi="Times New Roman" w:cs="Times New Roman"/>
          <w:color w:val="auto"/>
          <w:highlight w:val="none"/>
          <w:lang w:val="en-US" w:eastAsia="zh-CN"/>
        </w:rPr>
        <w:t>满足《环境空气质量标准》（GB3095-2012）中二级标准限值，由此可判断该地区为达标区</w:t>
      </w:r>
      <w:r>
        <w:rPr>
          <w:rFonts w:hint="eastAsia" w:cs="Times New Roman"/>
          <w:color w:val="auto"/>
          <w:highlight w:val="none"/>
          <w:lang w:val="en-US" w:eastAsia="zh-CN"/>
        </w:rPr>
        <w:t>；本次评价厂区下风向</w:t>
      </w:r>
      <w:r>
        <w:rPr>
          <w:rFonts w:hint="eastAsia" w:ascii="Times New Roman" w:hAnsi="Times New Roman" w:cs="Times New Roman"/>
          <w:color w:val="auto"/>
          <w:highlight w:val="none"/>
          <w:lang w:val="en-US" w:eastAsia="zh-CN"/>
        </w:rPr>
        <w:t>补充监测</w:t>
      </w:r>
      <w:r>
        <w:rPr>
          <w:rFonts w:hint="eastAsia" w:cs="Times New Roman"/>
          <w:color w:val="auto"/>
          <w:highlight w:val="none"/>
          <w:lang w:val="en-US" w:eastAsia="zh-CN"/>
        </w:rPr>
        <w:t>点TSP日均</w:t>
      </w:r>
      <w:r>
        <w:rPr>
          <w:rFonts w:hint="eastAsia" w:ascii="Times New Roman" w:hAnsi="Times New Roman" w:cs="Times New Roman"/>
          <w:color w:val="auto"/>
          <w:highlight w:val="none"/>
          <w:lang w:val="en-US" w:eastAsia="zh-CN"/>
        </w:rPr>
        <w:t>浓度值满足相关标准要求</w:t>
      </w:r>
      <w:r>
        <w:rPr>
          <w:rFonts w:hint="eastAsia" w:cs="Times New Roman"/>
          <w:color w:val="auto"/>
          <w:highlight w:val="none"/>
          <w:lang w:val="en-US" w:eastAsia="zh-CN"/>
        </w:rPr>
        <w:t>，故</w:t>
      </w:r>
      <w:r>
        <w:rPr>
          <w:rFonts w:hint="eastAsia" w:ascii="Times New Roman" w:hAnsi="Times New Roman" w:cs="Times New Roman"/>
          <w:color w:val="auto"/>
          <w:highlight w:val="none"/>
          <w:lang w:val="en-US" w:eastAsia="zh-CN"/>
        </w:rPr>
        <w:t>项目所在区域环境空气质量现状良好。</w:t>
      </w:r>
    </w:p>
    <w:p w14:paraId="51194453">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地下水环境质量现状</w:t>
      </w:r>
    </w:p>
    <w:p w14:paraId="613A3CFA">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本次评价</w:t>
      </w:r>
      <w:r>
        <w:rPr>
          <w:rFonts w:hint="eastAsia"/>
          <w:color w:val="auto"/>
          <w:highlight w:val="none"/>
          <w:lang w:val="en-US" w:eastAsia="zh-CN"/>
        </w:rPr>
        <w:t>所有</w:t>
      </w:r>
      <w:r>
        <w:rPr>
          <w:rFonts w:hint="eastAsia"/>
          <w:color w:val="auto"/>
          <w:highlight w:val="none"/>
        </w:rPr>
        <w:t>监测因子</w:t>
      </w:r>
      <w:r>
        <w:rPr>
          <w:rFonts w:hint="eastAsia"/>
          <w:color w:val="auto"/>
          <w:highlight w:val="none"/>
          <w:lang w:val="en-US" w:eastAsia="zh-CN"/>
        </w:rPr>
        <w:t>中钠离子有超标现象，钠离子超标是因区域地质条件造成，其他因子</w:t>
      </w:r>
      <w:r>
        <w:rPr>
          <w:rFonts w:hint="eastAsia"/>
          <w:color w:val="auto"/>
          <w:highlight w:val="none"/>
        </w:rPr>
        <w:t>均达到《地下水环境质量标准》（GB/T14848—2017）Ⅲ类标准要求</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故项目</w:t>
      </w:r>
      <w:r>
        <w:rPr>
          <w:rFonts w:hint="eastAsia" w:ascii="Times New Roman" w:hAnsi="Times New Roman" w:cs="Times New Roman"/>
          <w:color w:val="auto"/>
          <w:highlight w:val="none"/>
          <w:lang w:val="en-US" w:eastAsia="zh-CN"/>
        </w:rPr>
        <w:t>区域地下水</w:t>
      </w:r>
      <w:r>
        <w:rPr>
          <w:rFonts w:hint="eastAsia" w:cs="Times New Roman"/>
          <w:color w:val="auto"/>
          <w:highlight w:val="none"/>
          <w:lang w:val="en-US" w:eastAsia="zh-CN"/>
        </w:rPr>
        <w:t>环境质量</w:t>
      </w:r>
      <w:r>
        <w:rPr>
          <w:rFonts w:hint="eastAsia" w:ascii="Times New Roman" w:hAnsi="Times New Roman" w:cs="Times New Roman"/>
          <w:color w:val="auto"/>
          <w:highlight w:val="none"/>
          <w:lang w:val="en-US" w:eastAsia="zh-CN"/>
        </w:rPr>
        <w:t>总体良好。</w:t>
      </w:r>
    </w:p>
    <w:p w14:paraId="7C0B306D">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土壤环境质量现状</w:t>
      </w:r>
    </w:p>
    <w:p w14:paraId="19B6DC91">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本次评价补充监测厂区内3个表层样</w:t>
      </w:r>
      <w:r>
        <w:rPr>
          <w:rFonts w:hint="eastAsia" w:ascii="Times New Roman" w:hAnsi="Times New Roman" w:cs="Times New Roman"/>
          <w:color w:val="auto"/>
          <w:highlight w:val="none"/>
          <w:lang w:val="en-US" w:eastAsia="zh-CN"/>
        </w:rPr>
        <w:t>点均满足《土壤环境质量建设用地土壤污染风险管控标准(试行)》(GB36600-2018)第二类用地筛选值要求，</w:t>
      </w:r>
      <w:r>
        <w:rPr>
          <w:rFonts w:hint="eastAsia" w:cs="Times New Roman"/>
          <w:color w:val="auto"/>
          <w:highlight w:val="none"/>
          <w:lang w:val="en-US" w:eastAsia="zh-CN"/>
        </w:rPr>
        <w:t>故</w:t>
      </w:r>
      <w:r>
        <w:rPr>
          <w:rFonts w:hint="eastAsia" w:ascii="Times New Roman" w:hAnsi="Times New Roman" w:cs="Times New Roman"/>
          <w:color w:val="auto"/>
          <w:highlight w:val="none"/>
          <w:lang w:val="en-US" w:eastAsia="zh-CN"/>
        </w:rPr>
        <w:t>项目</w:t>
      </w:r>
      <w:r>
        <w:rPr>
          <w:rFonts w:hint="eastAsia" w:cs="Times New Roman"/>
          <w:color w:val="auto"/>
          <w:highlight w:val="none"/>
          <w:lang w:val="en-US" w:eastAsia="zh-CN"/>
        </w:rPr>
        <w:t>厂区</w:t>
      </w:r>
      <w:r>
        <w:rPr>
          <w:rFonts w:hint="eastAsia" w:ascii="Times New Roman" w:hAnsi="Times New Roman" w:cs="Times New Roman"/>
          <w:color w:val="auto"/>
          <w:highlight w:val="none"/>
          <w:lang w:val="en-US" w:eastAsia="zh-CN"/>
        </w:rPr>
        <w:t>土壤环境质量良好。</w:t>
      </w:r>
    </w:p>
    <w:p w14:paraId="33009CD7">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cs="Times New Roman"/>
          <w:color w:val="auto"/>
          <w:highlight w:val="none"/>
          <w:lang w:val="en-US" w:eastAsia="zh-CN"/>
        </w:rPr>
        <w:t>声环境质量现状</w:t>
      </w:r>
    </w:p>
    <w:p w14:paraId="48597BF7">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本次评价补充监测可知，</w:t>
      </w:r>
      <w:r>
        <w:rPr>
          <w:rFonts w:hint="eastAsia"/>
          <w:color w:val="auto"/>
          <w:spacing w:val="-2"/>
          <w:highlight w:val="none"/>
        </w:rPr>
        <w:t>厂界四周声环境均满足《声环境质量标准》（</w:t>
      </w:r>
      <w:r>
        <w:rPr>
          <w:color w:val="auto"/>
          <w:spacing w:val="-2"/>
          <w:highlight w:val="none"/>
        </w:rPr>
        <w:t>GB3096-2008</w:t>
      </w:r>
      <w:r>
        <w:rPr>
          <w:rFonts w:hint="eastAsia"/>
          <w:color w:val="auto"/>
          <w:spacing w:val="-2"/>
          <w:highlight w:val="none"/>
        </w:rPr>
        <w:t>）中的</w:t>
      </w:r>
      <w:r>
        <w:rPr>
          <w:color w:val="auto"/>
          <w:spacing w:val="-2"/>
          <w:highlight w:val="none"/>
        </w:rPr>
        <w:t>3</w:t>
      </w:r>
      <w:r>
        <w:rPr>
          <w:rFonts w:hint="eastAsia"/>
          <w:color w:val="auto"/>
          <w:spacing w:val="-2"/>
          <w:highlight w:val="none"/>
        </w:rPr>
        <w:t>类标准要求</w:t>
      </w:r>
      <w:r>
        <w:rPr>
          <w:rFonts w:hint="eastAsia" w:ascii="Times New Roman" w:hAnsi="Times New Roman" w:cs="Times New Roman"/>
          <w:color w:val="auto"/>
          <w:highlight w:val="none"/>
          <w:lang w:val="en-US" w:eastAsia="zh-CN"/>
        </w:rPr>
        <w:t>。</w:t>
      </w:r>
    </w:p>
    <w:p w14:paraId="4D3B751C">
      <w:pPr>
        <w:pStyle w:val="4"/>
        <w:spacing w:before="120" w:after="120"/>
        <w:rPr>
          <w:rFonts w:hint="eastAsia"/>
          <w:color w:val="auto"/>
          <w:highlight w:val="none"/>
        </w:rPr>
      </w:pPr>
      <w:bookmarkStart w:id="285" w:name="bookmark357"/>
      <w:bookmarkEnd w:id="285"/>
      <w:bookmarkStart w:id="286" w:name="bookmark358"/>
      <w:bookmarkEnd w:id="286"/>
      <w:bookmarkStart w:id="287" w:name="_Toc6781"/>
      <w:r>
        <w:rPr>
          <w:rFonts w:hint="eastAsia"/>
          <w:color w:val="auto"/>
          <w:highlight w:val="none"/>
        </w:rPr>
        <w:t>主要环境影响</w:t>
      </w:r>
      <w:bookmarkEnd w:id="287"/>
    </w:p>
    <w:p w14:paraId="331B0049">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大气环境影响</w:t>
      </w:r>
    </w:p>
    <w:p w14:paraId="369E7FE5">
      <w:pPr>
        <w:ind w:firstLine="480"/>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根据大气环境影响预测结果可知，</w:t>
      </w:r>
      <w:r>
        <w:rPr>
          <w:rFonts w:hint="eastAsia" w:cs="Times New Roman"/>
          <w:color w:val="auto"/>
          <w:highlight w:val="none"/>
          <w:lang w:val="en-US" w:eastAsia="zh-CN"/>
        </w:rPr>
        <w:t>本</w:t>
      </w:r>
      <w:r>
        <w:rPr>
          <w:rFonts w:hint="eastAsia" w:ascii="Times New Roman" w:hAnsi="Times New Roman" w:cs="Times New Roman"/>
          <w:color w:val="auto"/>
          <w:highlight w:val="none"/>
          <w:lang w:val="en-US" w:eastAsia="zh-CN"/>
        </w:rPr>
        <w:t>项目无组织排放源包括原矿堆场、精粉库、破碎及筛分车间、输送皮带、车辆运输、物料装卸等，各工序经相应措施治理后，粉尘对各厂界贡献浓度满足《大气污染物综合排放标准》（GB16297-1996）表2中颗粒物无组织排放浓度限值要求；破碎、筛分设备产生的颗粒物，采取相应的治理措施后，颗粒物的排放满足《大气污染物综合排放标准》（GB16297-1996）表2中大气污染物排放浓度限值要求</w:t>
      </w:r>
      <w:r>
        <w:rPr>
          <w:rFonts w:hint="eastAsia" w:cs="Times New Roman"/>
          <w:color w:val="auto"/>
          <w:highlight w:val="none"/>
          <w:lang w:val="en-US" w:eastAsia="zh-CN"/>
        </w:rPr>
        <w:t>。本项目排放的废气污染物满足《环境空气质量标准》（GB3095-2012）及修改单中二级标准浓度限值，由此可见，本项目建设对环境空气影响较小。</w:t>
      </w:r>
    </w:p>
    <w:p w14:paraId="655400F2">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地下水环境影响</w:t>
      </w:r>
    </w:p>
    <w:p w14:paraId="77A8A31B">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w:t>
      </w:r>
      <w:r>
        <w:rPr>
          <w:rFonts w:hint="eastAsia" w:cs="Times New Roman"/>
          <w:color w:val="auto"/>
          <w:highlight w:val="none"/>
          <w:lang w:val="en-US" w:eastAsia="zh-CN"/>
        </w:rPr>
        <w:t>预测结果可知，</w:t>
      </w:r>
      <w:r>
        <w:rPr>
          <w:rFonts w:hint="eastAsia" w:ascii="Times New Roman" w:hAnsi="Times New Roman" w:cs="Times New Roman"/>
          <w:color w:val="auto"/>
          <w:highlight w:val="none"/>
          <w:lang w:val="en-US" w:eastAsia="zh-CN"/>
        </w:rPr>
        <w:t>本项目在建设项目各个不同阶段，除场界污染泄漏点小范围以外地区，均能满足地下水质量标准中相关要求，从地下水环境保护角度分析，本建设项目可行。</w:t>
      </w:r>
    </w:p>
    <w:p w14:paraId="64F1B7E9">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地表水环境影响</w:t>
      </w:r>
    </w:p>
    <w:p w14:paraId="0BE78161">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本</w:t>
      </w:r>
      <w:r>
        <w:rPr>
          <w:rFonts w:hint="eastAsia" w:ascii="Times New Roman" w:hAnsi="Times New Roman" w:cs="Times New Roman"/>
          <w:color w:val="auto"/>
          <w:highlight w:val="none"/>
          <w:lang w:val="en-US" w:eastAsia="zh-CN"/>
        </w:rPr>
        <w:t>项目产生的</w:t>
      </w:r>
      <w:r>
        <w:rPr>
          <w:rFonts w:hint="eastAsia" w:cs="Times New Roman"/>
          <w:color w:val="auto"/>
          <w:highlight w:val="none"/>
          <w:lang w:val="en-US" w:eastAsia="zh-CN"/>
        </w:rPr>
        <w:t>生产</w:t>
      </w:r>
      <w:r>
        <w:rPr>
          <w:rFonts w:hint="eastAsia" w:ascii="Times New Roman" w:hAnsi="Times New Roman" w:cs="Times New Roman"/>
          <w:color w:val="auto"/>
          <w:highlight w:val="none"/>
          <w:lang w:val="en-US" w:eastAsia="zh-CN"/>
        </w:rPr>
        <w:t>废水全部</w:t>
      </w:r>
      <w:r>
        <w:rPr>
          <w:rFonts w:hint="eastAsia" w:cs="Times New Roman"/>
          <w:color w:val="auto"/>
          <w:highlight w:val="none"/>
          <w:lang w:val="en-US" w:eastAsia="zh-CN"/>
        </w:rPr>
        <w:t>循环</w:t>
      </w:r>
      <w:r>
        <w:rPr>
          <w:rFonts w:hint="eastAsia" w:ascii="Times New Roman" w:hAnsi="Times New Roman" w:cs="Times New Roman"/>
          <w:color w:val="auto"/>
          <w:highlight w:val="none"/>
          <w:lang w:val="en-US" w:eastAsia="zh-CN"/>
        </w:rPr>
        <w:t>利用，</w:t>
      </w:r>
      <w:r>
        <w:rPr>
          <w:rFonts w:hint="eastAsia" w:cs="Times New Roman"/>
          <w:color w:val="auto"/>
          <w:highlight w:val="none"/>
          <w:lang w:val="en-US" w:eastAsia="zh-CN"/>
        </w:rPr>
        <w:t>不</w:t>
      </w:r>
      <w:r>
        <w:rPr>
          <w:rFonts w:hint="eastAsia" w:ascii="Times New Roman" w:hAnsi="Times New Roman" w:cs="Times New Roman"/>
          <w:color w:val="auto"/>
          <w:highlight w:val="none"/>
          <w:lang w:val="en-US" w:eastAsia="zh-CN"/>
        </w:rPr>
        <w:t>外排</w:t>
      </w:r>
      <w:r>
        <w:rPr>
          <w:rFonts w:hint="eastAsia" w:cs="Times New Roman"/>
          <w:color w:val="auto"/>
          <w:highlight w:val="none"/>
          <w:lang w:val="en-US" w:eastAsia="zh-CN"/>
        </w:rPr>
        <w:t>；生活污水</w:t>
      </w:r>
      <w:r>
        <w:rPr>
          <w:rFonts w:hint="eastAsia"/>
          <w:color w:val="auto"/>
          <w:highlight w:val="none"/>
          <w:lang w:val="en-US" w:eastAsia="zh-CN"/>
        </w:rPr>
        <w:t>定期拉运至诺尔镇污水处理厂集中处理，不外排</w:t>
      </w:r>
      <w:r>
        <w:rPr>
          <w:rFonts w:hint="eastAsia" w:ascii="Times New Roman" w:hAnsi="Times New Roman" w:cs="Times New Roman"/>
          <w:color w:val="auto"/>
          <w:highlight w:val="none"/>
          <w:lang w:val="en-US" w:eastAsia="zh-CN"/>
        </w:rPr>
        <w:t>。项目拟采取的水污染控制措施合理、有效，</w:t>
      </w:r>
      <w:r>
        <w:rPr>
          <w:rFonts w:hint="eastAsia" w:cs="Times New Roman"/>
          <w:color w:val="auto"/>
          <w:highlight w:val="none"/>
          <w:lang w:val="en-US" w:eastAsia="zh-CN"/>
        </w:rPr>
        <w:t>本</w:t>
      </w:r>
      <w:r>
        <w:rPr>
          <w:rFonts w:hint="eastAsia" w:ascii="Times New Roman" w:hAnsi="Times New Roman" w:cs="Times New Roman"/>
          <w:color w:val="auto"/>
          <w:highlight w:val="none"/>
          <w:lang w:val="en-US" w:eastAsia="zh-CN"/>
        </w:rPr>
        <w:t>项目的生产运行</w:t>
      </w:r>
      <w:r>
        <w:rPr>
          <w:rFonts w:hint="eastAsia" w:cs="Times New Roman"/>
          <w:color w:val="auto"/>
          <w:highlight w:val="none"/>
          <w:lang w:val="en-US" w:eastAsia="zh-CN"/>
        </w:rPr>
        <w:t>不会对</w:t>
      </w:r>
      <w:r>
        <w:rPr>
          <w:rFonts w:hint="eastAsia" w:ascii="Times New Roman" w:hAnsi="Times New Roman" w:cs="Times New Roman"/>
          <w:color w:val="auto"/>
          <w:highlight w:val="none"/>
          <w:lang w:val="en-US" w:eastAsia="zh-CN"/>
        </w:rPr>
        <w:t>对地表水环境</w:t>
      </w:r>
      <w:r>
        <w:rPr>
          <w:rFonts w:hint="eastAsia" w:cs="Times New Roman"/>
          <w:color w:val="auto"/>
          <w:highlight w:val="none"/>
          <w:lang w:val="en-US" w:eastAsia="zh-CN"/>
        </w:rPr>
        <w:t>造成</w:t>
      </w:r>
      <w:r>
        <w:rPr>
          <w:rFonts w:hint="eastAsia" w:ascii="Times New Roman" w:hAnsi="Times New Roman" w:cs="Times New Roman"/>
          <w:color w:val="auto"/>
          <w:highlight w:val="none"/>
          <w:lang w:val="en-US" w:eastAsia="zh-CN"/>
        </w:rPr>
        <w:t>影响。</w:t>
      </w:r>
    </w:p>
    <w:p w14:paraId="0696BC8F">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cs="Times New Roman"/>
          <w:color w:val="auto"/>
          <w:highlight w:val="none"/>
          <w:lang w:val="en-US" w:eastAsia="zh-CN"/>
        </w:rPr>
        <w:t>声环境影响</w:t>
      </w:r>
    </w:p>
    <w:p w14:paraId="25F7C15C">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根据预测结果可知，</w:t>
      </w:r>
      <w:r>
        <w:rPr>
          <w:rFonts w:hint="eastAsia" w:ascii="Times New Roman" w:hAnsi="Times New Roman" w:cs="Times New Roman"/>
          <w:color w:val="auto"/>
          <w:highlight w:val="none"/>
          <w:lang w:val="en-US" w:eastAsia="zh-CN"/>
        </w:rPr>
        <w:t>本项目建成后厂界噪声贡献值满足《工业企业厂界环境噪声排放标准》（GB12348-2008）3类限值。对声环境的影响是可以接受的。</w:t>
      </w:r>
    </w:p>
    <w:p w14:paraId="519A7282">
      <w:pPr>
        <w:ind w:firstLine="480"/>
        <w:rPr>
          <w:rFonts w:hint="eastAsia" w:cs="Times New Roman"/>
          <w:color w:val="auto"/>
          <w:highlight w:val="none"/>
          <w:lang w:val="en-US" w:eastAsia="zh-CN"/>
        </w:rPr>
      </w:pPr>
      <w:r>
        <w:rPr>
          <w:rFonts w:hint="eastAsia" w:cs="Times New Roman"/>
          <w:color w:val="auto"/>
          <w:highlight w:val="none"/>
          <w:lang w:val="en-US" w:eastAsia="zh-CN"/>
        </w:rPr>
        <w:t>（5）固体废物对外环境影响</w:t>
      </w:r>
    </w:p>
    <w:p w14:paraId="26A7C6F9">
      <w:pPr>
        <w:ind w:firstLine="480"/>
        <w:rPr>
          <w:rFonts w:hint="eastAsia" w:cs="Times New Roman"/>
          <w:color w:val="auto"/>
          <w:highlight w:val="none"/>
          <w:lang w:val="en-US" w:eastAsia="zh-CN"/>
        </w:rPr>
      </w:pPr>
      <w:r>
        <w:rPr>
          <w:rFonts w:hint="eastAsia" w:cs="Times New Roman"/>
          <w:color w:val="auto"/>
          <w:highlight w:val="none"/>
          <w:lang w:val="en-US" w:eastAsia="zh-CN"/>
        </w:rPr>
        <w:t>本项目产生的固体废物分为生活垃圾、一般工业固体废物和危险废物。一般工业固废废物主要包括尾矿砂、除尘灰、废钢球；危险废物主要为机修过程产生的废机油和废油桶。本项目固体废弃物处置措施合理，去向明确，采取合理有效的防范措施，对外环境影响很小。</w:t>
      </w:r>
    </w:p>
    <w:p w14:paraId="4C3E3A7E">
      <w:pPr>
        <w:ind w:firstLine="480"/>
        <w:rPr>
          <w:rFonts w:hint="eastAsia" w:cs="Times New Roman"/>
          <w:color w:val="auto"/>
          <w:highlight w:val="none"/>
          <w:lang w:val="en-US" w:eastAsia="zh-CN"/>
        </w:rPr>
      </w:pPr>
      <w:r>
        <w:rPr>
          <w:rFonts w:hint="eastAsia" w:cs="Times New Roman"/>
          <w:color w:val="auto"/>
          <w:highlight w:val="none"/>
          <w:lang w:val="en-US" w:eastAsia="zh-CN"/>
        </w:rPr>
        <w:t>（6）土壤环境影响</w:t>
      </w:r>
    </w:p>
    <w:p w14:paraId="618EF0F8">
      <w:pPr>
        <w:ind w:firstLine="480"/>
        <w:rPr>
          <w:rFonts w:hint="eastAsia" w:cs="Times New Roman"/>
          <w:color w:val="auto"/>
          <w:highlight w:val="none"/>
          <w:lang w:val="en-US" w:eastAsia="zh-CN"/>
        </w:rPr>
      </w:pPr>
      <w:r>
        <w:rPr>
          <w:rFonts w:hint="eastAsia" w:cs="Times New Roman"/>
          <w:color w:val="auto"/>
          <w:highlight w:val="none"/>
          <w:lang w:val="en-US" w:eastAsia="zh-CN"/>
        </w:rPr>
        <w:t>本项目属于土壤污染影响型建设项目，考虑到场地内基本能实现地面硬化，未硬化部分多为绿化带，多种吸附性较强的植物，受降雨影响及地面漫流影响较小，降低了污染物的迁移速度。且厂区内做了严格的防渗措施。在非正常状况发生后，厂方应及时采取应急措施，及时对污染源进行防渗层修复处理，减少污染源的扩散，使此状况对土壤环境的影响降至最小。综合考虑，在严格执行相关环保措施的情况下，对场地土壤环境造成污染的可能性较小，建设项目对场地土壤环境的影响是可接受的。</w:t>
      </w:r>
    </w:p>
    <w:p w14:paraId="036D8A7F">
      <w:pPr>
        <w:pStyle w:val="4"/>
        <w:spacing w:before="120" w:after="120"/>
        <w:rPr>
          <w:rFonts w:hint="eastAsia"/>
          <w:color w:val="auto"/>
          <w:highlight w:val="none"/>
        </w:rPr>
      </w:pPr>
      <w:bookmarkStart w:id="288" w:name="_Toc129339575"/>
      <w:bookmarkStart w:id="289" w:name="_Toc7968"/>
      <w:bookmarkStart w:id="290" w:name="_Toc3451"/>
      <w:r>
        <w:rPr>
          <w:rFonts w:hint="eastAsia"/>
          <w:color w:val="auto"/>
          <w:highlight w:val="none"/>
        </w:rPr>
        <w:t>环境保护措施</w:t>
      </w:r>
      <w:bookmarkEnd w:id="288"/>
      <w:bookmarkEnd w:id="289"/>
      <w:bookmarkEnd w:id="290"/>
    </w:p>
    <w:p w14:paraId="48E813F4">
      <w:pPr>
        <w:pStyle w:val="5"/>
        <w:rPr>
          <w:rFonts w:hint="eastAsia" w:cs="Times New Roman"/>
          <w:color w:val="auto"/>
          <w:highlight w:val="none"/>
          <w:lang w:val="en-US" w:eastAsia="zh-CN"/>
        </w:rPr>
      </w:pPr>
      <w:r>
        <w:rPr>
          <w:rFonts w:hint="eastAsia" w:cs="Times New Roman"/>
          <w:color w:val="auto"/>
          <w:highlight w:val="none"/>
          <w:lang w:val="en-US" w:eastAsia="zh-CN"/>
        </w:rPr>
        <w:t>废气</w:t>
      </w:r>
    </w:p>
    <w:p w14:paraId="416BC52D">
      <w:pPr>
        <w:ind w:firstLine="48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无组织排放粉尘污染防治措施</w:t>
      </w:r>
    </w:p>
    <w:p w14:paraId="66B8EB0E">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（1）原矿石、萤石精粉以及尾砂堆存过程扬尘治理措施</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设置1座100m×40m×H8m萤石原矿全封闭贮存库，1座30m×20m×H12m萤石精矿粉全封闭贮存库及1座40m×20m×H8m尾矿砂全封闭贮存库，并对堆存物料表面采取定期洒水</w:t>
      </w:r>
      <w:r>
        <w:rPr>
          <w:rFonts w:hint="eastAsia" w:cs="Times New Roman"/>
          <w:color w:val="auto"/>
          <w:highlight w:val="none"/>
          <w:lang w:val="en-US" w:eastAsia="zh-CN"/>
        </w:rPr>
        <w:t>抑尘</w:t>
      </w:r>
      <w:r>
        <w:rPr>
          <w:rFonts w:hint="eastAsia" w:ascii="Times New Roman" w:hAnsi="Times New Roman" w:cs="Times New Roman"/>
          <w:color w:val="auto"/>
          <w:highlight w:val="none"/>
          <w:lang w:val="en-US" w:eastAsia="zh-CN"/>
        </w:rPr>
        <w:t>。</w:t>
      </w:r>
    </w:p>
    <w:p w14:paraId="7EE6233F">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（2）原矿石装卸过程扬尘治理措施</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禁止在厂区裸露空地卸料，物料装卸过程，通过降低卸料高度、控制卸料速度，卸料过程采取喷雾或洒水。</w:t>
      </w:r>
    </w:p>
    <w:p w14:paraId="32095E3E">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（3）上料、破碎、筛分、皮带输送程扬尘治理措施</w:t>
      </w:r>
      <w:r>
        <w:rPr>
          <w:rFonts w:hint="eastAsia" w:cs="Times New Roman"/>
          <w:color w:val="auto"/>
          <w:highlight w:val="none"/>
          <w:lang w:val="en-US" w:eastAsia="zh-CN"/>
        </w:rPr>
        <w:t>：</w:t>
      </w:r>
    </w:p>
    <w:p w14:paraId="7C39483A">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将给料机、各类破碎机、筛分机及皮带输送机布置在全封闭的破碎、筛分车间内；②破碎、筛分车间三面和顶棚进行全封闭，进料口一面设置卷帘门，做到破碎、筛分过程破碎、筛分车间尽量做到全封闭运行；③给料机上料口上方设置水喷淋抑尘设施；④各破碎机、振动筛受料口上方设置集气罩</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集气罩在风机的负压作用下可做到9</w:t>
      </w:r>
      <w:r>
        <w:rPr>
          <w:rFonts w:hint="eastAsia" w:cs="Times New Roman"/>
          <w:color w:val="auto"/>
          <w:highlight w:val="none"/>
          <w:lang w:val="en-US" w:eastAsia="zh-CN"/>
        </w:rPr>
        <w:t>0</w:t>
      </w:r>
      <w:r>
        <w:rPr>
          <w:rFonts w:hint="eastAsia" w:ascii="Times New Roman" w:hAnsi="Times New Roman" w:cs="Times New Roman"/>
          <w:color w:val="auto"/>
          <w:highlight w:val="none"/>
          <w:lang w:val="en-US" w:eastAsia="zh-CN"/>
        </w:rPr>
        <w:t>%以上收尘效率</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⑤破碎筛分车间内皮带输送机必须建设满足日常检修、清扫落料要求的全封闭皮带通廊，皮带通廊内物料皮带输送转运端的上部和下部产尘部位设置收尘、抑尘设施；皮带通廊最终下料端根据物料的含水率设置收尘或喷淋抑尘设施；物料</w:t>
      </w:r>
      <w:r>
        <w:rPr>
          <w:rFonts w:hint="eastAsia" w:cs="Times New Roman"/>
          <w:color w:val="auto"/>
          <w:highlight w:val="none"/>
          <w:lang w:val="en-US" w:eastAsia="zh-CN"/>
        </w:rPr>
        <w:t>皮带</w:t>
      </w:r>
      <w:r>
        <w:rPr>
          <w:rFonts w:hint="eastAsia" w:ascii="Times New Roman" w:hAnsi="Times New Roman" w:cs="Times New Roman"/>
          <w:color w:val="auto"/>
          <w:highlight w:val="none"/>
          <w:lang w:val="en-US" w:eastAsia="zh-CN"/>
        </w:rPr>
        <w:t>转运系统必须实现全封闭。</w:t>
      </w:r>
    </w:p>
    <w:p w14:paraId="58C4D750">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（4）厂区道路扬尘污染防治措施</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运输道路地面进行硬化，定期对浮土进行清理并采取洒水抑尘和运输车辆加盖苫布</w:t>
      </w:r>
      <w:r>
        <w:rPr>
          <w:rFonts w:hint="eastAsia" w:cs="Times New Roman"/>
          <w:color w:val="auto"/>
          <w:highlight w:val="none"/>
          <w:lang w:val="en-US" w:eastAsia="zh-CN"/>
        </w:rPr>
        <w:t>。</w:t>
      </w:r>
    </w:p>
    <w:p w14:paraId="53CCA501">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经大气环境影响分析，本项目无组织排放的颗粒物排放量较小，排放浓度较低，厂界颗粒物浓度满足《大气污染物综合排放标准》（GB16297-1996）表2中新污染源大气污染物无组织排放限值的要求。</w:t>
      </w:r>
    </w:p>
    <w:p w14:paraId="4B8F8721">
      <w:pPr>
        <w:ind w:firstLine="480"/>
        <w:rPr>
          <w:rFonts w:hint="eastAsia" w:cs="Times New Roman"/>
          <w:b/>
          <w:bCs/>
          <w:color w:val="auto"/>
          <w:highlight w:val="none"/>
          <w:lang w:val="en-US" w:eastAsia="zh-CN"/>
        </w:rPr>
      </w:pPr>
      <w:r>
        <w:rPr>
          <w:rFonts w:hint="eastAsia" w:cs="Times New Roman"/>
          <w:b/>
          <w:bCs/>
          <w:color w:val="auto"/>
          <w:highlight w:val="none"/>
          <w:lang w:val="en-US" w:eastAsia="zh-CN"/>
        </w:rPr>
        <w:t>2、有组织排放粉尘污染防治措施</w:t>
      </w:r>
    </w:p>
    <w:p w14:paraId="644B257F">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本项目原矿石破碎、筛分等过程均会产生粉尘，经引风机引至自配套建设的除尘器进行处理，其中拟在破碎及筛分工段设置袋式除尘器1套，除尘效率不小于99</w:t>
      </w:r>
      <w:r>
        <w:rPr>
          <w:rFonts w:hint="eastAsia" w:cs="Times New Roman"/>
          <w:color w:val="auto"/>
          <w:highlight w:val="none"/>
          <w:lang w:val="en-US" w:eastAsia="zh-CN"/>
        </w:rPr>
        <w:t>.0</w:t>
      </w:r>
      <w:r>
        <w:rPr>
          <w:rFonts w:hint="eastAsia" w:ascii="Times New Roman" w:hAnsi="Times New Roman" w:cs="Times New Roman"/>
          <w:color w:val="auto"/>
          <w:highlight w:val="none"/>
          <w:lang w:val="en-US" w:eastAsia="zh-CN"/>
        </w:rPr>
        <w:t>%，排气筒高度不低于15m，净化后的气体高空排放，经收集处理后破碎、筛分等过程排放的粉尘颗粒物满足《大气污染物综合排放标准》（GB16297-1996）表2中新污染源大气污染物排放限值要求。</w:t>
      </w:r>
    </w:p>
    <w:p w14:paraId="7A480D6F">
      <w:pPr>
        <w:pStyle w:val="5"/>
        <w:rPr>
          <w:rFonts w:hint="eastAsia" w:cs="Times New Roman"/>
          <w:color w:val="auto"/>
          <w:highlight w:val="none"/>
          <w:lang w:val="en-US" w:eastAsia="zh-CN"/>
        </w:rPr>
      </w:pPr>
      <w:r>
        <w:rPr>
          <w:rFonts w:hint="eastAsia" w:cs="Times New Roman"/>
          <w:color w:val="auto"/>
          <w:highlight w:val="none"/>
          <w:lang w:val="en-US" w:eastAsia="zh-CN"/>
        </w:rPr>
        <w:t>废水</w:t>
      </w:r>
    </w:p>
    <w:p w14:paraId="3A5609EF">
      <w:pPr>
        <w:ind w:firstLine="48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选矿废水</w:t>
      </w:r>
    </w:p>
    <w:p w14:paraId="0B9A6049">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萤石精粉和尾矿浆分别进入各自浓密罐，经浓密罐沉淀的上清液以及压滤机压滤沉淀后收集于循环水池，后回用于生产，形成闭路循环，不外排。</w:t>
      </w:r>
    </w:p>
    <w:p w14:paraId="39238E00">
      <w:pPr>
        <w:ind w:firstLine="48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2、生活污水</w:t>
      </w:r>
    </w:p>
    <w:p w14:paraId="4AC11C91">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本项目生活污水依托盟东水泥厂办公区现有容积为20m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化粪池收集处理，现有化粪池满足收集容纳本项目新增污水量。化粪池收集的生活污水定期拉运至诺尔镇污水处理厂集中处理，不外排。</w:t>
      </w:r>
    </w:p>
    <w:p w14:paraId="2C54FB1B">
      <w:pPr>
        <w:pStyle w:val="5"/>
        <w:rPr>
          <w:rFonts w:hint="eastAsia" w:cs="Times New Roman"/>
          <w:color w:val="auto"/>
          <w:highlight w:val="none"/>
          <w:lang w:val="en-US" w:eastAsia="zh-CN"/>
        </w:rPr>
      </w:pPr>
      <w:r>
        <w:rPr>
          <w:rFonts w:hint="eastAsia" w:cs="Times New Roman"/>
          <w:color w:val="auto"/>
          <w:highlight w:val="none"/>
          <w:lang w:val="en-US" w:eastAsia="zh-CN"/>
        </w:rPr>
        <w:t>噪声</w:t>
      </w:r>
    </w:p>
    <w:p w14:paraId="22757521">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本</w:t>
      </w:r>
      <w:r>
        <w:rPr>
          <w:rFonts w:hint="eastAsia" w:ascii="Times New Roman" w:hAnsi="Times New Roman" w:cs="Times New Roman"/>
          <w:color w:val="auto"/>
          <w:highlight w:val="none"/>
          <w:lang w:val="en-US" w:eastAsia="zh-CN"/>
        </w:rPr>
        <w:t>项目生产运营阶段，产噪设备主要包括给料机、破碎机、振动筛、球磨机、螺旋分级机、浮选机、水环真空泵、浓缩机等生产设备以及装载机、运输车辆。生产设备噪声源强较大，强度范围在60~</w:t>
      </w:r>
      <w:r>
        <w:rPr>
          <w:rFonts w:hint="eastAsia" w:cs="Times New Roman"/>
          <w:color w:val="auto"/>
          <w:highlight w:val="none"/>
          <w:lang w:val="en-US" w:eastAsia="zh-CN"/>
        </w:rPr>
        <w:t>100</w:t>
      </w:r>
      <w:r>
        <w:rPr>
          <w:rFonts w:hint="eastAsia" w:ascii="Times New Roman" w:hAnsi="Times New Roman" w:cs="Times New Roman"/>
          <w:color w:val="auto"/>
          <w:highlight w:val="none"/>
          <w:lang w:val="en-US" w:eastAsia="zh-CN"/>
        </w:rPr>
        <w:t>dB（A）。通过采取封闭车间厂房、设备基础减振等降噪措施，可降低设备运行产生的噪声，厂界噪声能够满足《工业企业厂界环境噪声排放标准》（GB12348-2008）</w:t>
      </w: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类区标准限值要求。</w:t>
      </w:r>
    </w:p>
    <w:p w14:paraId="6C5BDA5C">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此外，项目车辆行驶过程产生的噪声，通过采取车辆减速慢行，禁止鸣笛，可降低车辆行驶噪声。</w:t>
      </w:r>
    </w:p>
    <w:p w14:paraId="481C4D67">
      <w:pPr>
        <w:pStyle w:val="5"/>
        <w:rPr>
          <w:rFonts w:hint="eastAsia" w:cs="Times New Roman"/>
          <w:color w:val="auto"/>
          <w:highlight w:val="none"/>
          <w:lang w:val="en-US" w:eastAsia="zh-CN"/>
        </w:rPr>
      </w:pPr>
      <w:r>
        <w:rPr>
          <w:rFonts w:hint="eastAsia" w:cs="Times New Roman"/>
          <w:color w:val="auto"/>
          <w:highlight w:val="none"/>
          <w:lang w:val="en-US" w:eastAsia="zh-CN"/>
        </w:rPr>
        <w:t>固体废物</w:t>
      </w:r>
    </w:p>
    <w:p w14:paraId="4C849272">
      <w:pPr>
        <w:ind w:firstLine="48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一般工业固体废物处理、处置措施</w:t>
      </w:r>
    </w:p>
    <w:p w14:paraId="77427485">
      <w:pPr>
        <w:autoSpaceDE w:val="0"/>
        <w:autoSpaceDN w:val="0"/>
        <w:adjustRightInd w:val="0"/>
        <w:snapToGrid w:val="0"/>
        <w:spacing w:line="480" w:lineRule="exact"/>
        <w:ind w:firstLine="480" w:firstLineChars="200"/>
        <w:rPr>
          <w:rFonts w:hint="default" w:cs="Times New Roman"/>
          <w:color w:val="auto"/>
          <w:highlight w:val="none"/>
          <w:lang w:val="en-US" w:eastAsia="zh-CN"/>
        </w:rPr>
      </w:pPr>
      <w:r>
        <w:rPr>
          <w:rFonts w:hint="eastAsia" w:cs="Times New Roman"/>
          <w:color w:val="auto"/>
          <w:highlight w:val="none"/>
          <w:lang w:val="en-US" w:eastAsia="zh-CN"/>
        </w:rPr>
        <w:t>（1）循环水池底泥</w:t>
      </w:r>
    </w:p>
    <w:p w14:paraId="67B6952D">
      <w:pPr>
        <w:autoSpaceDE w:val="0"/>
        <w:autoSpaceDN w:val="0"/>
        <w:adjustRightInd w:val="0"/>
        <w:snapToGrid w:val="0"/>
        <w:spacing w:line="480" w:lineRule="exact"/>
        <w:ind w:firstLine="480" w:firstLineChars="200"/>
        <w:rPr>
          <w:color w:val="auto"/>
          <w:sz w:val="24"/>
          <w:szCs w:val="24"/>
          <w:highlight w:val="none"/>
        </w:rPr>
      </w:pPr>
      <w:r>
        <w:rPr>
          <w:rFonts w:hint="eastAsia" w:cs="Times New Roman"/>
          <w:color w:val="auto"/>
          <w:highlight w:val="none"/>
          <w:lang w:val="en-US" w:eastAsia="zh-CN"/>
        </w:rPr>
        <w:t>循环水池内</w:t>
      </w:r>
      <w:r>
        <w:rPr>
          <w:rFonts w:hint="eastAsia" w:ascii="Times New Roman" w:hAnsi="Times New Roman" w:eastAsia="宋体" w:cs="Times New Roman"/>
          <w:color w:val="auto"/>
          <w:highlight w:val="none"/>
          <w:lang w:val="en-US" w:eastAsia="zh-CN"/>
        </w:rPr>
        <w:t>混凝</w:t>
      </w:r>
      <w:r>
        <w:rPr>
          <w:rFonts w:hint="default" w:ascii="Times New Roman" w:hAnsi="Times New Roman" w:eastAsia="宋体" w:cs="Times New Roman"/>
          <w:color w:val="auto"/>
          <w:highlight w:val="none"/>
          <w:lang w:val="en-US" w:eastAsia="zh-CN"/>
        </w:rPr>
        <w:t>沉淀后产生的底泥</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经</w:t>
      </w:r>
      <w:r>
        <w:rPr>
          <w:rFonts w:hint="eastAsia" w:cs="Times New Roman"/>
          <w:color w:val="auto"/>
          <w:highlight w:val="none"/>
          <w:lang w:val="en-US" w:eastAsia="zh-CN"/>
        </w:rPr>
        <w:t>尾矿</w:t>
      </w:r>
      <w:r>
        <w:rPr>
          <w:rFonts w:hint="default" w:ascii="Times New Roman" w:hAnsi="Times New Roman" w:eastAsia="宋体" w:cs="Times New Roman"/>
          <w:color w:val="auto"/>
          <w:highlight w:val="none"/>
          <w:lang w:val="en-US" w:eastAsia="zh-CN"/>
        </w:rPr>
        <w:t>压滤机压滤后</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同尾矿砂一同综合利用</w:t>
      </w:r>
      <w:r>
        <w:rPr>
          <w:rFonts w:hint="eastAsia" w:cs="Times New Roman"/>
          <w:color w:val="auto"/>
          <w:highlight w:val="none"/>
          <w:lang w:val="en-US" w:eastAsia="zh-CN"/>
        </w:rPr>
        <w:t>。</w:t>
      </w:r>
    </w:p>
    <w:p w14:paraId="55BD7095">
      <w:pPr>
        <w:autoSpaceDE w:val="0"/>
        <w:autoSpaceDN w:val="0"/>
        <w:adjustRightInd w:val="0"/>
        <w:snapToGrid w:val="0"/>
        <w:spacing w:line="480" w:lineRule="exact"/>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（2）尾矿砂</w:t>
      </w:r>
    </w:p>
    <w:p w14:paraId="27E4189A">
      <w:pPr>
        <w:autoSpaceDE w:val="0"/>
        <w:autoSpaceDN w:val="0"/>
        <w:adjustRightInd w:val="0"/>
        <w:snapToGrid w:val="0"/>
        <w:spacing w:line="480" w:lineRule="exact"/>
        <w:ind w:firstLine="480" w:firstLineChars="200"/>
        <w:rPr>
          <w:rFonts w:hint="default" w:cs="Times New Roman"/>
          <w:color w:val="auto"/>
          <w:highlight w:val="none"/>
          <w:lang w:val="en-US" w:eastAsia="zh-CN"/>
        </w:rPr>
      </w:pPr>
      <w:r>
        <w:rPr>
          <w:rFonts w:hint="eastAsia" w:cs="Times New Roman"/>
          <w:color w:val="auto"/>
          <w:highlight w:val="none"/>
          <w:lang w:val="en-US" w:eastAsia="zh-CN"/>
        </w:rPr>
        <w:t>本项目产生尾矿砂属于第</w:t>
      </w:r>
      <w:r>
        <w:rPr>
          <w:rFonts w:hint="eastAsia" w:cs="Times New Roman"/>
          <w:color w:val="auto"/>
          <w:highlight w:val="none"/>
          <w:lang w:val="en-US" w:eastAsia="zh-CN"/>
        </w:rPr>
        <w:fldChar w:fldCharType="begin"/>
      </w:r>
      <w:r>
        <w:rPr>
          <w:rFonts w:hint="eastAsia" w:cs="Times New Roman"/>
          <w:color w:val="auto"/>
          <w:highlight w:val="none"/>
          <w:lang w:val="en-US" w:eastAsia="zh-CN"/>
        </w:rPr>
        <w:instrText xml:space="preserve"> = 1 \* ROMAN </w:instrText>
      </w:r>
      <w:r>
        <w:rPr>
          <w:rFonts w:hint="eastAsia" w:cs="Times New Roman"/>
          <w:color w:val="auto"/>
          <w:highlight w:val="none"/>
          <w:lang w:val="en-US" w:eastAsia="zh-CN"/>
        </w:rPr>
        <w:fldChar w:fldCharType="separate"/>
      </w:r>
      <w:r>
        <w:rPr>
          <w:rFonts w:hint="eastAsia" w:cs="Times New Roman"/>
          <w:color w:val="auto"/>
          <w:highlight w:val="none"/>
          <w:lang w:val="en-US" w:eastAsia="zh-CN"/>
        </w:rPr>
        <w:t>I</w:t>
      </w:r>
      <w:r>
        <w:rPr>
          <w:rFonts w:hint="eastAsia" w:cs="Times New Roman"/>
          <w:color w:val="auto"/>
          <w:highlight w:val="none"/>
          <w:lang w:val="en-US" w:eastAsia="zh-CN"/>
        </w:rPr>
        <w:fldChar w:fldCharType="end"/>
      </w:r>
      <w:r>
        <w:rPr>
          <w:rFonts w:hint="eastAsia" w:cs="Times New Roman"/>
          <w:color w:val="auto"/>
          <w:highlight w:val="none"/>
          <w:lang w:val="en-US" w:eastAsia="zh-CN"/>
        </w:rPr>
        <w:t>类一般工业固体废物，项目厂区内建设1座800m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尾矿砂临时贮存库，定期采用密闭车辆送至</w:t>
      </w:r>
      <w:r>
        <w:rPr>
          <w:rFonts w:hint="eastAsia" w:cs="Times New Roman"/>
          <w:color w:val="auto"/>
          <w:highlight w:val="yellow"/>
          <w:lang w:val="en-US" w:eastAsia="zh-CN"/>
        </w:rPr>
        <w:t>河北围场满族蒙古族自治县联玉墙体材料厂和隆化县皓诚新型节能砖厂</w:t>
      </w:r>
      <w:r>
        <w:rPr>
          <w:rFonts w:hint="eastAsia" w:cs="Times New Roman"/>
          <w:color w:val="auto"/>
          <w:highlight w:val="none"/>
          <w:lang w:val="en-US" w:eastAsia="zh-CN"/>
        </w:rPr>
        <w:t>作制砖原材料，优先资源化综合利用。因接纳砖厂市场原因利用不畅时，本项目产生的尾矿砂做周边矿区采空坑生态恢复填充料进行综合利用。</w:t>
      </w:r>
    </w:p>
    <w:p w14:paraId="42376D84">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）破碎及筛分除尘器收集除尘灰</w:t>
      </w:r>
      <w:r>
        <w:rPr>
          <w:rFonts w:hint="eastAsia" w:cs="Times New Roman"/>
          <w:color w:val="auto"/>
          <w:highlight w:val="none"/>
          <w:lang w:val="en-US" w:eastAsia="zh-CN"/>
        </w:rPr>
        <w:t>：</w:t>
      </w:r>
    </w:p>
    <w:p w14:paraId="6D7F37FA">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本项目收集的灰尘定期从收灰装置清出，直接运至球磨机入料口进行生产加工再利用，资源化利用，不外排。</w:t>
      </w:r>
    </w:p>
    <w:p w14:paraId="4FDE6354">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4</w:t>
      </w:r>
      <w:r>
        <w:rPr>
          <w:rFonts w:hint="eastAsia" w:ascii="Times New Roman" w:hAnsi="Times New Roman" w:cs="Times New Roman"/>
          <w:color w:val="auto"/>
          <w:highlight w:val="none"/>
          <w:lang w:val="en-US" w:eastAsia="zh-CN"/>
        </w:rPr>
        <w:t>）废钢球</w:t>
      </w:r>
    </w:p>
    <w:p w14:paraId="0B89D4B0">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本项目定更换下的废钢球，直接由厂家更换回收，不在厂区内落地暂存。</w:t>
      </w:r>
    </w:p>
    <w:p w14:paraId="7F66E718">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5</w:t>
      </w:r>
      <w:r>
        <w:rPr>
          <w:rFonts w:hint="eastAsia" w:ascii="Times New Roman" w:hAnsi="Times New Roman" w:cs="Times New Roman"/>
          <w:color w:val="auto"/>
          <w:highlight w:val="none"/>
          <w:lang w:val="en-US" w:eastAsia="zh-CN"/>
        </w:rPr>
        <w:t>）生活垃圾</w:t>
      </w:r>
    </w:p>
    <w:p w14:paraId="78475DD0">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本项目职工日常办公、生活过程产生的生活垃圾，依托多伦县盟东水泥厂办公区生活垃圾收集箱，定期运送至环卫部门指定地点进行合理处置。</w:t>
      </w:r>
    </w:p>
    <w:p w14:paraId="4ED89189">
      <w:pPr>
        <w:ind w:firstLine="480"/>
        <w:rPr>
          <w:rFonts w:hint="eastAsia" w:ascii="Times New Roman" w:hAnsi="Times New Roman" w:cs="Times New Roman"/>
          <w:b/>
          <w:bCs/>
          <w:color w:val="auto"/>
          <w:highlight w:val="none"/>
          <w:lang w:val="en-US" w:eastAsia="zh-CN"/>
        </w:rPr>
      </w:pPr>
      <w:r>
        <w:rPr>
          <w:rFonts w:hint="eastAsia" w:cs="Times New Roman"/>
          <w:b/>
          <w:bCs/>
          <w:color w:val="auto"/>
          <w:highlight w:val="none"/>
          <w:lang w:val="en-US" w:eastAsia="zh-CN"/>
        </w:rPr>
        <w:t>2、</w:t>
      </w:r>
      <w:r>
        <w:rPr>
          <w:rFonts w:hint="eastAsia" w:ascii="Times New Roman" w:hAnsi="Times New Roman" w:cs="Times New Roman"/>
          <w:b/>
          <w:bCs/>
          <w:color w:val="auto"/>
          <w:highlight w:val="none"/>
          <w:lang w:val="en-US" w:eastAsia="zh-CN"/>
        </w:rPr>
        <w:t>危险废物贮存、处理、处置措施</w:t>
      </w:r>
    </w:p>
    <w:p w14:paraId="196622B2">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w:t>
      </w:r>
      <w:r>
        <w:rPr>
          <w:rFonts w:hint="eastAsia" w:cs="Times New Roman"/>
          <w:color w:val="auto"/>
          <w:highlight w:val="none"/>
          <w:lang w:val="en-US" w:eastAsia="zh-CN"/>
        </w:rPr>
        <w:t>机</w:t>
      </w:r>
      <w:r>
        <w:rPr>
          <w:rFonts w:hint="eastAsia" w:ascii="Times New Roman" w:hAnsi="Times New Roman" w:cs="Times New Roman"/>
          <w:color w:val="auto"/>
          <w:highlight w:val="none"/>
          <w:lang w:val="en-US" w:eastAsia="zh-CN"/>
        </w:rPr>
        <w:t>油</w:t>
      </w:r>
      <w:r>
        <w:rPr>
          <w:rFonts w:hint="eastAsia" w:cs="Times New Roman"/>
          <w:color w:val="auto"/>
          <w:highlight w:val="none"/>
          <w:lang w:val="en-US" w:eastAsia="zh-CN"/>
        </w:rPr>
        <w:t>，废油桶：</w:t>
      </w:r>
      <w:r>
        <w:rPr>
          <w:rFonts w:hint="eastAsia" w:ascii="Times New Roman" w:hAnsi="Times New Roman" w:cs="Times New Roman"/>
          <w:color w:val="auto"/>
          <w:highlight w:val="none"/>
          <w:lang w:val="en-US" w:eastAsia="zh-CN"/>
        </w:rPr>
        <w:t>本项目将废润滑油采用密闭耐腐蚀容器统一收集后</w:t>
      </w:r>
      <w:r>
        <w:rPr>
          <w:rFonts w:hint="eastAsia" w:cs="Times New Roman"/>
          <w:color w:val="auto"/>
          <w:highlight w:val="none"/>
          <w:lang w:val="en-US" w:eastAsia="zh-CN"/>
        </w:rPr>
        <w:t>，再</w:t>
      </w:r>
      <w:r>
        <w:rPr>
          <w:rFonts w:hint="eastAsia" w:ascii="Times New Roman" w:hAnsi="Times New Roman" w:cs="Times New Roman"/>
          <w:color w:val="auto"/>
          <w:highlight w:val="none"/>
          <w:lang w:val="en-US" w:eastAsia="zh-CN"/>
        </w:rPr>
        <w:t>与废油桶分区暂存于生产车间内的危废暂存间内，定期交由有危险废物经营许可证单位进行处置。本项目设置一座20m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的危废暂存间，</w:t>
      </w:r>
    </w:p>
    <w:p w14:paraId="344EBFA0">
      <w:pPr>
        <w:pStyle w:val="4"/>
        <w:spacing w:before="120" w:after="120"/>
        <w:rPr>
          <w:rFonts w:hint="eastAsia"/>
          <w:color w:val="auto"/>
          <w:highlight w:val="none"/>
          <w:lang w:val="en-US" w:eastAsia="zh-CN"/>
        </w:rPr>
      </w:pPr>
      <w:bookmarkStart w:id="291" w:name="_Toc27485"/>
      <w:r>
        <w:rPr>
          <w:rFonts w:hint="eastAsia"/>
          <w:color w:val="auto"/>
          <w:highlight w:val="none"/>
          <w:lang w:val="en-US" w:eastAsia="zh-CN"/>
        </w:rPr>
        <w:t>环境风险</w:t>
      </w:r>
      <w:bookmarkEnd w:id="291"/>
    </w:p>
    <w:p w14:paraId="2754CB09">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本项目危险物质数量与临界量的比值ΣQ=0.0012，Q＜1，环境风险潜势为I，根据《建设项目环境风险评价技术导则》（HJ169-2018），可开展简单分析。选矿药剂、</w:t>
      </w:r>
      <w:r>
        <w:rPr>
          <w:rFonts w:hint="eastAsia" w:cs="Times New Roman"/>
          <w:color w:val="auto"/>
          <w:highlight w:val="none"/>
          <w:lang w:val="en-US" w:eastAsia="zh-CN"/>
        </w:rPr>
        <w:t>浮选系统</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选矿</w:t>
      </w:r>
      <w:r>
        <w:rPr>
          <w:rFonts w:hint="eastAsia" w:ascii="Times New Roman" w:hAnsi="Times New Roman" w:cs="Times New Roman"/>
          <w:color w:val="auto"/>
          <w:highlight w:val="none"/>
          <w:lang w:val="en-US" w:eastAsia="zh-CN"/>
        </w:rPr>
        <w:t>循环水池</w:t>
      </w:r>
      <w:r>
        <w:rPr>
          <w:rFonts w:hint="eastAsia" w:cs="Times New Roman"/>
          <w:color w:val="auto"/>
          <w:highlight w:val="none"/>
          <w:lang w:val="en-US" w:eastAsia="zh-CN"/>
        </w:rPr>
        <w:t>等</w:t>
      </w:r>
      <w:r>
        <w:rPr>
          <w:rFonts w:hint="eastAsia" w:ascii="Times New Roman" w:hAnsi="Times New Roman" w:cs="Times New Roman"/>
          <w:color w:val="auto"/>
          <w:highlight w:val="none"/>
          <w:lang w:val="en-US" w:eastAsia="zh-CN"/>
        </w:rPr>
        <w:t>虽存在事故风险的可能性，但建设单位只要按照设计要求严格施工，并认真执行评价所提出的各项综合风险防范措施，可把事故发生的概率降至最低，采取有效的风险应急预案，对项目工程风险事故的环境影响控制在可接受范围。</w:t>
      </w:r>
    </w:p>
    <w:p w14:paraId="40D3F737">
      <w:pPr>
        <w:pStyle w:val="4"/>
        <w:spacing w:before="120" w:after="120"/>
        <w:rPr>
          <w:rFonts w:hint="eastAsia"/>
          <w:color w:val="auto"/>
          <w:highlight w:val="none"/>
        </w:rPr>
      </w:pPr>
      <w:bookmarkStart w:id="292" w:name="bookmark360"/>
      <w:bookmarkEnd w:id="292"/>
      <w:bookmarkStart w:id="293" w:name="bookmark359"/>
      <w:bookmarkEnd w:id="293"/>
      <w:bookmarkStart w:id="294" w:name="_Toc26838"/>
      <w:r>
        <w:rPr>
          <w:rFonts w:hint="eastAsia"/>
          <w:color w:val="auto"/>
          <w:highlight w:val="none"/>
        </w:rPr>
        <w:t>公众意见采纳情况</w:t>
      </w:r>
      <w:bookmarkEnd w:id="294"/>
    </w:p>
    <w:p w14:paraId="31092F2A">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环评针对项目概况和群众所关心的一些环境问题，建设通过网络平台及刊登报纸的形式完成了公众参与调查。从调查结果及调查反馈中可知，没有公众反对该项目的建设。在今后的工作中，需要企业进一步开展公众参与活动，结合公众意见并严格执行环评提出的环境保护措施，做到发展经济的同时注意环境保护，最终达到提高人民生活质量的目的。</w:t>
      </w:r>
    </w:p>
    <w:p w14:paraId="1D5F03AA">
      <w:pPr>
        <w:pStyle w:val="4"/>
        <w:spacing w:before="120" w:after="120"/>
        <w:rPr>
          <w:rFonts w:hint="eastAsia"/>
          <w:color w:val="auto"/>
          <w:highlight w:val="none"/>
        </w:rPr>
      </w:pPr>
      <w:bookmarkStart w:id="295" w:name="bookmark362"/>
      <w:bookmarkEnd w:id="295"/>
      <w:bookmarkStart w:id="296" w:name="bookmark361"/>
      <w:bookmarkEnd w:id="296"/>
      <w:bookmarkStart w:id="297" w:name="_Toc14336"/>
      <w:r>
        <w:rPr>
          <w:rFonts w:hint="eastAsia"/>
          <w:color w:val="auto"/>
          <w:highlight w:val="none"/>
        </w:rPr>
        <w:t>环境管理与监测计划</w:t>
      </w:r>
      <w:bookmarkEnd w:id="297"/>
    </w:p>
    <w:p w14:paraId="073130D1">
      <w:pPr>
        <w:ind w:firstLine="48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本</w:t>
      </w:r>
      <w:r>
        <w:rPr>
          <w:rFonts w:hint="eastAsia" w:ascii="Times New Roman" w:hAnsi="Times New Roman" w:cs="Times New Roman"/>
          <w:color w:val="auto"/>
          <w:highlight w:val="none"/>
          <w:lang w:val="en-US" w:eastAsia="zh-CN"/>
        </w:rPr>
        <w:t>项目必须按照规定建立日常环境管理制度、组织机构和环境管理台账，明确各项环境保护设施和措施的建设、运行及维护费用保障计划。并按照相关污染物排放标准定期对运营过程产生的废气、厂界噪声进行监测，按照相关环境质量标准要求定期对区域地下水环境进行环境质量跟踪监测。</w:t>
      </w:r>
    </w:p>
    <w:p w14:paraId="5C93BDBA">
      <w:pPr>
        <w:pStyle w:val="4"/>
        <w:spacing w:before="120" w:after="120"/>
        <w:rPr>
          <w:rFonts w:hint="eastAsia"/>
          <w:color w:val="auto"/>
          <w:highlight w:val="none"/>
          <w:lang w:val="en-US" w:eastAsia="zh-CN"/>
        </w:rPr>
      </w:pPr>
      <w:bookmarkStart w:id="298" w:name="_Toc28405"/>
      <w:bookmarkStart w:id="299" w:name="_Toc3316"/>
      <w:bookmarkStart w:id="300" w:name="_Toc129339579"/>
      <w:r>
        <w:rPr>
          <w:rFonts w:hint="eastAsia"/>
          <w:color w:val="auto"/>
          <w:highlight w:val="none"/>
          <w:lang w:val="en-US" w:eastAsia="zh-CN"/>
        </w:rPr>
        <w:t>总量控制分析</w:t>
      </w:r>
      <w:bookmarkEnd w:id="298"/>
      <w:bookmarkEnd w:id="299"/>
      <w:bookmarkEnd w:id="300"/>
    </w:p>
    <w:p w14:paraId="575399E3">
      <w:pPr>
        <w:autoSpaceDE w:val="0"/>
        <w:autoSpaceDN w:val="0"/>
        <w:adjustRightInd w:val="0"/>
        <w:snapToGrid w:val="0"/>
        <w:spacing w:line="480" w:lineRule="exact"/>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根据本项目污染源特征，</w:t>
      </w:r>
      <w:r>
        <w:rPr>
          <w:rFonts w:hint="eastAsia"/>
          <w:color w:val="auto"/>
          <w:sz w:val="24"/>
          <w:szCs w:val="24"/>
          <w:highlight w:val="none"/>
        </w:rPr>
        <w:t>本项目大气污染物主要为</w:t>
      </w:r>
      <w:r>
        <w:rPr>
          <w:rFonts w:hint="eastAsia"/>
          <w:color w:val="auto"/>
          <w:sz w:val="24"/>
          <w:szCs w:val="24"/>
          <w:highlight w:val="none"/>
          <w:lang w:val="en-US" w:eastAsia="zh-CN"/>
        </w:rPr>
        <w:t>颗粒物</w:t>
      </w:r>
      <w:r>
        <w:rPr>
          <w:rFonts w:hint="eastAsia"/>
          <w:color w:val="auto"/>
          <w:sz w:val="24"/>
          <w:szCs w:val="24"/>
          <w:highlight w:val="none"/>
          <w:lang w:eastAsia="zh-CN"/>
        </w:rPr>
        <w:t>，</w:t>
      </w:r>
      <w:r>
        <w:rPr>
          <w:rFonts w:hint="eastAsia"/>
          <w:color w:val="auto"/>
          <w:sz w:val="24"/>
          <w:szCs w:val="24"/>
          <w:highlight w:val="none"/>
          <w:lang w:val="en-US" w:eastAsia="zh-CN"/>
        </w:rPr>
        <w:t>故本项目</w:t>
      </w:r>
      <w:r>
        <w:rPr>
          <w:color w:val="auto"/>
          <w:sz w:val="24"/>
          <w:szCs w:val="24"/>
          <w:highlight w:val="none"/>
          <w:lang w:val="en-US" w:eastAsia="zh-CN"/>
        </w:rPr>
        <w:t>不涉及大气污染物总量</w:t>
      </w:r>
      <w:r>
        <w:rPr>
          <w:rFonts w:hint="default"/>
          <w:color w:val="auto"/>
          <w:sz w:val="24"/>
          <w:szCs w:val="24"/>
          <w:highlight w:val="none"/>
          <w:lang w:val="en-US" w:eastAsia="zh-CN"/>
        </w:rPr>
        <w:t>控制指标SO</w:t>
      </w:r>
      <w:r>
        <w:rPr>
          <w:rFonts w:hint="default"/>
          <w:color w:val="auto"/>
          <w:sz w:val="24"/>
          <w:szCs w:val="24"/>
          <w:highlight w:val="none"/>
          <w:vertAlign w:val="subscript"/>
          <w:lang w:val="en-US" w:eastAsia="zh-CN"/>
        </w:rPr>
        <w:t>2</w:t>
      </w:r>
      <w:r>
        <w:rPr>
          <w:rFonts w:hint="eastAsia"/>
          <w:color w:val="auto"/>
          <w:sz w:val="24"/>
          <w:szCs w:val="24"/>
          <w:highlight w:val="none"/>
          <w:lang w:val="en-US" w:eastAsia="zh-CN"/>
        </w:rPr>
        <w:t>、</w:t>
      </w:r>
      <w:r>
        <w:rPr>
          <w:rFonts w:hint="default"/>
          <w:color w:val="auto"/>
          <w:sz w:val="24"/>
          <w:szCs w:val="24"/>
          <w:highlight w:val="none"/>
          <w:lang w:val="en-US" w:eastAsia="zh-CN"/>
        </w:rPr>
        <w:t>NOx</w:t>
      </w:r>
      <w:r>
        <w:rPr>
          <w:rFonts w:hint="eastAsia"/>
          <w:color w:val="auto"/>
          <w:sz w:val="24"/>
          <w:szCs w:val="24"/>
          <w:highlight w:val="none"/>
          <w:lang w:val="en-US" w:eastAsia="zh-CN"/>
        </w:rPr>
        <w:t>及VOCs等污染物</w:t>
      </w:r>
      <w:r>
        <w:rPr>
          <w:rFonts w:hint="default"/>
          <w:color w:val="auto"/>
          <w:sz w:val="24"/>
          <w:szCs w:val="24"/>
          <w:highlight w:val="none"/>
          <w:lang w:val="en-US" w:eastAsia="zh-CN"/>
        </w:rPr>
        <w:t>排放</w:t>
      </w:r>
      <w:r>
        <w:rPr>
          <w:rFonts w:hint="eastAsia"/>
          <w:color w:val="auto"/>
          <w:sz w:val="24"/>
          <w:szCs w:val="24"/>
          <w:highlight w:val="none"/>
          <w:lang w:val="en-US" w:eastAsia="zh-CN"/>
        </w:rPr>
        <w:t>；本项目选矿废水经澄清沉淀后全部循环利用，不外排；生活污水经依托盟东水泥厂办公区现有化粪池收集处理，再定期拉运至诺尔镇污水处理厂处理。因此，本项目新增水污染COD和</w:t>
      </w:r>
      <w:r>
        <w:rPr>
          <w:rFonts w:hint="default"/>
          <w:color w:val="auto"/>
          <w:sz w:val="24"/>
          <w:szCs w:val="24"/>
          <w:highlight w:val="none"/>
        </w:rPr>
        <w:t>NH</w:t>
      </w:r>
      <w:r>
        <w:rPr>
          <w:rFonts w:hint="default"/>
          <w:color w:val="auto"/>
          <w:sz w:val="24"/>
          <w:szCs w:val="24"/>
          <w:highlight w:val="none"/>
          <w:vertAlign w:val="subscript"/>
        </w:rPr>
        <w:t>3</w:t>
      </w:r>
      <w:r>
        <w:rPr>
          <w:rFonts w:hint="default"/>
          <w:color w:val="auto"/>
          <w:sz w:val="24"/>
          <w:szCs w:val="24"/>
          <w:highlight w:val="none"/>
        </w:rPr>
        <w:t>-N</w:t>
      </w:r>
      <w:r>
        <w:rPr>
          <w:rFonts w:hint="eastAsia"/>
          <w:color w:val="auto"/>
          <w:sz w:val="24"/>
          <w:szCs w:val="24"/>
          <w:highlight w:val="none"/>
          <w:lang w:val="en-US" w:eastAsia="zh-CN"/>
        </w:rPr>
        <w:t>排放总量纳入诺尔镇污水处理厂排放总量，本项目无需申请总量。</w:t>
      </w:r>
    </w:p>
    <w:p w14:paraId="475F1EE4">
      <w:pPr>
        <w:pStyle w:val="4"/>
        <w:spacing w:before="120" w:after="120"/>
        <w:rPr>
          <w:rFonts w:hint="eastAsia"/>
          <w:color w:val="auto"/>
          <w:highlight w:val="none"/>
        </w:rPr>
      </w:pPr>
      <w:bookmarkStart w:id="301" w:name="bookmark363"/>
      <w:bookmarkEnd w:id="301"/>
      <w:bookmarkStart w:id="302" w:name="bookmark364"/>
      <w:bookmarkEnd w:id="302"/>
      <w:bookmarkStart w:id="303" w:name="_Toc15151"/>
      <w:r>
        <w:rPr>
          <w:rFonts w:hint="eastAsia"/>
          <w:color w:val="auto"/>
          <w:highlight w:val="none"/>
          <w:lang w:val="en-US" w:eastAsia="zh-CN"/>
        </w:rPr>
        <w:t>评价</w:t>
      </w:r>
      <w:r>
        <w:rPr>
          <w:rFonts w:hint="eastAsia"/>
          <w:color w:val="auto"/>
          <w:highlight w:val="none"/>
        </w:rPr>
        <w:t>结论</w:t>
      </w:r>
      <w:bookmarkEnd w:id="303"/>
    </w:p>
    <w:p w14:paraId="1D9461A4">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通过调查、分析和综合评价后认为：拟建项目符合国家和地方有关环境保护法律 法规、标准、政策、规范及相关规划要求，符合“三线一单”要求；生产过程中所采用的各项污染防治措施技术可行、经济合理，能保证各类污染物长期稳定达标排放；通过采取有针对性的风险防范措施并落实应急预案，项目的环境风险可接受。建设单位开展的公众参与结果表明公众对项目建设表示理解和支持。</w:t>
      </w:r>
    </w:p>
    <w:p w14:paraId="316F774A">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综上所述，在落实本报告书中的各项环保措施以及各级环保主管部门管理要求，从环保角度分析，评价认为项目的建设是可行的。同时，拟建项目在设计、建设、运行全过程中还必须满足消防、安全、职业卫生等相关管理要求，进行规范化的设计、施工和运行管理。</w:t>
      </w:r>
    </w:p>
    <w:p w14:paraId="03ECD405">
      <w:pPr>
        <w:bidi w:val="0"/>
        <w:rPr>
          <w:rFonts w:hint="eastAsia" w:ascii="Times New Roman" w:hAnsi="Times New Roman" w:eastAsia="宋体" w:cs="Times New Roman"/>
          <w:color w:val="auto"/>
          <w:kern w:val="2"/>
          <w:sz w:val="24"/>
          <w:szCs w:val="24"/>
          <w:highlight w:val="none"/>
          <w:lang w:val="en-US" w:eastAsia="zh-CN" w:bidi="ar-SA"/>
        </w:rPr>
      </w:pPr>
    </w:p>
    <w:p w14:paraId="3ED034BF">
      <w:pPr>
        <w:bidi w:val="0"/>
        <w:rPr>
          <w:rFonts w:hint="eastAsia"/>
          <w:color w:val="auto"/>
          <w:highlight w:val="none"/>
          <w:lang w:val="en-US" w:eastAsia="zh-CN"/>
        </w:rPr>
      </w:pPr>
    </w:p>
    <w:p w14:paraId="0AD6B422">
      <w:pPr>
        <w:bidi w:val="0"/>
        <w:rPr>
          <w:rFonts w:hint="eastAsia"/>
          <w:color w:val="auto"/>
          <w:highlight w:val="none"/>
          <w:lang w:val="en-US" w:eastAsia="zh-CN"/>
        </w:rPr>
      </w:pPr>
    </w:p>
    <w:p w14:paraId="3B789A84">
      <w:pPr>
        <w:bidi w:val="0"/>
        <w:rPr>
          <w:rFonts w:hint="eastAsia"/>
          <w:color w:val="auto"/>
          <w:highlight w:val="none"/>
          <w:lang w:val="en-US" w:eastAsia="zh-CN"/>
        </w:rPr>
      </w:pPr>
    </w:p>
    <w:p w14:paraId="33F81B3C">
      <w:pPr>
        <w:bidi w:val="0"/>
        <w:rPr>
          <w:rFonts w:hint="eastAsia"/>
          <w:color w:val="auto"/>
          <w:highlight w:val="none"/>
          <w:lang w:val="en-US" w:eastAsia="zh-CN"/>
        </w:rPr>
      </w:pPr>
    </w:p>
    <w:p w14:paraId="6E0793AA">
      <w:pPr>
        <w:bidi w:val="0"/>
        <w:jc w:val="center"/>
        <w:rPr>
          <w:rFonts w:hint="eastAsia"/>
          <w:color w:val="auto"/>
          <w:highlight w:val="none"/>
          <w:lang w:val="en-US" w:eastAsia="zh-CN"/>
        </w:rPr>
      </w:pPr>
    </w:p>
    <w:sectPr>
      <w:headerReference r:id="rId2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MingLiU">
    <w:panose1 w:val="02020509000000000000"/>
    <w:charset w:val="88"/>
    <w:family w:val="modern"/>
    <w:pitch w:val="default"/>
    <w:sig w:usb0="A00002FF" w:usb1="28CFFCFA" w:usb2="00000016" w:usb3="00000000" w:csb0="00100001" w:csb1="00000000"/>
  </w:font>
  <w:font w:name="华文楷体">
    <w:altName w:val="宋体"/>
    <w:panose1 w:val="02010600040101010101"/>
    <w:charset w:val="86"/>
    <w:family w:val="auto"/>
    <w:pitch w:val="default"/>
    <w:sig w:usb0="00000000" w:usb1="00000000" w:usb2="00000000" w:usb3="00000000" w:csb0="0004009F" w:csb1="DFD70000"/>
  </w:font>
  <w:font w:name="瀹嬩綋">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7E380">
    <w:pPr>
      <w:ind w:left="480" w:firstLine="0" w:firstLineChars="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C5CDC3">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Y+FI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5BEs0UOn768f30&#10;8+H06xsZv40CtdbPEHdvERm6d6bD2Az3HpeRd1c5FX/BiMAPrONFXtEFwuOj6WQ6zeHi8A0H4GeP&#10;z63z4b0wikSjoA79S7Kyw8aHPnQIidm0WTdSph5KTVqQeP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BY+FI5AgAAcQQAAA4AAAAAAAAAAQAgAAAAHwEAAGRycy9lMm9Eb2Mu&#10;eG1sUEsFBgAAAAAGAAYAWQEAAMoFAAAAAA==&#10;">
              <v:fill on="f" focussize="0,0"/>
              <v:stroke on="f" weight="0.5pt"/>
              <v:imagedata o:title=""/>
              <o:lock v:ext="edit" aspectratio="f"/>
              <v:textbox inset="0mm,0mm,0mm,0mm" style="mso-fit-shape-to-text:t;">
                <w:txbxContent>
                  <w:p w14:paraId="5DC5CDC3">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62EF2">
    <w:pPr>
      <w:pStyle w:val="25"/>
      <w:keepNext w:val="0"/>
      <w:keepLines w:val="0"/>
      <w:pageBreakBefore w:val="0"/>
      <w:widowControl w:val="0"/>
      <w:kinsoku/>
      <w:wordWrap/>
      <w:overflowPunct/>
      <w:topLinePunct w:val="0"/>
      <w:bidi w:val="0"/>
      <w:adjustRightInd/>
      <w:snapToGrid w:val="0"/>
      <w:ind w:firstLine="0" w:firstLineChars="0"/>
      <w:jc w:val="center"/>
      <w:textAlignment w:val="auto"/>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B59717">
                          <w:pPr>
                            <w:pStyle w:val="25"/>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rPr>
                              <w:lang w:val="zh-CN"/>
                            </w:rPr>
                            <w:t>115</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v7oc5AgAAc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Z3cUKKZQsfPP76f&#10;f/4+//pGxpMoUGP9DHFbi8jQvjMtxqa/97iMvNvSqfgLRgR+yHu6yivaQHh8NB1Pp0O4OHz9AfjZ&#10;03PrfHgvjCLRyKlD/5Ks7LjxoQvtQ2I2bda1lKmHUpMGJN7eDNODqwfgUsdYkabhAhMpdaVHK7S7&#10;9sJzZ4oTaDrTTYq3fF2jlA3z4YE5jAbKx/KEe3xKaZDSXCxKKuO+/us+xqNj8FLSYNRyqrFZlMgP&#10;Gp0EYOgN1xu73tAHdWcwuyMspeXJxAMXZG+Wzqgv2KhlzAEX0xyZchp68y50446N5GK5TEEH6+p9&#10;1T3AHFoWNnpreUwTpfJ2eQiQNikeBepUQafiAZOYenbZmjjqf55T1NM/xe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yv7oc5AgAAcQQAAA4AAAAAAAAAAQAgAAAAHwEAAGRycy9lMm9Eb2Mu&#10;eG1sUEsFBgAAAAAGAAYAWQEAAMoFAAAAAA==&#10;">
              <v:fill on="f" focussize="0,0"/>
              <v:stroke on="f" weight="0.5pt"/>
              <v:imagedata o:title=""/>
              <o:lock v:ext="edit" aspectratio="f"/>
              <v:textbox inset="0mm,0mm,0mm,0mm" style="mso-fit-shape-to-text:t;">
                <w:txbxContent>
                  <w:p w14:paraId="68B59717">
                    <w:pPr>
                      <w:pStyle w:val="25"/>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rPr>
                        <w:lang w:val="zh-CN"/>
                      </w:rPr>
                      <w:t>115</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487D1">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98C4D">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8B8EA">
    <w:pPr>
      <w:ind w:left="480" w:firstLine="0" w:firstLineChars="0"/>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E3DDEC">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egzQ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cynUSBGuvniNtZRIb2rWkxNsO5x2Hk3ZZOxS8YEfgh7/kqr2gD4fHSbDqbjeHi8A0b4GeP&#10;163z4Z0wikQjpw79S7Ky09aHLnQIidm02dRSph5KTRqQeP1mnC5cPQCXOsaKNA09TKTUlR6t0O7b&#10;nufeFGfQdKabFG/5pkYpW+bDA3MYDZSPxxPusZTSIKXpLUoq47786zzGo2PwUtJg1HKq8bIoke81&#10;OgnAMBhuMPaDoY/qzmB20RzUkkxccEEOZumM+owXtYo54GKaI1NOw2DehW7c8SK5WK1S0NG6+lB1&#10;FzCHloWt3lke00SpvF0dA6RNikeBOlXQqbjBJKae9a8mjvqf+xT1+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x6DNDgCAABxBAAADgAAAAAAAAABACAAAAAfAQAAZHJzL2Uyb0RvYy54&#10;bWxQSwUGAAAAAAYABgBZAQAAyQUAAAAA&#10;">
              <v:fill on="f" focussize="0,0"/>
              <v:stroke on="f" weight="0.5pt"/>
              <v:imagedata o:title=""/>
              <o:lock v:ext="edit" aspectratio="f"/>
              <v:textbox inset="0mm,0mm,0mm,0mm" style="mso-fit-shape-to-text:t;">
                <w:txbxContent>
                  <w:p w14:paraId="34E3DDEC">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755AB">
    <w:pPr>
      <w:pStyle w:val="25"/>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45EB68">
                          <w:pPr>
                            <w:pStyle w:val="25"/>
                            <w:ind w:firstLine="360"/>
                            <w:jc w:val="center"/>
                          </w:pPr>
                          <w:r>
                            <w:fldChar w:fldCharType="begin"/>
                          </w:r>
                          <w:r>
                            <w:instrText xml:space="preserve">PAGE   \* MERGEFORMAT</w:instrText>
                          </w:r>
                          <w:r>
                            <w:fldChar w:fldCharType="separate"/>
                          </w:r>
                          <w:r>
                            <w:rPr>
                              <w:lang w:val="zh-CN"/>
                            </w:rPr>
                            <w:t>4</w:t>
                          </w:r>
                          <w:r>
                            <w:fldChar w:fldCharType="end"/>
                          </w:r>
                        </w:p>
                        <w:p w14:paraId="1298E8FE">
                          <w:pPr>
                            <w:pStyle w:val="4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IXPs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mlGim0PHL92+X&#10;H78uP7+S6TQK1Fg/R9zOIjK0b02LsRnuPS4j77Z0Kv6CEYEf8p6v8oo2EB4fzaaz2RguDt9wAH72&#10;+Nw6H94Jo0g0curQvyQrO2196EKHkJhNm00tZeqh1KQBiddvxunB1QNwqWOsSNPQw0RKXenRCu2+&#10;7XnuTXEGTWe6SfGWb2qUsmU+PDCH0UD5WJ5wj08pDVKa3qKkMu7Lv+5jPDoGLyUNRi2nGptFiXyv&#10;0UkAhsFwg7EfDH1UdwazO8FSWp5MPHBBDmbpjPqMjVrFHHAxzZEpp2Ew70I37thILlarFHS0rj5U&#10;3QPMoWVhq3eWxzRRKm9XxwBpk+JRoE4VdCoeMImpZ/3WxFH/85yiHv8p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DIXPs5AgAAcQQAAA4AAAAAAAAAAQAgAAAAHwEAAGRycy9lMm9Eb2Mu&#10;eG1sUEsFBgAAAAAGAAYAWQEAAMoFAAAAAA==&#10;">
              <v:fill on="f" focussize="0,0"/>
              <v:stroke on="f" weight="0.5pt"/>
              <v:imagedata o:title=""/>
              <o:lock v:ext="edit" aspectratio="f"/>
              <v:textbox inset="0mm,0mm,0mm,0mm" style="mso-fit-shape-to-text:t;">
                <w:txbxContent>
                  <w:p w14:paraId="7145EB68">
                    <w:pPr>
                      <w:pStyle w:val="25"/>
                      <w:ind w:firstLine="360"/>
                      <w:jc w:val="center"/>
                    </w:pPr>
                    <w:r>
                      <w:fldChar w:fldCharType="begin"/>
                    </w:r>
                    <w:r>
                      <w:instrText xml:space="preserve">PAGE   \* MERGEFORMAT</w:instrText>
                    </w:r>
                    <w:r>
                      <w:fldChar w:fldCharType="separate"/>
                    </w:r>
                    <w:r>
                      <w:rPr>
                        <w:lang w:val="zh-CN"/>
                      </w:rPr>
                      <w:t>4</w:t>
                    </w:r>
                    <w:r>
                      <w:fldChar w:fldCharType="end"/>
                    </w:r>
                  </w:p>
                  <w:p w14:paraId="1298E8FE">
                    <w:pPr>
                      <w:pStyle w:val="40"/>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4CEF1">
    <w:pPr>
      <w:pStyle w:val="25"/>
      <w:keepNext w:val="0"/>
      <w:keepLines w:val="0"/>
      <w:pageBreakBefore w:val="0"/>
      <w:widowControl w:val="0"/>
      <w:kinsoku/>
      <w:wordWrap/>
      <w:overflowPunct/>
      <w:topLinePunct w:val="0"/>
      <w:bidi w:val="0"/>
      <w:adjustRightInd/>
      <w:snapToGrid w:val="0"/>
      <w:ind w:firstLine="0" w:firstLineChars="0"/>
      <w:jc w:val="center"/>
      <w:textAlignment w:val="auto"/>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E8788D">
                          <w:pPr>
                            <w:pStyle w:val="25"/>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PAGE   \* MERGEFORMAT</w:instrText>
                          </w:r>
                          <w:r>
                            <w:fldChar w:fldCharType="separate"/>
                          </w:r>
                          <w:r>
                            <w:rPr>
                              <w:lang w:val="zh-CN"/>
                            </w:rPr>
                            <w:t>19</w:t>
                          </w:r>
                          <w:r>
                            <w:fldChar w:fldCharType="end"/>
                          </w:r>
                        </w:p>
                        <w:p w14:paraId="47C6EA4F">
                          <w:pPr>
                            <w:pStyle w:val="4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6Fr4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0o0U+j4+cf3&#10;88/f51/fyPQqCtRYP0fcg0VkaN+ZFmMz3HtcRt5t6VT8BSMCP+Q9XeQVbSA8PppNZ7MxXBy+4QD8&#10;7Om5dT68F0aRaOTUoX9JVnbc+tCFDiExmzabWsrUQ6lJE0m8HacHFw/ApY6xIk1DDxMpdaVHK7S7&#10;tue5M8UJNJ3pJsVbvqlRypb5cM8cRgPlY3nCHT6lNEhpeouSyriv/7qP8egYvJQ0GLWcamwWJfKD&#10;RicBGAbDDcZuMPRB3RrM7gRLaXky8cAFOZilM+oLNmoVc8DFNEemnIbBvA3duGMjuVitUtDBunpf&#10;dQ8wh5aFrX6wPKaJUnm7OgRImxSPAnWqoFPxgElMPeu3Jo76n+cU9fR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F6Fr45AgAAcQQAAA4AAAAAAAAAAQAgAAAAHwEAAGRycy9lMm9Eb2Mu&#10;eG1sUEsFBgAAAAAGAAYAWQEAAMoFAAAAAA==&#10;">
              <v:fill on="f" focussize="0,0"/>
              <v:stroke on="f" weight="0.5pt"/>
              <v:imagedata o:title=""/>
              <o:lock v:ext="edit" aspectratio="f"/>
              <v:textbox inset="0mm,0mm,0mm,0mm" style="mso-fit-shape-to-text:t;">
                <w:txbxContent>
                  <w:p w14:paraId="47E8788D">
                    <w:pPr>
                      <w:pStyle w:val="25"/>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PAGE   \* MERGEFORMAT</w:instrText>
                    </w:r>
                    <w:r>
                      <w:fldChar w:fldCharType="separate"/>
                    </w:r>
                    <w:r>
                      <w:rPr>
                        <w:lang w:val="zh-CN"/>
                      </w:rPr>
                      <w:t>19</w:t>
                    </w:r>
                    <w:r>
                      <w:fldChar w:fldCharType="end"/>
                    </w:r>
                  </w:p>
                  <w:p w14:paraId="47C6EA4F">
                    <w:pPr>
                      <w:pStyle w:val="40"/>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69421">
    <w:pPr>
      <w:pStyle w:val="2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96BDB">
    <w:pPr>
      <w:pStyle w:val="2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B78D3">
    <w:pPr>
      <w:pStyle w:val="25"/>
      <w:keepNext w:val="0"/>
      <w:keepLines w:val="0"/>
      <w:pageBreakBefore w:val="0"/>
      <w:widowControl w:val="0"/>
      <w:kinsoku/>
      <w:wordWrap/>
      <w:overflowPunct/>
      <w:topLinePunct w:val="0"/>
      <w:bidi w:val="0"/>
      <w:adjustRightInd/>
      <w:snapToGrid w:val="0"/>
      <w:ind w:firstLine="0" w:firstLineChars="0"/>
      <w:jc w:val="center"/>
      <w:textAlignment w:val="auto"/>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4F0182">
                          <w:pPr>
                            <w:pStyle w:val="25"/>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rPr>
                              <w:lang w:val="zh-CN"/>
                            </w:rPr>
                            <w:t>115</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ikr85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fUaKZQsdP37+d&#10;fvw6/fxKJldRoNb6GeIeLCJD99Z0GJvh3uMy8u4qp+IvGBH4Ie/xIq/oAuHx0XQyneZwcfiGA/Cz&#10;x+fW+fBOGEWiUVCH/iVZ2WHjQx86hMRs2qwbKVMPpSYtSLx+k6cHFw/ApY6xIk3DGSZS6kuPVui2&#10;3Znn1pRH0HSmnxRv+bpBKRvmwz1zGA2Uj+UJd/hU0iClOVuU1MZ9+dd9jEfH4KWkxagVVGOzKJHv&#10;NToJwDAYbjC2g6H36tZgdsdYSsuTiQcuyMGsnFGfsVHLmAMupjkyFTQM5m3oxx0bycVymYL21jW7&#10;un+AObQsbPSD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dikr85AgAAcQQAAA4AAAAAAAAAAQAgAAAAHwEAAGRycy9lMm9Eb2Mu&#10;eG1sUEsFBgAAAAAGAAYAWQEAAMoFAAAAAA==&#10;">
              <v:fill on="f" focussize="0,0"/>
              <v:stroke on="f" weight="0.5pt"/>
              <v:imagedata o:title=""/>
              <o:lock v:ext="edit" aspectratio="f"/>
              <v:textbox inset="0mm,0mm,0mm,0mm" style="mso-fit-shape-to-text:t;">
                <w:txbxContent>
                  <w:p w14:paraId="364F0182">
                    <w:pPr>
                      <w:pStyle w:val="25"/>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rPr>
                        <w:lang w:val="zh-CN"/>
                      </w:rPr>
                      <w:t>115</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70CEB">
    <w:pPr>
      <w:pStyle w:val="26"/>
      <w:spacing w:line="240" w:lineRule="auto"/>
      <w:ind w:firstLine="360"/>
    </w:pPr>
    <w:r>
      <w:rPr>
        <w:rFonts w:hint="eastAsia"/>
        <w:lang w:val="en-US" w:eastAsia="zh-CN"/>
      </w:rPr>
      <w:t>多伦县捷百顺新材料有限责任公司年处理30万吨萤石选矿项目环境影响报告书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C6EC">
    <w:pPr>
      <w:pStyle w:val="26"/>
      <w:keepNext w:val="0"/>
      <w:keepLines w:val="0"/>
      <w:pageBreakBefore w:val="0"/>
      <w:widowControl w:val="0"/>
      <w:kinsoku/>
      <w:wordWrap/>
      <w:overflowPunct/>
      <w:topLinePunct w:val="0"/>
      <w:bidi w:val="0"/>
      <w:adjustRightInd/>
      <w:snapToGrid w:val="0"/>
      <w:spacing w:line="240" w:lineRule="auto"/>
      <w:ind w:firstLine="0" w:firstLineChars="0"/>
      <w:textAlignment w:val="auto"/>
    </w:pPr>
    <w:r>
      <w:rPr>
        <w:rFonts w:hint="eastAsia" w:ascii="黑体" w:hAnsi="黑体" w:eastAsia="黑体"/>
        <w:lang w:val="en-US" w:eastAsia="zh-CN"/>
      </w:rPr>
      <w:t>多伦县捷百顺新材料有限责任公司年处理30万吨萤石选矿项目环境影响报告书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EC73D">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F97D">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06DFD">
    <w:pPr>
      <w:pStyle w:val="26"/>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ascii="黑体" w:hAnsi="黑体" w:eastAsia="黑体"/>
      </w:rPr>
    </w:pPr>
    <w:r>
      <w:rPr>
        <w:rFonts w:hint="eastAsia" w:ascii="黑体" w:hAnsi="黑体" w:eastAsia="黑体"/>
        <w:lang w:val="en-US" w:eastAsia="zh-CN"/>
      </w:rPr>
      <w:t>多伦县捷百顺新材料有限责任公司年处理30万吨萤石选矿项目环境影响报告书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9E610">
    <w:pPr>
      <w:pStyle w:val="26"/>
      <w:spacing w:line="240" w:lineRule="auto"/>
      <w:ind w:firstLine="360"/>
      <w:rPr>
        <w:rFonts w:ascii="黑体" w:hAnsi="黑体" w:eastAsia="黑体"/>
      </w:rPr>
    </w:pPr>
    <w:r>
      <w:rPr>
        <w:rFonts w:hint="eastAsia" w:ascii="黑体" w:hAnsi="黑体" w:eastAsia="黑体"/>
        <w:lang w:val="en-US" w:eastAsia="zh-CN"/>
      </w:rPr>
      <w:t>多伦县捷百顺新材料有限责任公司年处理30万吨萤石选矿项目环境影响报告书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17D3B">
    <w:pPr>
      <w:pStyle w:val="26"/>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ascii="黑体" w:hAnsi="黑体" w:eastAsia="黑体"/>
      </w:rPr>
    </w:pPr>
    <w:r>
      <w:rPr>
        <w:rFonts w:hint="eastAsia" w:ascii="黑体" w:hAnsi="黑体" w:eastAsia="黑体"/>
        <w:lang w:val="en-US" w:eastAsia="zh-CN"/>
      </w:rPr>
      <w:t>多伦县捷百顺新材料有限责任公司年处理30万吨萤石选矿项目环境影响报告书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D1FC1">
    <w:pPr>
      <w:pStyle w:val="26"/>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0B016">
    <w:pPr>
      <w:pStyle w:val="26"/>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940BF">
    <w:pPr>
      <w:pStyle w:val="26"/>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ascii="黑体" w:hAnsi="黑体" w:eastAsia="黑体"/>
        <w:sz w:val="18"/>
      </w:rPr>
    </w:pPr>
    <w:r>
      <w:rPr>
        <w:rFonts w:hint="eastAsia" w:ascii="黑体" w:hAnsi="黑体" w:eastAsia="黑体"/>
        <w:sz w:val="18"/>
        <w:lang w:val="en-US" w:eastAsia="zh-CN"/>
      </w:rPr>
      <w:t>多伦县捷百顺新材料有限责任公司年处理30万吨萤石选矿项目环境影响报告书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F2990"/>
    <w:multiLevelType w:val="multilevel"/>
    <w:tmpl w:val="16DF2990"/>
    <w:lvl w:ilvl="0" w:tentative="0">
      <w:start w:val="1"/>
      <w:numFmt w:val="decimal"/>
      <w:lvlText w:val="%1"/>
      <w:lvlJc w:val="left"/>
      <w:pPr>
        <w:tabs>
          <w:tab w:val="left" w:pos="942"/>
        </w:tabs>
        <w:ind w:left="942" w:hanging="432"/>
      </w:pPr>
    </w:lvl>
    <w:lvl w:ilvl="1" w:tentative="0">
      <w:start w:val="1"/>
      <w:numFmt w:val="decimal"/>
      <w:pStyle w:val="320"/>
      <w:lvlText w:val="%1.%2"/>
      <w:lvlJc w:val="left"/>
      <w:pPr>
        <w:tabs>
          <w:tab w:val="left" w:pos="1296"/>
        </w:tabs>
        <w:ind w:left="1296" w:hanging="576"/>
      </w:pPr>
    </w:lvl>
    <w:lvl w:ilvl="2" w:tentative="0">
      <w:start w:val="1"/>
      <w:numFmt w:val="decimal"/>
      <w:pStyle w:val="319"/>
      <w:lvlText w:val="%1.%2.%3"/>
      <w:lvlJc w:val="left"/>
      <w:pPr>
        <w:tabs>
          <w:tab w:val="left" w:pos="1260"/>
        </w:tabs>
        <w:ind w:left="1260" w:hanging="720"/>
      </w:pPr>
    </w:lvl>
    <w:lvl w:ilvl="3" w:tentative="0">
      <w:start w:val="1"/>
      <w:numFmt w:val="decimal"/>
      <w:lvlText w:val="%1.%2.%3.%4"/>
      <w:lvlJc w:val="left"/>
      <w:pPr>
        <w:tabs>
          <w:tab w:val="left" w:pos="1404"/>
        </w:tabs>
        <w:ind w:left="1404" w:hanging="864"/>
      </w:pPr>
      <w:rPr>
        <w:rFonts w:hint="default" w:ascii="Times New Roman" w:hAnsi="Times New Roman" w:cs="Times New Roman"/>
      </w:rPr>
    </w:lvl>
    <w:lvl w:ilvl="4" w:tentative="0">
      <w:start w:val="1"/>
      <w:numFmt w:val="decimal"/>
      <w:lvlText w:val="%1.%2.%3.%4.%5"/>
      <w:lvlJc w:val="left"/>
      <w:pPr>
        <w:tabs>
          <w:tab w:val="left" w:pos="1518"/>
        </w:tabs>
        <w:ind w:left="1518" w:hanging="1008"/>
      </w:pPr>
    </w:lvl>
    <w:lvl w:ilvl="5" w:tentative="0">
      <w:start w:val="1"/>
      <w:numFmt w:val="decimal"/>
      <w:lvlText w:val="%1.%2.%3.%4.%5.%6"/>
      <w:lvlJc w:val="left"/>
      <w:pPr>
        <w:tabs>
          <w:tab w:val="left" w:pos="1662"/>
        </w:tabs>
        <w:ind w:left="1662" w:hanging="1152"/>
      </w:pPr>
    </w:lvl>
    <w:lvl w:ilvl="6" w:tentative="0">
      <w:start w:val="1"/>
      <w:numFmt w:val="decimal"/>
      <w:lvlText w:val="%1.%2.%3.%4.%5.%6.%7"/>
      <w:lvlJc w:val="left"/>
      <w:pPr>
        <w:tabs>
          <w:tab w:val="left" w:pos="1806"/>
        </w:tabs>
        <w:ind w:left="1806" w:hanging="1296"/>
      </w:pPr>
    </w:lvl>
    <w:lvl w:ilvl="7" w:tentative="0">
      <w:start w:val="1"/>
      <w:numFmt w:val="decimal"/>
      <w:lvlText w:val="%1.%2.%3.%4.%5.%6.%7.%8"/>
      <w:lvlJc w:val="left"/>
      <w:pPr>
        <w:tabs>
          <w:tab w:val="left" w:pos="1950"/>
        </w:tabs>
        <w:ind w:left="1950" w:hanging="1440"/>
      </w:pPr>
    </w:lvl>
    <w:lvl w:ilvl="8" w:tentative="0">
      <w:start w:val="1"/>
      <w:numFmt w:val="decimal"/>
      <w:lvlText w:val="%1.%2.%3.%4.%5.%6.%7.%8.%9"/>
      <w:lvlJc w:val="left"/>
      <w:pPr>
        <w:tabs>
          <w:tab w:val="left" w:pos="2094"/>
        </w:tabs>
        <w:ind w:left="2094" w:hanging="1584"/>
      </w:pPr>
    </w:lvl>
  </w:abstractNum>
  <w:abstractNum w:abstractNumId="1">
    <w:nsid w:val="27D30C2B"/>
    <w:multiLevelType w:val="singleLevel"/>
    <w:tmpl w:val="27D30C2B"/>
    <w:lvl w:ilvl="0" w:tentative="0">
      <w:start w:val="3"/>
      <w:numFmt w:val="decimal"/>
      <w:suff w:val="nothing"/>
      <w:lvlText w:val="（%1）"/>
      <w:lvlJc w:val="left"/>
    </w:lvl>
  </w:abstractNum>
  <w:abstractNum w:abstractNumId="2">
    <w:nsid w:val="41C327CD"/>
    <w:multiLevelType w:val="multilevel"/>
    <w:tmpl w:val="41C327CD"/>
    <w:lvl w:ilvl="0" w:tentative="0">
      <w:start w:val="1"/>
      <w:numFmt w:val="decimal"/>
      <w:pStyle w:val="3"/>
      <w:suff w:val="space"/>
      <w:lvlText w:val="%1."/>
      <w:lvlJc w:val="left"/>
      <w:pPr>
        <w:ind w:left="420" w:hanging="420"/>
      </w:pPr>
      <w:rPr>
        <w:rFonts w:hint="eastAsia" w:ascii="黑体" w:hAnsi="Times New Roman" w:eastAsia="黑体"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pStyle w:val="4"/>
      <w:suff w:val="space"/>
      <w:lvlText w:val="%1.%2"/>
      <w:lvlJc w:val="left"/>
      <w:pPr>
        <w:ind w:left="0" w:firstLine="0"/>
      </w:pPr>
      <w:rPr>
        <w:rFonts w:hint="eastAsia"/>
        <w:b w:val="0"/>
        <w:bCs w:val="0"/>
        <w:i w:val="0"/>
        <w:iCs w:val="0"/>
        <w:caps w:val="0"/>
        <w:smallCaps w:val="0"/>
        <w:strike w:val="0"/>
        <w:dstrike w:val="0"/>
        <w:vanish w:val="0"/>
        <w:color w:val="000000"/>
        <w:spacing w:val="0"/>
        <w:position w:val="0"/>
        <w:u w:val="none"/>
        <w:vertAlign w:val="baseline"/>
      </w:rPr>
    </w:lvl>
    <w:lvl w:ilvl="2" w:tentative="0">
      <w:start w:val="1"/>
      <w:numFmt w:val="decimal"/>
      <w:pStyle w:val="5"/>
      <w:suff w:val="space"/>
      <w:lvlText w:val="%1.%2.%3"/>
      <w:lvlJc w:val="left"/>
      <w:pPr>
        <w:ind w:left="1713" w:hanging="720"/>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6"/>
      <w:suff w:val="nothing"/>
      <w:lvlText w:val="%1.%2.%3.%4"/>
      <w:lvlJc w:val="left"/>
      <w:pPr>
        <w:ind w:left="426"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Text w:val="%1.%2.%3.%4.%5"/>
      <w:lvlJc w:val="left"/>
      <w:pPr>
        <w:tabs>
          <w:tab w:val="left" w:pos="1178"/>
        </w:tabs>
        <w:ind w:left="1178" w:hanging="1008"/>
      </w:pPr>
      <w:rPr>
        <w:rFonts w:hint="eastAsia"/>
      </w:rPr>
    </w:lvl>
    <w:lvl w:ilvl="5" w:tentative="0">
      <w:start w:val="1"/>
      <w:numFmt w:val="decimal"/>
      <w:lvlText w:val="%1.%2.%3.%4.%5.%6"/>
      <w:lvlJc w:val="left"/>
      <w:pPr>
        <w:tabs>
          <w:tab w:val="left" w:pos="1322"/>
        </w:tabs>
        <w:ind w:left="1322" w:hanging="1152"/>
      </w:pPr>
      <w:rPr>
        <w:rFonts w:hint="eastAsia"/>
      </w:rPr>
    </w:lvl>
    <w:lvl w:ilvl="6" w:tentative="0">
      <w:start w:val="1"/>
      <w:numFmt w:val="decimal"/>
      <w:lvlText w:val="%1.%2.%3.%4.%5.%6.%7"/>
      <w:lvlJc w:val="left"/>
      <w:pPr>
        <w:tabs>
          <w:tab w:val="left" w:pos="1466"/>
        </w:tabs>
        <w:ind w:left="1466" w:hanging="1296"/>
      </w:pPr>
      <w:rPr>
        <w:rFonts w:hint="eastAsia"/>
      </w:rPr>
    </w:lvl>
    <w:lvl w:ilvl="7" w:tentative="0">
      <w:start w:val="1"/>
      <w:numFmt w:val="decimal"/>
      <w:lvlText w:val="%1.%2.%3.%4.%5.%6.%7.%8"/>
      <w:lvlJc w:val="left"/>
      <w:pPr>
        <w:tabs>
          <w:tab w:val="left" w:pos="1610"/>
        </w:tabs>
        <w:ind w:left="1610" w:hanging="1440"/>
      </w:pPr>
      <w:rPr>
        <w:rFonts w:hint="eastAsia"/>
      </w:rPr>
    </w:lvl>
    <w:lvl w:ilvl="8" w:tentative="0">
      <w:start w:val="1"/>
      <w:numFmt w:val="decimal"/>
      <w:lvlText w:val="%1.%2.%3.%4.%5.%6.%7.%8.%9"/>
      <w:lvlJc w:val="left"/>
      <w:pPr>
        <w:tabs>
          <w:tab w:val="left" w:pos="1754"/>
        </w:tabs>
        <w:ind w:left="1754" w:hanging="1584"/>
      </w:pPr>
      <w:rPr>
        <w:rFonts w:hint="eastAsia"/>
      </w:rPr>
    </w:lvl>
  </w:abstractNum>
  <w:abstractNum w:abstractNumId="3">
    <w:nsid w:val="7D1FCA37"/>
    <w:multiLevelType w:val="singleLevel"/>
    <w:tmpl w:val="7D1FCA37"/>
    <w:lvl w:ilvl="0" w:tentative="0">
      <w:start w:val="2"/>
      <w:numFmt w:val="decimal"/>
      <w:suff w:val="nothing"/>
      <w:lvlText w:val="%1、"/>
      <w:lvlJc w:val="left"/>
    </w:lvl>
  </w:abstractNum>
  <w:abstractNum w:abstractNumId="4">
    <w:nsid w:val="7DE764B5"/>
    <w:multiLevelType w:val="multilevel"/>
    <w:tmpl w:val="7DE764B5"/>
    <w:lvl w:ilvl="0" w:tentative="0">
      <w:start w:val="1"/>
      <w:numFmt w:val="decimal"/>
      <w:pStyle w:val="104"/>
      <w:lvlText w:val="图4.1-%1."/>
      <w:lvlJc w:val="left"/>
      <w:pPr>
        <w:tabs>
          <w:tab w:val="left" w:pos="1614"/>
        </w:tabs>
        <w:ind w:left="1614" w:hanging="1134"/>
      </w:pPr>
      <w:rPr>
        <w:rFonts w:hint="eastAsia" w:eastAsia="黑体"/>
        <w:b w:val="0"/>
        <w:i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OTZiY2IxYjY5Yjk1MDUwYzljYWMwZGY0NGUxNjIifQ=="/>
  </w:docVars>
  <w:rsids>
    <w:rsidRoot w:val="007629F2"/>
    <w:rsid w:val="0000016B"/>
    <w:rsid w:val="00000B87"/>
    <w:rsid w:val="00000CB2"/>
    <w:rsid w:val="000100D3"/>
    <w:rsid w:val="00013EB0"/>
    <w:rsid w:val="000148F1"/>
    <w:rsid w:val="00014A2F"/>
    <w:rsid w:val="00021260"/>
    <w:rsid w:val="00021F6F"/>
    <w:rsid w:val="0002444A"/>
    <w:rsid w:val="00025A97"/>
    <w:rsid w:val="00030B6A"/>
    <w:rsid w:val="00030D26"/>
    <w:rsid w:val="000316D3"/>
    <w:rsid w:val="0003465E"/>
    <w:rsid w:val="00041CF0"/>
    <w:rsid w:val="000444B8"/>
    <w:rsid w:val="00045A38"/>
    <w:rsid w:val="00045B9B"/>
    <w:rsid w:val="000473CE"/>
    <w:rsid w:val="00052BA7"/>
    <w:rsid w:val="00053CC1"/>
    <w:rsid w:val="00054C7F"/>
    <w:rsid w:val="00056DC8"/>
    <w:rsid w:val="00060EC3"/>
    <w:rsid w:val="0006185B"/>
    <w:rsid w:val="00062110"/>
    <w:rsid w:val="000666B1"/>
    <w:rsid w:val="00067A1C"/>
    <w:rsid w:val="00071448"/>
    <w:rsid w:val="00072623"/>
    <w:rsid w:val="0007587F"/>
    <w:rsid w:val="00075FE3"/>
    <w:rsid w:val="000767D1"/>
    <w:rsid w:val="00080CED"/>
    <w:rsid w:val="00081314"/>
    <w:rsid w:val="000820A8"/>
    <w:rsid w:val="00082188"/>
    <w:rsid w:val="0008329C"/>
    <w:rsid w:val="00085020"/>
    <w:rsid w:val="00087671"/>
    <w:rsid w:val="00092E91"/>
    <w:rsid w:val="00094FD9"/>
    <w:rsid w:val="00096C6C"/>
    <w:rsid w:val="00097B94"/>
    <w:rsid w:val="00097F17"/>
    <w:rsid w:val="00097FA5"/>
    <w:rsid w:val="000A1A3A"/>
    <w:rsid w:val="000A1F3C"/>
    <w:rsid w:val="000A241C"/>
    <w:rsid w:val="000A50DA"/>
    <w:rsid w:val="000A6624"/>
    <w:rsid w:val="000A672C"/>
    <w:rsid w:val="000A7869"/>
    <w:rsid w:val="000A7BFE"/>
    <w:rsid w:val="000B156C"/>
    <w:rsid w:val="000B2893"/>
    <w:rsid w:val="000B2E59"/>
    <w:rsid w:val="000C27D3"/>
    <w:rsid w:val="000C3308"/>
    <w:rsid w:val="000C5DB9"/>
    <w:rsid w:val="000C6D31"/>
    <w:rsid w:val="000D07AC"/>
    <w:rsid w:val="000D08C3"/>
    <w:rsid w:val="000D322F"/>
    <w:rsid w:val="000D3964"/>
    <w:rsid w:val="000D65C3"/>
    <w:rsid w:val="000D6AAE"/>
    <w:rsid w:val="000E1A44"/>
    <w:rsid w:val="000E2548"/>
    <w:rsid w:val="000E40B5"/>
    <w:rsid w:val="000E5230"/>
    <w:rsid w:val="000E6313"/>
    <w:rsid w:val="000F08DC"/>
    <w:rsid w:val="000F300B"/>
    <w:rsid w:val="000F373B"/>
    <w:rsid w:val="000F3E93"/>
    <w:rsid w:val="000F533A"/>
    <w:rsid w:val="000F5392"/>
    <w:rsid w:val="000F73C7"/>
    <w:rsid w:val="000F79D9"/>
    <w:rsid w:val="000F7CB2"/>
    <w:rsid w:val="001025A0"/>
    <w:rsid w:val="001028F5"/>
    <w:rsid w:val="0010307C"/>
    <w:rsid w:val="001046A5"/>
    <w:rsid w:val="0011182D"/>
    <w:rsid w:val="0011305B"/>
    <w:rsid w:val="001150CC"/>
    <w:rsid w:val="001158A0"/>
    <w:rsid w:val="001179C5"/>
    <w:rsid w:val="00121F88"/>
    <w:rsid w:val="001222B9"/>
    <w:rsid w:val="00124C32"/>
    <w:rsid w:val="00126F64"/>
    <w:rsid w:val="00127064"/>
    <w:rsid w:val="00127779"/>
    <w:rsid w:val="00131CE2"/>
    <w:rsid w:val="001322CB"/>
    <w:rsid w:val="00132634"/>
    <w:rsid w:val="00133796"/>
    <w:rsid w:val="0014072B"/>
    <w:rsid w:val="00142A54"/>
    <w:rsid w:val="00145921"/>
    <w:rsid w:val="001465FE"/>
    <w:rsid w:val="00147988"/>
    <w:rsid w:val="00151FAE"/>
    <w:rsid w:val="00152F2F"/>
    <w:rsid w:val="001535D7"/>
    <w:rsid w:val="00155849"/>
    <w:rsid w:val="00160A9B"/>
    <w:rsid w:val="00160F8B"/>
    <w:rsid w:val="001623F1"/>
    <w:rsid w:val="001633E7"/>
    <w:rsid w:val="00163E6D"/>
    <w:rsid w:val="00164F10"/>
    <w:rsid w:val="00170223"/>
    <w:rsid w:val="001703F4"/>
    <w:rsid w:val="00173AE1"/>
    <w:rsid w:val="001753A7"/>
    <w:rsid w:val="00175A5B"/>
    <w:rsid w:val="00176260"/>
    <w:rsid w:val="00176E1B"/>
    <w:rsid w:val="00177707"/>
    <w:rsid w:val="00182DBE"/>
    <w:rsid w:val="00183663"/>
    <w:rsid w:val="00183828"/>
    <w:rsid w:val="00184F38"/>
    <w:rsid w:val="00187A67"/>
    <w:rsid w:val="001912CB"/>
    <w:rsid w:val="00192C2A"/>
    <w:rsid w:val="00196EEC"/>
    <w:rsid w:val="001971FF"/>
    <w:rsid w:val="00197DD1"/>
    <w:rsid w:val="001A08A9"/>
    <w:rsid w:val="001A2710"/>
    <w:rsid w:val="001A3745"/>
    <w:rsid w:val="001A5BC5"/>
    <w:rsid w:val="001A6A87"/>
    <w:rsid w:val="001B2DC9"/>
    <w:rsid w:val="001B2F75"/>
    <w:rsid w:val="001C2A51"/>
    <w:rsid w:val="001C7C93"/>
    <w:rsid w:val="001D0438"/>
    <w:rsid w:val="001D4DE5"/>
    <w:rsid w:val="001D53D3"/>
    <w:rsid w:val="001E0132"/>
    <w:rsid w:val="001E0245"/>
    <w:rsid w:val="001E0616"/>
    <w:rsid w:val="001E787A"/>
    <w:rsid w:val="001F131D"/>
    <w:rsid w:val="001F2B95"/>
    <w:rsid w:val="0020409F"/>
    <w:rsid w:val="00205118"/>
    <w:rsid w:val="00207F88"/>
    <w:rsid w:val="00211BF8"/>
    <w:rsid w:val="002133C6"/>
    <w:rsid w:val="00213DFF"/>
    <w:rsid w:val="0021787C"/>
    <w:rsid w:val="00220FFE"/>
    <w:rsid w:val="002212E5"/>
    <w:rsid w:val="00223C54"/>
    <w:rsid w:val="002261C5"/>
    <w:rsid w:val="00226772"/>
    <w:rsid w:val="002303FD"/>
    <w:rsid w:val="002310DE"/>
    <w:rsid w:val="002311C0"/>
    <w:rsid w:val="00231936"/>
    <w:rsid w:val="002329D4"/>
    <w:rsid w:val="0024086A"/>
    <w:rsid w:val="00247046"/>
    <w:rsid w:val="00251551"/>
    <w:rsid w:val="00251732"/>
    <w:rsid w:val="00251EEE"/>
    <w:rsid w:val="00257FD1"/>
    <w:rsid w:val="00260316"/>
    <w:rsid w:val="00260A3B"/>
    <w:rsid w:val="00260A73"/>
    <w:rsid w:val="00262488"/>
    <w:rsid w:val="00264040"/>
    <w:rsid w:val="0026567B"/>
    <w:rsid w:val="00273902"/>
    <w:rsid w:val="00273980"/>
    <w:rsid w:val="0027441E"/>
    <w:rsid w:val="00275819"/>
    <w:rsid w:val="00277070"/>
    <w:rsid w:val="00287477"/>
    <w:rsid w:val="00294C87"/>
    <w:rsid w:val="002959D4"/>
    <w:rsid w:val="002A0D71"/>
    <w:rsid w:val="002A290E"/>
    <w:rsid w:val="002A3D8D"/>
    <w:rsid w:val="002A4779"/>
    <w:rsid w:val="002A5FEB"/>
    <w:rsid w:val="002B1626"/>
    <w:rsid w:val="002B3A74"/>
    <w:rsid w:val="002B5BD0"/>
    <w:rsid w:val="002B5EA5"/>
    <w:rsid w:val="002B67B0"/>
    <w:rsid w:val="002C0161"/>
    <w:rsid w:val="002C065B"/>
    <w:rsid w:val="002C2494"/>
    <w:rsid w:val="002C253C"/>
    <w:rsid w:val="002C2D21"/>
    <w:rsid w:val="002C4CF6"/>
    <w:rsid w:val="002C4F71"/>
    <w:rsid w:val="002C6877"/>
    <w:rsid w:val="002C7632"/>
    <w:rsid w:val="002D0381"/>
    <w:rsid w:val="002E0AF6"/>
    <w:rsid w:val="002E0CE4"/>
    <w:rsid w:val="002E5FDC"/>
    <w:rsid w:val="002E6926"/>
    <w:rsid w:val="002F110B"/>
    <w:rsid w:val="002F3219"/>
    <w:rsid w:val="002F3CCE"/>
    <w:rsid w:val="002F7205"/>
    <w:rsid w:val="003025AE"/>
    <w:rsid w:val="003030A5"/>
    <w:rsid w:val="00303CE2"/>
    <w:rsid w:val="00306EC2"/>
    <w:rsid w:val="00310526"/>
    <w:rsid w:val="003109A0"/>
    <w:rsid w:val="00310A41"/>
    <w:rsid w:val="003129E0"/>
    <w:rsid w:val="00315C7E"/>
    <w:rsid w:val="00325E67"/>
    <w:rsid w:val="00333F69"/>
    <w:rsid w:val="00334927"/>
    <w:rsid w:val="00335B98"/>
    <w:rsid w:val="00341C8B"/>
    <w:rsid w:val="003421DC"/>
    <w:rsid w:val="00343635"/>
    <w:rsid w:val="00344677"/>
    <w:rsid w:val="003451A2"/>
    <w:rsid w:val="00345E1B"/>
    <w:rsid w:val="00350293"/>
    <w:rsid w:val="00355B94"/>
    <w:rsid w:val="003604D1"/>
    <w:rsid w:val="003623C3"/>
    <w:rsid w:val="003629A3"/>
    <w:rsid w:val="00367045"/>
    <w:rsid w:val="0036782F"/>
    <w:rsid w:val="003704E9"/>
    <w:rsid w:val="003705F3"/>
    <w:rsid w:val="0037192D"/>
    <w:rsid w:val="00374974"/>
    <w:rsid w:val="00380207"/>
    <w:rsid w:val="00380968"/>
    <w:rsid w:val="00383D15"/>
    <w:rsid w:val="003914A3"/>
    <w:rsid w:val="00394DBB"/>
    <w:rsid w:val="00396B42"/>
    <w:rsid w:val="00396BFE"/>
    <w:rsid w:val="003A1A47"/>
    <w:rsid w:val="003A20B6"/>
    <w:rsid w:val="003A4047"/>
    <w:rsid w:val="003A5136"/>
    <w:rsid w:val="003A6630"/>
    <w:rsid w:val="003A761E"/>
    <w:rsid w:val="003B026D"/>
    <w:rsid w:val="003B07BF"/>
    <w:rsid w:val="003B22EA"/>
    <w:rsid w:val="003B4CFD"/>
    <w:rsid w:val="003B675E"/>
    <w:rsid w:val="003C1A4F"/>
    <w:rsid w:val="003C1E31"/>
    <w:rsid w:val="003C363B"/>
    <w:rsid w:val="003C4072"/>
    <w:rsid w:val="003C629E"/>
    <w:rsid w:val="003C73E4"/>
    <w:rsid w:val="003D7BF6"/>
    <w:rsid w:val="003E1124"/>
    <w:rsid w:val="003E2D03"/>
    <w:rsid w:val="003E4727"/>
    <w:rsid w:val="003E4AD0"/>
    <w:rsid w:val="003E56CE"/>
    <w:rsid w:val="003E613F"/>
    <w:rsid w:val="003E7A57"/>
    <w:rsid w:val="003F431A"/>
    <w:rsid w:val="003F50D5"/>
    <w:rsid w:val="003F5D09"/>
    <w:rsid w:val="003F6733"/>
    <w:rsid w:val="00402584"/>
    <w:rsid w:val="00404262"/>
    <w:rsid w:val="004062C1"/>
    <w:rsid w:val="00406918"/>
    <w:rsid w:val="00411730"/>
    <w:rsid w:val="00414815"/>
    <w:rsid w:val="00417E2D"/>
    <w:rsid w:val="004260D6"/>
    <w:rsid w:val="0042712F"/>
    <w:rsid w:val="00430117"/>
    <w:rsid w:val="00435B1B"/>
    <w:rsid w:val="00435EE1"/>
    <w:rsid w:val="00441DB9"/>
    <w:rsid w:val="0044358A"/>
    <w:rsid w:val="004441D2"/>
    <w:rsid w:val="00445A95"/>
    <w:rsid w:val="00445CC7"/>
    <w:rsid w:val="00455E6F"/>
    <w:rsid w:val="00456D76"/>
    <w:rsid w:val="00457046"/>
    <w:rsid w:val="00457A24"/>
    <w:rsid w:val="004629E1"/>
    <w:rsid w:val="004646E4"/>
    <w:rsid w:val="004669ED"/>
    <w:rsid w:val="004722B9"/>
    <w:rsid w:val="00474699"/>
    <w:rsid w:val="00480679"/>
    <w:rsid w:val="00481CDD"/>
    <w:rsid w:val="004836FD"/>
    <w:rsid w:val="0048390E"/>
    <w:rsid w:val="00483C77"/>
    <w:rsid w:val="00484B90"/>
    <w:rsid w:val="00484D5D"/>
    <w:rsid w:val="0048748D"/>
    <w:rsid w:val="00491BCE"/>
    <w:rsid w:val="0049283E"/>
    <w:rsid w:val="00493B3E"/>
    <w:rsid w:val="00494DD0"/>
    <w:rsid w:val="004953B2"/>
    <w:rsid w:val="004A0950"/>
    <w:rsid w:val="004A3540"/>
    <w:rsid w:val="004A646C"/>
    <w:rsid w:val="004A6A11"/>
    <w:rsid w:val="004B3B33"/>
    <w:rsid w:val="004B5DBF"/>
    <w:rsid w:val="004B6D25"/>
    <w:rsid w:val="004B7092"/>
    <w:rsid w:val="004C30F5"/>
    <w:rsid w:val="004C6C33"/>
    <w:rsid w:val="004D17B3"/>
    <w:rsid w:val="004D4376"/>
    <w:rsid w:val="004D5FF9"/>
    <w:rsid w:val="004D719E"/>
    <w:rsid w:val="004E03FE"/>
    <w:rsid w:val="004E4FA6"/>
    <w:rsid w:val="004E61E8"/>
    <w:rsid w:val="004E6C79"/>
    <w:rsid w:val="004E6FC5"/>
    <w:rsid w:val="004F04FA"/>
    <w:rsid w:val="004F05C4"/>
    <w:rsid w:val="004F239B"/>
    <w:rsid w:val="004F4133"/>
    <w:rsid w:val="004F4762"/>
    <w:rsid w:val="004F7C34"/>
    <w:rsid w:val="00502EDE"/>
    <w:rsid w:val="00502FDE"/>
    <w:rsid w:val="00505117"/>
    <w:rsid w:val="00506BEA"/>
    <w:rsid w:val="0051005A"/>
    <w:rsid w:val="00511321"/>
    <w:rsid w:val="00517A42"/>
    <w:rsid w:val="00524F34"/>
    <w:rsid w:val="00526B92"/>
    <w:rsid w:val="00530B18"/>
    <w:rsid w:val="00531721"/>
    <w:rsid w:val="00534CF8"/>
    <w:rsid w:val="00536E16"/>
    <w:rsid w:val="0054004D"/>
    <w:rsid w:val="00550A3E"/>
    <w:rsid w:val="005510C1"/>
    <w:rsid w:val="00551EC3"/>
    <w:rsid w:val="00557F63"/>
    <w:rsid w:val="00560F84"/>
    <w:rsid w:val="00561B9F"/>
    <w:rsid w:val="005621B8"/>
    <w:rsid w:val="005624CD"/>
    <w:rsid w:val="00566CD6"/>
    <w:rsid w:val="00572849"/>
    <w:rsid w:val="005800FF"/>
    <w:rsid w:val="0058333B"/>
    <w:rsid w:val="005904B6"/>
    <w:rsid w:val="00590DA6"/>
    <w:rsid w:val="005A0FA2"/>
    <w:rsid w:val="005A1F2F"/>
    <w:rsid w:val="005A2AEA"/>
    <w:rsid w:val="005A2C19"/>
    <w:rsid w:val="005A3DAE"/>
    <w:rsid w:val="005B379C"/>
    <w:rsid w:val="005B4CF3"/>
    <w:rsid w:val="005B60A6"/>
    <w:rsid w:val="005C0BEE"/>
    <w:rsid w:val="005C60BA"/>
    <w:rsid w:val="005D0A21"/>
    <w:rsid w:val="005D152C"/>
    <w:rsid w:val="005D2C0B"/>
    <w:rsid w:val="005D2C89"/>
    <w:rsid w:val="005D2E5A"/>
    <w:rsid w:val="005D5515"/>
    <w:rsid w:val="005D55A4"/>
    <w:rsid w:val="005D7A78"/>
    <w:rsid w:val="005E1340"/>
    <w:rsid w:val="005E208C"/>
    <w:rsid w:val="005E254B"/>
    <w:rsid w:val="005E28D0"/>
    <w:rsid w:val="005E4BC6"/>
    <w:rsid w:val="005E5F99"/>
    <w:rsid w:val="005E6083"/>
    <w:rsid w:val="005E7E48"/>
    <w:rsid w:val="005F58F2"/>
    <w:rsid w:val="005F65DF"/>
    <w:rsid w:val="00600E9D"/>
    <w:rsid w:val="006022FE"/>
    <w:rsid w:val="00605589"/>
    <w:rsid w:val="00613FF9"/>
    <w:rsid w:val="00614BCB"/>
    <w:rsid w:val="006154B2"/>
    <w:rsid w:val="00616279"/>
    <w:rsid w:val="00616E19"/>
    <w:rsid w:val="006173F6"/>
    <w:rsid w:val="00617936"/>
    <w:rsid w:val="006219C1"/>
    <w:rsid w:val="00623DE1"/>
    <w:rsid w:val="00624C30"/>
    <w:rsid w:val="00624EE0"/>
    <w:rsid w:val="006306B4"/>
    <w:rsid w:val="00635335"/>
    <w:rsid w:val="006357FD"/>
    <w:rsid w:val="00641CDF"/>
    <w:rsid w:val="0064370C"/>
    <w:rsid w:val="00646B20"/>
    <w:rsid w:val="00651762"/>
    <w:rsid w:val="00651904"/>
    <w:rsid w:val="00651D54"/>
    <w:rsid w:val="00657E5E"/>
    <w:rsid w:val="0066261F"/>
    <w:rsid w:val="00665BA8"/>
    <w:rsid w:val="006747FC"/>
    <w:rsid w:val="00675BA6"/>
    <w:rsid w:val="006774E7"/>
    <w:rsid w:val="00680270"/>
    <w:rsid w:val="00680D5F"/>
    <w:rsid w:val="00681704"/>
    <w:rsid w:val="0068368A"/>
    <w:rsid w:val="00683F35"/>
    <w:rsid w:val="00686725"/>
    <w:rsid w:val="006873AD"/>
    <w:rsid w:val="006873DE"/>
    <w:rsid w:val="00690488"/>
    <w:rsid w:val="00691697"/>
    <w:rsid w:val="006920FC"/>
    <w:rsid w:val="00692EFC"/>
    <w:rsid w:val="00694FE1"/>
    <w:rsid w:val="00695F05"/>
    <w:rsid w:val="00695F8C"/>
    <w:rsid w:val="006A0AE6"/>
    <w:rsid w:val="006A1487"/>
    <w:rsid w:val="006A2CF2"/>
    <w:rsid w:val="006A31F5"/>
    <w:rsid w:val="006A3F94"/>
    <w:rsid w:val="006A43DB"/>
    <w:rsid w:val="006A494C"/>
    <w:rsid w:val="006A5B66"/>
    <w:rsid w:val="006B170E"/>
    <w:rsid w:val="006B2CA9"/>
    <w:rsid w:val="006B2EF3"/>
    <w:rsid w:val="006B5B49"/>
    <w:rsid w:val="006C1F5F"/>
    <w:rsid w:val="006C2CB2"/>
    <w:rsid w:val="006C4BF9"/>
    <w:rsid w:val="006E2363"/>
    <w:rsid w:val="006E6451"/>
    <w:rsid w:val="006E6EA7"/>
    <w:rsid w:val="006F0697"/>
    <w:rsid w:val="006F0CA4"/>
    <w:rsid w:val="006F4346"/>
    <w:rsid w:val="0070055E"/>
    <w:rsid w:val="00707164"/>
    <w:rsid w:val="007103F9"/>
    <w:rsid w:val="00715BA8"/>
    <w:rsid w:val="007171EE"/>
    <w:rsid w:val="00720471"/>
    <w:rsid w:val="007237A1"/>
    <w:rsid w:val="00723FF0"/>
    <w:rsid w:val="007249D8"/>
    <w:rsid w:val="00726471"/>
    <w:rsid w:val="00727404"/>
    <w:rsid w:val="00727898"/>
    <w:rsid w:val="00727B49"/>
    <w:rsid w:val="007306A5"/>
    <w:rsid w:val="00730BBF"/>
    <w:rsid w:val="0073111F"/>
    <w:rsid w:val="00734CE6"/>
    <w:rsid w:val="00737BA1"/>
    <w:rsid w:val="00742617"/>
    <w:rsid w:val="00742B54"/>
    <w:rsid w:val="007434FB"/>
    <w:rsid w:val="00745348"/>
    <w:rsid w:val="007463FD"/>
    <w:rsid w:val="007467E8"/>
    <w:rsid w:val="00751146"/>
    <w:rsid w:val="00753582"/>
    <w:rsid w:val="00754865"/>
    <w:rsid w:val="00756490"/>
    <w:rsid w:val="0075667F"/>
    <w:rsid w:val="0075790B"/>
    <w:rsid w:val="00757EAA"/>
    <w:rsid w:val="007613B6"/>
    <w:rsid w:val="00761FA5"/>
    <w:rsid w:val="0076265F"/>
    <w:rsid w:val="007629F2"/>
    <w:rsid w:val="00763C8E"/>
    <w:rsid w:val="007670C1"/>
    <w:rsid w:val="00773CBA"/>
    <w:rsid w:val="00774689"/>
    <w:rsid w:val="00774A9B"/>
    <w:rsid w:val="00776D0C"/>
    <w:rsid w:val="00781E1D"/>
    <w:rsid w:val="00785003"/>
    <w:rsid w:val="007873EF"/>
    <w:rsid w:val="007909FD"/>
    <w:rsid w:val="00790B37"/>
    <w:rsid w:val="00793281"/>
    <w:rsid w:val="00793667"/>
    <w:rsid w:val="0079377B"/>
    <w:rsid w:val="007A19C7"/>
    <w:rsid w:val="007A3C51"/>
    <w:rsid w:val="007A4D5C"/>
    <w:rsid w:val="007B1931"/>
    <w:rsid w:val="007B263E"/>
    <w:rsid w:val="007B386B"/>
    <w:rsid w:val="007B3A34"/>
    <w:rsid w:val="007C0DA6"/>
    <w:rsid w:val="007C3CFA"/>
    <w:rsid w:val="007C4022"/>
    <w:rsid w:val="007C6F98"/>
    <w:rsid w:val="007C7797"/>
    <w:rsid w:val="007D0E09"/>
    <w:rsid w:val="007D50A9"/>
    <w:rsid w:val="007D70F0"/>
    <w:rsid w:val="007E242D"/>
    <w:rsid w:val="007E4794"/>
    <w:rsid w:val="007E7798"/>
    <w:rsid w:val="007F03CB"/>
    <w:rsid w:val="00803F93"/>
    <w:rsid w:val="00806D7D"/>
    <w:rsid w:val="00810CCE"/>
    <w:rsid w:val="008126FC"/>
    <w:rsid w:val="008127A7"/>
    <w:rsid w:val="0081284D"/>
    <w:rsid w:val="00815D1B"/>
    <w:rsid w:val="00816FF8"/>
    <w:rsid w:val="00817903"/>
    <w:rsid w:val="00820D3E"/>
    <w:rsid w:val="00821D08"/>
    <w:rsid w:val="00822475"/>
    <w:rsid w:val="00830E4D"/>
    <w:rsid w:val="008325F4"/>
    <w:rsid w:val="0083567B"/>
    <w:rsid w:val="008362E7"/>
    <w:rsid w:val="00841706"/>
    <w:rsid w:val="0084339E"/>
    <w:rsid w:val="008448FF"/>
    <w:rsid w:val="008469CF"/>
    <w:rsid w:val="00846AFF"/>
    <w:rsid w:val="00853D5D"/>
    <w:rsid w:val="00854ACC"/>
    <w:rsid w:val="0085501A"/>
    <w:rsid w:val="008558E9"/>
    <w:rsid w:val="00855B47"/>
    <w:rsid w:val="00857B2F"/>
    <w:rsid w:val="00864B76"/>
    <w:rsid w:val="00865C75"/>
    <w:rsid w:val="00866EEA"/>
    <w:rsid w:val="00871B5B"/>
    <w:rsid w:val="00872DEC"/>
    <w:rsid w:val="00874EE5"/>
    <w:rsid w:val="008759FA"/>
    <w:rsid w:val="00877B1C"/>
    <w:rsid w:val="00877DC8"/>
    <w:rsid w:val="008804EB"/>
    <w:rsid w:val="008807DA"/>
    <w:rsid w:val="008832E0"/>
    <w:rsid w:val="00883BBC"/>
    <w:rsid w:val="00885C92"/>
    <w:rsid w:val="008927BC"/>
    <w:rsid w:val="00892A9F"/>
    <w:rsid w:val="008942EC"/>
    <w:rsid w:val="00896352"/>
    <w:rsid w:val="008A0ED1"/>
    <w:rsid w:val="008A18D2"/>
    <w:rsid w:val="008A202C"/>
    <w:rsid w:val="008A2BD5"/>
    <w:rsid w:val="008A4288"/>
    <w:rsid w:val="008A72DC"/>
    <w:rsid w:val="008A7FCE"/>
    <w:rsid w:val="008B73F8"/>
    <w:rsid w:val="008C2AE1"/>
    <w:rsid w:val="008C493E"/>
    <w:rsid w:val="008C6224"/>
    <w:rsid w:val="008C71B1"/>
    <w:rsid w:val="008D1CED"/>
    <w:rsid w:val="008D76CD"/>
    <w:rsid w:val="008D77AA"/>
    <w:rsid w:val="008E42BA"/>
    <w:rsid w:val="008E5443"/>
    <w:rsid w:val="008E6F28"/>
    <w:rsid w:val="008F0094"/>
    <w:rsid w:val="008F469A"/>
    <w:rsid w:val="00900B3B"/>
    <w:rsid w:val="009038BA"/>
    <w:rsid w:val="009045B5"/>
    <w:rsid w:val="009055C9"/>
    <w:rsid w:val="00911A73"/>
    <w:rsid w:val="00913DF9"/>
    <w:rsid w:val="00914517"/>
    <w:rsid w:val="00917511"/>
    <w:rsid w:val="00935E1D"/>
    <w:rsid w:val="009407F8"/>
    <w:rsid w:val="009437B9"/>
    <w:rsid w:val="00944B79"/>
    <w:rsid w:val="009474C2"/>
    <w:rsid w:val="009474CD"/>
    <w:rsid w:val="0095024B"/>
    <w:rsid w:val="00951901"/>
    <w:rsid w:val="009527C8"/>
    <w:rsid w:val="00952D2A"/>
    <w:rsid w:val="00954369"/>
    <w:rsid w:val="00957B6A"/>
    <w:rsid w:val="00964CF1"/>
    <w:rsid w:val="00965ED3"/>
    <w:rsid w:val="00971E1F"/>
    <w:rsid w:val="00984251"/>
    <w:rsid w:val="009842D1"/>
    <w:rsid w:val="009851C4"/>
    <w:rsid w:val="009857AF"/>
    <w:rsid w:val="00986734"/>
    <w:rsid w:val="00990E12"/>
    <w:rsid w:val="00991A1C"/>
    <w:rsid w:val="0099371E"/>
    <w:rsid w:val="00994AEE"/>
    <w:rsid w:val="00995C11"/>
    <w:rsid w:val="0099701B"/>
    <w:rsid w:val="009A1F47"/>
    <w:rsid w:val="009A2437"/>
    <w:rsid w:val="009A3ABA"/>
    <w:rsid w:val="009A7DAB"/>
    <w:rsid w:val="009B0684"/>
    <w:rsid w:val="009B1AF5"/>
    <w:rsid w:val="009B4D74"/>
    <w:rsid w:val="009C102B"/>
    <w:rsid w:val="009C1984"/>
    <w:rsid w:val="009C2EDD"/>
    <w:rsid w:val="009C5A21"/>
    <w:rsid w:val="009C6270"/>
    <w:rsid w:val="009D033E"/>
    <w:rsid w:val="009D13B1"/>
    <w:rsid w:val="009D287A"/>
    <w:rsid w:val="009F2DF9"/>
    <w:rsid w:val="009F3B63"/>
    <w:rsid w:val="009F684F"/>
    <w:rsid w:val="009F725F"/>
    <w:rsid w:val="009F7B2B"/>
    <w:rsid w:val="00A00BC8"/>
    <w:rsid w:val="00A00FA6"/>
    <w:rsid w:val="00A015BD"/>
    <w:rsid w:val="00A05208"/>
    <w:rsid w:val="00A11ED8"/>
    <w:rsid w:val="00A145BD"/>
    <w:rsid w:val="00A203FC"/>
    <w:rsid w:val="00A27B76"/>
    <w:rsid w:val="00A4229E"/>
    <w:rsid w:val="00A4237E"/>
    <w:rsid w:val="00A43E1B"/>
    <w:rsid w:val="00A44197"/>
    <w:rsid w:val="00A45117"/>
    <w:rsid w:val="00A45E5D"/>
    <w:rsid w:val="00A47E12"/>
    <w:rsid w:val="00A51BD6"/>
    <w:rsid w:val="00A62E25"/>
    <w:rsid w:val="00A6386A"/>
    <w:rsid w:val="00A63F33"/>
    <w:rsid w:val="00A640D7"/>
    <w:rsid w:val="00A70023"/>
    <w:rsid w:val="00A709C9"/>
    <w:rsid w:val="00A715BC"/>
    <w:rsid w:val="00A72F0C"/>
    <w:rsid w:val="00A73AE3"/>
    <w:rsid w:val="00A73C30"/>
    <w:rsid w:val="00A7489D"/>
    <w:rsid w:val="00A76334"/>
    <w:rsid w:val="00A82CEF"/>
    <w:rsid w:val="00A844F0"/>
    <w:rsid w:val="00A84840"/>
    <w:rsid w:val="00A86C5E"/>
    <w:rsid w:val="00A9032D"/>
    <w:rsid w:val="00A92469"/>
    <w:rsid w:val="00A94F1E"/>
    <w:rsid w:val="00A96A39"/>
    <w:rsid w:val="00AA1B1A"/>
    <w:rsid w:val="00AA7FB8"/>
    <w:rsid w:val="00AB1BE3"/>
    <w:rsid w:val="00AB3D7A"/>
    <w:rsid w:val="00AC0242"/>
    <w:rsid w:val="00AC1D5B"/>
    <w:rsid w:val="00AC2113"/>
    <w:rsid w:val="00AC5522"/>
    <w:rsid w:val="00AC600B"/>
    <w:rsid w:val="00AC6B1C"/>
    <w:rsid w:val="00AC7E03"/>
    <w:rsid w:val="00AD0908"/>
    <w:rsid w:val="00AD3DE3"/>
    <w:rsid w:val="00AD4C16"/>
    <w:rsid w:val="00AE11B6"/>
    <w:rsid w:val="00AE1E39"/>
    <w:rsid w:val="00AE1E83"/>
    <w:rsid w:val="00AF16F7"/>
    <w:rsid w:val="00AF440C"/>
    <w:rsid w:val="00AF77F0"/>
    <w:rsid w:val="00B01746"/>
    <w:rsid w:val="00B023A0"/>
    <w:rsid w:val="00B0350F"/>
    <w:rsid w:val="00B058A3"/>
    <w:rsid w:val="00B109B9"/>
    <w:rsid w:val="00B1129B"/>
    <w:rsid w:val="00B12479"/>
    <w:rsid w:val="00B12815"/>
    <w:rsid w:val="00B14A86"/>
    <w:rsid w:val="00B155C0"/>
    <w:rsid w:val="00B21D42"/>
    <w:rsid w:val="00B23401"/>
    <w:rsid w:val="00B248EA"/>
    <w:rsid w:val="00B2601B"/>
    <w:rsid w:val="00B26BA6"/>
    <w:rsid w:val="00B30412"/>
    <w:rsid w:val="00B3114D"/>
    <w:rsid w:val="00B32051"/>
    <w:rsid w:val="00B32484"/>
    <w:rsid w:val="00B341AC"/>
    <w:rsid w:val="00B40870"/>
    <w:rsid w:val="00B42628"/>
    <w:rsid w:val="00B46C97"/>
    <w:rsid w:val="00B46E19"/>
    <w:rsid w:val="00B479D8"/>
    <w:rsid w:val="00B50476"/>
    <w:rsid w:val="00B515CF"/>
    <w:rsid w:val="00B53501"/>
    <w:rsid w:val="00B53BD5"/>
    <w:rsid w:val="00B53E0E"/>
    <w:rsid w:val="00B55F9E"/>
    <w:rsid w:val="00B577EA"/>
    <w:rsid w:val="00B61B86"/>
    <w:rsid w:val="00B62262"/>
    <w:rsid w:val="00B64827"/>
    <w:rsid w:val="00B67244"/>
    <w:rsid w:val="00B678F3"/>
    <w:rsid w:val="00B71616"/>
    <w:rsid w:val="00B756FE"/>
    <w:rsid w:val="00B767A7"/>
    <w:rsid w:val="00B80AE3"/>
    <w:rsid w:val="00B81473"/>
    <w:rsid w:val="00B83AB3"/>
    <w:rsid w:val="00B87132"/>
    <w:rsid w:val="00B93484"/>
    <w:rsid w:val="00BA51A1"/>
    <w:rsid w:val="00BA6D45"/>
    <w:rsid w:val="00BA77A9"/>
    <w:rsid w:val="00BB0A4B"/>
    <w:rsid w:val="00BB1404"/>
    <w:rsid w:val="00BB2A2E"/>
    <w:rsid w:val="00BB6B0F"/>
    <w:rsid w:val="00BC03FC"/>
    <w:rsid w:val="00BC3F59"/>
    <w:rsid w:val="00BC4D55"/>
    <w:rsid w:val="00BC4EB1"/>
    <w:rsid w:val="00BC52D2"/>
    <w:rsid w:val="00BC5984"/>
    <w:rsid w:val="00BC6006"/>
    <w:rsid w:val="00BD100D"/>
    <w:rsid w:val="00BD2C25"/>
    <w:rsid w:val="00BD66D2"/>
    <w:rsid w:val="00BD697A"/>
    <w:rsid w:val="00BF007F"/>
    <w:rsid w:val="00BF1D0B"/>
    <w:rsid w:val="00BF4468"/>
    <w:rsid w:val="00BF4759"/>
    <w:rsid w:val="00BF53B6"/>
    <w:rsid w:val="00BF6F5C"/>
    <w:rsid w:val="00C0228D"/>
    <w:rsid w:val="00C0243F"/>
    <w:rsid w:val="00C027BD"/>
    <w:rsid w:val="00C10626"/>
    <w:rsid w:val="00C11218"/>
    <w:rsid w:val="00C12F62"/>
    <w:rsid w:val="00C132E5"/>
    <w:rsid w:val="00C144CE"/>
    <w:rsid w:val="00C14C8A"/>
    <w:rsid w:val="00C200CA"/>
    <w:rsid w:val="00C211B3"/>
    <w:rsid w:val="00C22C43"/>
    <w:rsid w:val="00C26D63"/>
    <w:rsid w:val="00C3226C"/>
    <w:rsid w:val="00C3253F"/>
    <w:rsid w:val="00C32CBD"/>
    <w:rsid w:val="00C336CE"/>
    <w:rsid w:val="00C34D10"/>
    <w:rsid w:val="00C3561D"/>
    <w:rsid w:val="00C35770"/>
    <w:rsid w:val="00C3770C"/>
    <w:rsid w:val="00C402A2"/>
    <w:rsid w:val="00C40E46"/>
    <w:rsid w:val="00C432C4"/>
    <w:rsid w:val="00C5002A"/>
    <w:rsid w:val="00C50B9A"/>
    <w:rsid w:val="00C56731"/>
    <w:rsid w:val="00C611E1"/>
    <w:rsid w:val="00C612C4"/>
    <w:rsid w:val="00C62C31"/>
    <w:rsid w:val="00C65AD1"/>
    <w:rsid w:val="00C70F6F"/>
    <w:rsid w:val="00C74512"/>
    <w:rsid w:val="00C74E72"/>
    <w:rsid w:val="00C775BB"/>
    <w:rsid w:val="00C80856"/>
    <w:rsid w:val="00C80FC4"/>
    <w:rsid w:val="00C81AD1"/>
    <w:rsid w:val="00C83DF5"/>
    <w:rsid w:val="00C843F0"/>
    <w:rsid w:val="00C848F7"/>
    <w:rsid w:val="00C85714"/>
    <w:rsid w:val="00C87DED"/>
    <w:rsid w:val="00C87F8A"/>
    <w:rsid w:val="00C910DE"/>
    <w:rsid w:val="00C92552"/>
    <w:rsid w:val="00C92655"/>
    <w:rsid w:val="00C96434"/>
    <w:rsid w:val="00C96720"/>
    <w:rsid w:val="00C96E49"/>
    <w:rsid w:val="00CA4186"/>
    <w:rsid w:val="00CA493A"/>
    <w:rsid w:val="00CA5E43"/>
    <w:rsid w:val="00CB0575"/>
    <w:rsid w:val="00CB2096"/>
    <w:rsid w:val="00CB21C5"/>
    <w:rsid w:val="00CB284F"/>
    <w:rsid w:val="00CB4981"/>
    <w:rsid w:val="00CB67EB"/>
    <w:rsid w:val="00CB6D1C"/>
    <w:rsid w:val="00CC0CC7"/>
    <w:rsid w:val="00CC2954"/>
    <w:rsid w:val="00CC3271"/>
    <w:rsid w:val="00CC3A31"/>
    <w:rsid w:val="00CC3B10"/>
    <w:rsid w:val="00CD06EF"/>
    <w:rsid w:val="00CD0CF2"/>
    <w:rsid w:val="00CD0EC0"/>
    <w:rsid w:val="00CD1CEB"/>
    <w:rsid w:val="00CD3842"/>
    <w:rsid w:val="00CE19A9"/>
    <w:rsid w:val="00CE2C11"/>
    <w:rsid w:val="00CE52E2"/>
    <w:rsid w:val="00CE6343"/>
    <w:rsid w:val="00CE7F3F"/>
    <w:rsid w:val="00CF1CA8"/>
    <w:rsid w:val="00CF1EB1"/>
    <w:rsid w:val="00CF4206"/>
    <w:rsid w:val="00CF6297"/>
    <w:rsid w:val="00D0121B"/>
    <w:rsid w:val="00D01558"/>
    <w:rsid w:val="00D033C8"/>
    <w:rsid w:val="00D049D8"/>
    <w:rsid w:val="00D04B40"/>
    <w:rsid w:val="00D07001"/>
    <w:rsid w:val="00D1041B"/>
    <w:rsid w:val="00D10F13"/>
    <w:rsid w:val="00D11A58"/>
    <w:rsid w:val="00D12D5A"/>
    <w:rsid w:val="00D1441C"/>
    <w:rsid w:val="00D164B8"/>
    <w:rsid w:val="00D17748"/>
    <w:rsid w:val="00D202F6"/>
    <w:rsid w:val="00D21DC0"/>
    <w:rsid w:val="00D21F5D"/>
    <w:rsid w:val="00D2407E"/>
    <w:rsid w:val="00D24B43"/>
    <w:rsid w:val="00D34066"/>
    <w:rsid w:val="00D35677"/>
    <w:rsid w:val="00D361A1"/>
    <w:rsid w:val="00D36484"/>
    <w:rsid w:val="00D424EA"/>
    <w:rsid w:val="00D426C5"/>
    <w:rsid w:val="00D478EA"/>
    <w:rsid w:val="00D5031A"/>
    <w:rsid w:val="00D51A05"/>
    <w:rsid w:val="00D52172"/>
    <w:rsid w:val="00D54D12"/>
    <w:rsid w:val="00D62797"/>
    <w:rsid w:val="00D64960"/>
    <w:rsid w:val="00D702EE"/>
    <w:rsid w:val="00D74475"/>
    <w:rsid w:val="00D761B0"/>
    <w:rsid w:val="00D80701"/>
    <w:rsid w:val="00D81565"/>
    <w:rsid w:val="00D81E1B"/>
    <w:rsid w:val="00D82A34"/>
    <w:rsid w:val="00D8646F"/>
    <w:rsid w:val="00D87382"/>
    <w:rsid w:val="00D916DF"/>
    <w:rsid w:val="00D95764"/>
    <w:rsid w:val="00D9678F"/>
    <w:rsid w:val="00D9694E"/>
    <w:rsid w:val="00DA0A94"/>
    <w:rsid w:val="00DA0C62"/>
    <w:rsid w:val="00DA19A0"/>
    <w:rsid w:val="00DA71AC"/>
    <w:rsid w:val="00DB374B"/>
    <w:rsid w:val="00DB60E5"/>
    <w:rsid w:val="00DB6295"/>
    <w:rsid w:val="00DB76A4"/>
    <w:rsid w:val="00DC19DD"/>
    <w:rsid w:val="00DC3AF1"/>
    <w:rsid w:val="00DD09EE"/>
    <w:rsid w:val="00DD0FEA"/>
    <w:rsid w:val="00DD3119"/>
    <w:rsid w:val="00DD3507"/>
    <w:rsid w:val="00DD3B09"/>
    <w:rsid w:val="00DD5460"/>
    <w:rsid w:val="00DD788D"/>
    <w:rsid w:val="00DE34B6"/>
    <w:rsid w:val="00DE4D16"/>
    <w:rsid w:val="00DE599C"/>
    <w:rsid w:val="00DF112E"/>
    <w:rsid w:val="00DF1B7D"/>
    <w:rsid w:val="00DF4B40"/>
    <w:rsid w:val="00DF5D66"/>
    <w:rsid w:val="00DF7EB1"/>
    <w:rsid w:val="00E00ABE"/>
    <w:rsid w:val="00E00C99"/>
    <w:rsid w:val="00E02E17"/>
    <w:rsid w:val="00E06AD2"/>
    <w:rsid w:val="00E06DC2"/>
    <w:rsid w:val="00E110AA"/>
    <w:rsid w:val="00E11664"/>
    <w:rsid w:val="00E12A7E"/>
    <w:rsid w:val="00E14472"/>
    <w:rsid w:val="00E1447B"/>
    <w:rsid w:val="00E14A1D"/>
    <w:rsid w:val="00E170E0"/>
    <w:rsid w:val="00E1765B"/>
    <w:rsid w:val="00E17DF2"/>
    <w:rsid w:val="00E2050A"/>
    <w:rsid w:val="00E2065A"/>
    <w:rsid w:val="00E22F21"/>
    <w:rsid w:val="00E27CB1"/>
    <w:rsid w:val="00E307BC"/>
    <w:rsid w:val="00E373A9"/>
    <w:rsid w:val="00E43D22"/>
    <w:rsid w:val="00E461F4"/>
    <w:rsid w:val="00E46D14"/>
    <w:rsid w:val="00E510EE"/>
    <w:rsid w:val="00E56BE9"/>
    <w:rsid w:val="00E67E3E"/>
    <w:rsid w:val="00E739ED"/>
    <w:rsid w:val="00E75B3F"/>
    <w:rsid w:val="00E76870"/>
    <w:rsid w:val="00E7737E"/>
    <w:rsid w:val="00E805FB"/>
    <w:rsid w:val="00E83561"/>
    <w:rsid w:val="00E8498D"/>
    <w:rsid w:val="00E84AC6"/>
    <w:rsid w:val="00E90588"/>
    <w:rsid w:val="00E910B6"/>
    <w:rsid w:val="00E91985"/>
    <w:rsid w:val="00E9542B"/>
    <w:rsid w:val="00E95A12"/>
    <w:rsid w:val="00E95B32"/>
    <w:rsid w:val="00E95DBF"/>
    <w:rsid w:val="00E96060"/>
    <w:rsid w:val="00E96439"/>
    <w:rsid w:val="00E9710F"/>
    <w:rsid w:val="00EA0436"/>
    <w:rsid w:val="00EA0EF9"/>
    <w:rsid w:val="00EA1BB7"/>
    <w:rsid w:val="00EA63FF"/>
    <w:rsid w:val="00EA76ED"/>
    <w:rsid w:val="00EB0899"/>
    <w:rsid w:val="00EB22A7"/>
    <w:rsid w:val="00EB2E85"/>
    <w:rsid w:val="00EB72B2"/>
    <w:rsid w:val="00EC3205"/>
    <w:rsid w:val="00EC51D2"/>
    <w:rsid w:val="00ED132B"/>
    <w:rsid w:val="00ED3B03"/>
    <w:rsid w:val="00ED5D5F"/>
    <w:rsid w:val="00EE1241"/>
    <w:rsid w:val="00EE3194"/>
    <w:rsid w:val="00EE4CB0"/>
    <w:rsid w:val="00EE5BB5"/>
    <w:rsid w:val="00EE6316"/>
    <w:rsid w:val="00EE7C6F"/>
    <w:rsid w:val="00EF2473"/>
    <w:rsid w:val="00EF2695"/>
    <w:rsid w:val="00EF48ED"/>
    <w:rsid w:val="00EF6982"/>
    <w:rsid w:val="00EF6E40"/>
    <w:rsid w:val="00F02B6D"/>
    <w:rsid w:val="00F02CB8"/>
    <w:rsid w:val="00F048E6"/>
    <w:rsid w:val="00F05F27"/>
    <w:rsid w:val="00F07D2A"/>
    <w:rsid w:val="00F107AC"/>
    <w:rsid w:val="00F1377F"/>
    <w:rsid w:val="00F16C9D"/>
    <w:rsid w:val="00F209C5"/>
    <w:rsid w:val="00F20ACD"/>
    <w:rsid w:val="00F25494"/>
    <w:rsid w:val="00F27DEC"/>
    <w:rsid w:val="00F36518"/>
    <w:rsid w:val="00F401D9"/>
    <w:rsid w:val="00F42616"/>
    <w:rsid w:val="00F4359E"/>
    <w:rsid w:val="00F456D2"/>
    <w:rsid w:val="00F47CA8"/>
    <w:rsid w:val="00F51501"/>
    <w:rsid w:val="00F52364"/>
    <w:rsid w:val="00F56209"/>
    <w:rsid w:val="00F61E09"/>
    <w:rsid w:val="00F63CAA"/>
    <w:rsid w:val="00F6557D"/>
    <w:rsid w:val="00F6663A"/>
    <w:rsid w:val="00F66B43"/>
    <w:rsid w:val="00F7149C"/>
    <w:rsid w:val="00F757FE"/>
    <w:rsid w:val="00F75AB0"/>
    <w:rsid w:val="00F76230"/>
    <w:rsid w:val="00F83378"/>
    <w:rsid w:val="00F84BE7"/>
    <w:rsid w:val="00F84CEA"/>
    <w:rsid w:val="00F857FA"/>
    <w:rsid w:val="00F861EA"/>
    <w:rsid w:val="00F87229"/>
    <w:rsid w:val="00F9156C"/>
    <w:rsid w:val="00F92492"/>
    <w:rsid w:val="00F92599"/>
    <w:rsid w:val="00F92C82"/>
    <w:rsid w:val="00F94295"/>
    <w:rsid w:val="00F9450A"/>
    <w:rsid w:val="00F97ACF"/>
    <w:rsid w:val="00FA4B91"/>
    <w:rsid w:val="00FA6A3D"/>
    <w:rsid w:val="00FA6F05"/>
    <w:rsid w:val="00FB4DC6"/>
    <w:rsid w:val="00FB5288"/>
    <w:rsid w:val="00FB59B9"/>
    <w:rsid w:val="00FB6004"/>
    <w:rsid w:val="00FC1797"/>
    <w:rsid w:val="00FC79B6"/>
    <w:rsid w:val="00FD063F"/>
    <w:rsid w:val="00FD13AE"/>
    <w:rsid w:val="00FD5F38"/>
    <w:rsid w:val="00FD607A"/>
    <w:rsid w:val="00FD6792"/>
    <w:rsid w:val="00FD7BDB"/>
    <w:rsid w:val="00FE0349"/>
    <w:rsid w:val="00FE49F0"/>
    <w:rsid w:val="00FE4B8E"/>
    <w:rsid w:val="00FE7BE8"/>
    <w:rsid w:val="00FF1658"/>
    <w:rsid w:val="00FF2F24"/>
    <w:rsid w:val="00FF46DA"/>
    <w:rsid w:val="00FF6A30"/>
    <w:rsid w:val="00FF6DC9"/>
    <w:rsid w:val="00FF71E4"/>
    <w:rsid w:val="00FF7C7A"/>
    <w:rsid w:val="010D6029"/>
    <w:rsid w:val="01545B0C"/>
    <w:rsid w:val="067601CC"/>
    <w:rsid w:val="06DB44D3"/>
    <w:rsid w:val="079707BA"/>
    <w:rsid w:val="0B381CFF"/>
    <w:rsid w:val="0D46668E"/>
    <w:rsid w:val="0D773785"/>
    <w:rsid w:val="0DAD6BC9"/>
    <w:rsid w:val="0DBA3A79"/>
    <w:rsid w:val="0F0942D3"/>
    <w:rsid w:val="120B217A"/>
    <w:rsid w:val="127957C2"/>
    <w:rsid w:val="13FA41EA"/>
    <w:rsid w:val="173F7F67"/>
    <w:rsid w:val="17B62B1E"/>
    <w:rsid w:val="198F4E42"/>
    <w:rsid w:val="1DA1776C"/>
    <w:rsid w:val="1F083A2D"/>
    <w:rsid w:val="1F244811"/>
    <w:rsid w:val="20001123"/>
    <w:rsid w:val="2011064A"/>
    <w:rsid w:val="20476A09"/>
    <w:rsid w:val="20785773"/>
    <w:rsid w:val="27257150"/>
    <w:rsid w:val="27F63A89"/>
    <w:rsid w:val="2AC82E3D"/>
    <w:rsid w:val="2B50470D"/>
    <w:rsid w:val="2BDB6BA0"/>
    <w:rsid w:val="2DB07F1F"/>
    <w:rsid w:val="2EFA733D"/>
    <w:rsid w:val="2F640559"/>
    <w:rsid w:val="2F880DEC"/>
    <w:rsid w:val="30AE29C9"/>
    <w:rsid w:val="313A2AF0"/>
    <w:rsid w:val="32873367"/>
    <w:rsid w:val="333479AA"/>
    <w:rsid w:val="33757006"/>
    <w:rsid w:val="34566599"/>
    <w:rsid w:val="34911483"/>
    <w:rsid w:val="3508377B"/>
    <w:rsid w:val="35522C8A"/>
    <w:rsid w:val="36107446"/>
    <w:rsid w:val="36301896"/>
    <w:rsid w:val="37887BDC"/>
    <w:rsid w:val="38735D2A"/>
    <w:rsid w:val="38F912A9"/>
    <w:rsid w:val="396275F6"/>
    <w:rsid w:val="3BD3519D"/>
    <w:rsid w:val="3C0571E1"/>
    <w:rsid w:val="3D64203D"/>
    <w:rsid w:val="3DC6481D"/>
    <w:rsid w:val="3DCB342C"/>
    <w:rsid w:val="40270F79"/>
    <w:rsid w:val="41D75AC3"/>
    <w:rsid w:val="42683D34"/>
    <w:rsid w:val="42B6044D"/>
    <w:rsid w:val="43231840"/>
    <w:rsid w:val="43E002F0"/>
    <w:rsid w:val="44A41DCD"/>
    <w:rsid w:val="45B65F37"/>
    <w:rsid w:val="469F29B3"/>
    <w:rsid w:val="472333A6"/>
    <w:rsid w:val="47811F51"/>
    <w:rsid w:val="49064A1E"/>
    <w:rsid w:val="4957740E"/>
    <w:rsid w:val="49757894"/>
    <w:rsid w:val="4B241572"/>
    <w:rsid w:val="4D035D0E"/>
    <w:rsid w:val="4E593C28"/>
    <w:rsid w:val="4FD058DD"/>
    <w:rsid w:val="516473EA"/>
    <w:rsid w:val="53FA37B7"/>
    <w:rsid w:val="5455414B"/>
    <w:rsid w:val="57816857"/>
    <w:rsid w:val="595C281E"/>
    <w:rsid w:val="5A4B120B"/>
    <w:rsid w:val="5A8D7133"/>
    <w:rsid w:val="5CB62246"/>
    <w:rsid w:val="5EDC04ED"/>
    <w:rsid w:val="5F634BB1"/>
    <w:rsid w:val="61DC62AA"/>
    <w:rsid w:val="65E87914"/>
    <w:rsid w:val="66C13CC1"/>
    <w:rsid w:val="66CD4D5B"/>
    <w:rsid w:val="68652B3C"/>
    <w:rsid w:val="68C63810"/>
    <w:rsid w:val="69CA7330"/>
    <w:rsid w:val="69D8409F"/>
    <w:rsid w:val="6A9168CD"/>
    <w:rsid w:val="6B6B1E4D"/>
    <w:rsid w:val="6D286848"/>
    <w:rsid w:val="6FC22F83"/>
    <w:rsid w:val="73AE4625"/>
    <w:rsid w:val="7A6F735D"/>
    <w:rsid w:val="7BC10593"/>
    <w:rsid w:val="7E74105F"/>
    <w:rsid w:val="7F5434CC"/>
    <w:rsid w:val="7F770C42"/>
    <w:rsid w:val="7FDE28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9" w:semiHidden="0" w:name="heading 6"/>
    <w:lsdException w:qFormat="1" w:uiPriority="9"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qFormat="1" w:uiPriority="99" w:semiHidden="0"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52"/>
    <w:qFormat/>
    <w:uiPriority w:val="0"/>
    <w:pPr>
      <w:keepNext/>
      <w:keepLines/>
      <w:pageBreakBefore/>
      <w:numPr>
        <w:ilvl w:val="0"/>
        <w:numId w:val="1"/>
      </w:numPr>
      <w:adjustRightInd w:val="0"/>
      <w:snapToGrid w:val="0"/>
      <w:ind w:left="0" w:firstLine="0" w:firstLineChars="0"/>
      <w:outlineLvl w:val="0"/>
    </w:pPr>
    <w:rPr>
      <w:rFonts w:ascii="黑体" w:eastAsia="宋体"/>
      <w:b/>
      <w:bCs/>
      <w:snapToGrid w:val="0"/>
      <w:color w:val="000000"/>
      <w:kern w:val="18"/>
      <w:sz w:val="32"/>
      <w:szCs w:val="32"/>
    </w:rPr>
  </w:style>
  <w:style w:type="paragraph" w:styleId="4">
    <w:name w:val="heading 2"/>
    <w:basedOn w:val="1"/>
    <w:next w:val="1"/>
    <w:link w:val="53"/>
    <w:qFormat/>
    <w:uiPriority w:val="0"/>
    <w:pPr>
      <w:keepNext/>
      <w:keepLines/>
      <w:numPr>
        <w:ilvl w:val="1"/>
        <w:numId w:val="1"/>
      </w:numPr>
      <w:adjustRightInd w:val="0"/>
      <w:snapToGrid w:val="0"/>
      <w:spacing w:beforeLines="50" w:afterLines="50"/>
      <w:ind w:firstLineChars="0"/>
      <w:outlineLvl w:val="1"/>
    </w:pPr>
    <w:rPr>
      <w:rFonts w:ascii="宋体" w:hAnsi="宋体" w:eastAsia="宋体"/>
      <w:b/>
      <w:bCs/>
      <w:snapToGrid w:val="0"/>
      <w:color w:val="000000"/>
      <w:kern w:val="20"/>
      <w:sz w:val="28"/>
      <w:szCs w:val="28"/>
    </w:rPr>
  </w:style>
  <w:style w:type="paragraph" w:styleId="5">
    <w:name w:val="heading 3"/>
    <w:basedOn w:val="1"/>
    <w:next w:val="1"/>
    <w:link w:val="54"/>
    <w:qFormat/>
    <w:uiPriority w:val="0"/>
    <w:pPr>
      <w:keepNext/>
      <w:keepLines/>
      <w:numPr>
        <w:ilvl w:val="2"/>
        <w:numId w:val="1"/>
      </w:numPr>
      <w:adjustRightInd w:val="0"/>
      <w:snapToGrid w:val="0"/>
      <w:ind w:left="0" w:firstLine="0" w:firstLineChars="0"/>
      <w:jc w:val="left"/>
      <w:outlineLvl w:val="2"/>
    </w:pPr>
    <w:rPr>
      <w:rFonts w:ascii="宋体" w:hAnsi="宋体" w:eastAsia="宋体"/>
      <w:b/>
      <w:snapToGrid w:val="0"/>
      <w:kern w:val="0"/>
      <w:sz w:val="28"/>
      <w:szCs w:val="28"/>
    </w:rPr>
  </w:style>
  <w:style w:type="paragraph" w:styleId="6">
    <w:name w:val="heading 4"/>
    <w:basedOn w:val="1"/>
    <w:next w:val="1"/>
    <w:link w:val="55"/>
    <w:qFormat/>
    <w:uiPriority w:val="0"/>
    <w:pPr>
      <w:keepNext/>
      <w:keepLines/>
      <w:numPr>
        <w:ilvl w:val="3"/>
        <w:numId w:val="1"/>
      </w:numPr>
      <w:adjustRightInd w:val="0"/>
      <w:snapToGrid w:val="0"/>
      <w:ind w:left="0" w:firstLineChars="0"/>
      <w:jc w:val="left"/>
      <w:outlineLvl w:val="3"/>
    </w:pPr>
    <w:rPr>
      <w:rFonts w:ascii="宋体" w:hAnsi="宋体" w:eastAsia="宋体"/>
      <w:b/>
      <w:bCs/>
      <w:sz w:val="28"/>
      <w:szCs w:val="28"/>
    </w:rPr>
  </w:style>
  <w:style w:type="paragraph" w:styleId="7">
    <w:name w:val="heading 5"/>
    <w:basedOn w:val="1"/>
    <w:next w:val="1"/>
    <w:link w:val="56"/>
    <w:unhideWhenUsed/>
    <w:qFormat/>
    <w:uiPriority w:val="0"/>
    <w:pPr>
      <w:keepNext/>
      <w:keepLines/>
      <w:spacing w:before="280" w:after="290" w:line="376" w:lineRule="atLeast"/>
      <w:outlineLvl w:val="4"/>
    </w:pPr>
    <w:rPr>
      <w:b/>
      <w:bCs/>
      <w:sz w:val="28"/>
      <w:szCs w:val="28"/>
    </w:rPr>
  </w:style>
  <w:style w:type="paragraph" w:styleId="8">
    <w:name w:val="heading 6"/>
    <w:basedOn w:val="1"/>
    <w:next w:val="1"/>
    <w:link w:val="57"/>
    <w:unhideWhenUsed/>
    <w:qFormat/>
    <w:uiPriority w:val="9"/>
    <w:pPr>
      <w:keepNext/>
      <w:keepLines/>
      <w:spacing w:beforeLines="50"/>
      <w:ind w:firstLine="0" w:firstLineChars="0"/>
      <w:jc w:val="center"/>
      <w:outlineLvl w:val="5"/>
    </w:pPr>
    <w:rPr>
      <w:rFonts w:cs="Times New Roman"/>
      <w:b/>
      <w:bCs/>
      <w:sz w:val="21"/>
    </w:rPr>
  </w:style>
  <w:style w:type="paragraph" w:styleId="9">
    <w:name w:val="heading 7"/>
    <w:basedOn w:val="1"/>
    <w:next w:val="1"/>
    <w:link w:val="58"/>
    <w:unhideWhenUsed/>
    <w:qFormat/>
    <w:uiPriority w:val="9"/>
    <w:pPr>
      <w:keepNext/>
      <w:keepLines/>
      <w:topLinePunct/>
      <w:autoSpaceDE w:val="0"/>
      <w:spacing w:before="240" w:after="64" w:line="320" w:lineRule="auto"/>
      <w:outlineLvl w:val="6"/>
    </w:pPr>
    <w:rPr>
      <w:b/>
      <w:bCs/>
    </w:rPr>
  </w:style>
  <w:style w:type="paragraph" w:styleId="10">
    <w:name w:val="heading 8"/>
    <w:basedOn w:val="1"/>
    <w:next w:val="1"/>
    <w:link w:val="59"/>
    <w:unhideWhenUsed/>
    <w:qFormat/>
    <w:uiPriority w:val="0"/>
    <w:pPr>
      <w:keepNext/>
      <w:keepLines/>
      <w:topLinePunct/>
      <w:autoSpaceDE w:val="0"/>
      <w:spacing w:before="240" w:after="64" w:line="320" w:lineRule="auto"/>
      <w:outlineLvl w:val="7"/>
    </w:pPr>
    <w:rPr>
      <w:rFonts w:ascii="Cambria" w:hAnsi="Cambria" w:eastAsia="宋体" w:cs="Times New Roman"/>
    </w:rPr>
  </w:style>
  <w:style w:type="paragraph" w:styleId="11">
    <w:name w:val="heading 9"/>
    <w:basedOn w:val="1"/>
    <w:next w:val="1"/>
    <w:link w:val="60"/>
    <w:unhideWhenUsed/>
    <w:qFormat/>
    <w:uiPriority w:val="0"/>
    <w:pPr>
      <w:keepNext/>
      <w:keepLines/>
      <w:topLinePunct/>
      <w:autoSpaceDE w:val="0"/>
      <w:spacing w:before="240" w:after="64" w:line="320" w:lineRule="auto"/>
      <w:outlineLvl w:val="8"/>
    </w:pPr>
    <w:rPr>
      <w:rFonts w:ascii="Cambria" w:hAnsi="Cambria" w:eastAsia="宋体" w:cs="Times New Roman"/>
      <w:szCs w:val="22"/>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51"/>
    <w:qFormat/>
    <w:uiPriority w:val="0"/>
    <w:pPr>
      <w:spacing w:after="120" w:line="240" w:lineRule="auto"/>
      <w:ind w:firstLine="0" w:firstLineChars="0"/>
    </w:pPr>
    <w:rPr>
      <w:sz w:val="21"/>
    </w:rPr>
  </w:style>
  <w:style w:type="paragraph" w:styleId="12">
    <w:name w:val="toc 7"/>
    <w:basedOn w:val="1"/>
    <w:next w:val="1"/>
    <w:unhideWhenUsed/>
    <w:qFormat/>
    <w:uiPriority w:val="39"/>
    <w:pPr>
      <w:ind w:left="1440"/>
      <w:jc w:val="left"/>
    </w:pPr>
    <w:rPr>
      <w:rFonts w:ascii="Calibri" w:hAnsi="Calibri"/>
      <w:sz w:val="18"/>
      <w:szCs w:val="18"/>
    </w:rPr>
  </w:style>
  <w:style w:type="paragraph" w:styleId="13">
    <w:name w:val="Note Heading"/>
    <w:basedOn w:val="1"/>
    <w:next w:val="1"/>
    <w:link w:val="61"/>
    <w:qFormat/>
    <w:uiPriority w:val="0"/>
    <w:pPr>
      <w:spacing w:line="240" w:lineRule="auto"/>
      <w:ind w:firstLine="0" w:firstLineChars="0"/>
      <w:jc w:val="center"/>
    </w:pPr>
    <w:rPr>
      <w:rFonts w:ascii="宋体" w:hAnsi="Calibri"/>
      <w:sz w:val="21"/>
      <w:szCs w:val="20"/>
    </w:rPr>
  </w:style>
  <w:style w:type="paragraph" w:styleId="14">
    <w:name w:val="Normal Indent"/>
    <w:basedOn w:val="1"/>
    <w:next w:val="1"/>
    <w:link w:val="62"/>
    <w:qFormat/>
    <w:uiPriority w:val="0"/>
    <w:pPr>
      <w:spacing w:line="500" w:lineRule="exact"/>
      <w:ind w:firstLine="420" w:firstLineChars="0"/>
    </w:pPr>
    <w:rPr>
      <w:rFonts w:ascii="楷体_GB2312" w:eastAsia="楷体_GB2312"/>
      <w:sz w:val="28"/>
      <w:szCs w:val="20"/>
    </w:rPr>
  </w:style>
  <w:style w:type="paragraph" w:styleId="15">
    <w:name w:val="Document Map"/>
    <w:basedOn w:val="1"/>
    <w:link w:val="63"/>
    <w:unhideWhenUsed/>
    <w:qFormat/>
    <w:uiPriority w:val="99"/>
    <w:rPr>
      <w:rFonts w:ascii="宋体"/>
      <w:sz w:val="18"/>
      <w:szCs w:val="18"/>
    </w:rPr>
  </w:style>
  <w:style w:type="paragraph" w:styleId="16">
    <w:name w:val="annotation text"/>
    <w:basedOn w:val="1"/>
    <w:link w:val="64"/>
    <w:unhideWhenUsed/>
    <w:qFormat/>
    <w:uiPriority w:val="99"/>
    <w:pPr>
      <w:jc w:val="left"/>
    </w:pPr>
  </w:style>
  <w:style w:type="paragraph" w:styleId="17">
    <w:name w:val="Body Text Indent"/>
    <w:basedOn w:val="1"/>
    <w:next w:val="1"/>
    <w:link w:val="65"/>
    <w:qFormat/>
    <w:uiPriority w:val="0"/>
    <w:pPr>
      <w:widowControl/>
      <w:spacing w:line="500" w:lineRule="atLeast"/>
      <w:ind w:firstLine="641" w:firstLineChars="0"/>
    </w:pPr>
    <w:rPr>
      <w:rFonts w:ascii="Times" w:hAnsi="Times"/>
      <w:kern w:val="0"/>
    </w:rPr>
  </w:style>
  <w:style w:type="paragraph" w:styleId="18">
    <w:name w:val="toc 5"/>
    <w:basedOn w:val="1"/>
    <w:next w:val="1"/>
    <w:unhideWhenUsed/>
    <w:qFormat/>
    <w:uiPriority w:val="39"/>
    <w:pPr>
      <w:ind w:left="960"/>
      <w:jc w:val="left"/>
    </w:pPr>
    <w:rPr>
      <w:rFonts w:ascii="Calibri" w:hAnsi="Calibri"/>
      <w:sz w:val="18"/>
      <w:szCs w:val="18"/>
    </w:rPr>
  </w:style>
  <w:style w:type="paragraph" w:styleId="19">
    <w:name w:val="toc 3"/>
    <w:basedOn w:val="1"/>
    <w:next w:val="1"/>
    <w:unhideWhenUsed/>
    <w:qFormat/>
    <w:uiPriority w:val="39"/>
    <w:pPr>
      <w:ind w:left="480"/>
      <w:jc w:val="left"/>
    </w:pPr>
    <w:rPr>
      <w:rFonts w:ascii="Calibri" w:hAnsi="Calibri"/>
      <w:i/>
      <w:iCs/>
      <w:sz w:val="20"/>
      <w:szCs w:val="20"/>
    </w:rPr>
  </w:style>
  <w:style w:type="paragraph" w:styleId="20">
    <w:name w:val="Plain Text"/>
    <w:basedOn w:val="1"/>
    <w:link w:val="66"/>
    <w:unhideWhenUsed/>
    <w:qFormat/>
    <w:uiPriority w:val="0"/>
    <w:rPr>
      <w:rFonts w:ascii="宋体" w:hAnsi="Courier New" w:cs="Courier New"/>
      <w:sz w:val="21"/>
      <w:szCs w:val="21"/>
    </w:rPr>
  </w:style>
  <w:style w:type="paragraph" w:styleId="21">
    <w:name w:val="toc 8"/>
    <w:basedOn w:val="1"/>
    <w:next w:val="1"/>
    <w:unhideWhenUsed/>
    <w:qFormat/>
    <w:uiPriority w:val="39"/>
    <w:pPr>
      <w:ind w:left="1680"/>
      <w:jc w:val="left"/>
    </w:pPr>
    <w:rPr>
      <w:rFonts w:ascii="Calibri" w:hAnsi="Calibri"/>
      <w:sz w:val="18"/>
      <w:szCs w:val="18"/>
    </w:rPr>
  </w:style>
  <w:style w:type="paragraph" w:styleId="22">
    <w:name w:val="Date"/>
    <w:basedOn w:val="1"/>
    <w:next w:val="1"/>
    <w:link w:val="67"/>
    <w:unhideWhenUsed/>
    <w:qFormat/>
    <w:uiPriority w:val="99"/>
    <w:pPr>
      <w:ind w:left="100" w:leftChars="2500"/>
    </w:pPr>
  </w:style>
  <w:style w:type="paragraph" w:styleId="23">
    <w:name w:val="Body Text Indent 2"/>
    <w:basedOn w:val="1"/>
    <w:link w:val="68"/>
    <w:unhideWhenUsed/>
    <w:qFormat/>
    <w:uiPriority w:val="99"/>
    <w:pPr>
      <w:topLinePunct/>
      <w:autoSpaceDE w:val="0"/>
      <w:spacing w:after="120" w:line="480" w:lineRule="auto"/>
      <w:ind w:left="420" w:leftChars="200"/>
    </w:pPr>
    <w:rPr>
      <w:szCs w:val="22"/>
    </w:rPr>
  </w:style>
  <w:style w:type="paragraph" w:styleId="24">
    <w:name w:val="Balloon Text"/>
    <w:basedOn w:val="1"/>
    <w:link w:val="69"/>
    <w:unhideWhenUsed/>
    <w:qFormat/>
    <w:uiPriority w:val="99"/>
    <w:rPr>
      <w:sz w:val="18"/>
      <w:szCs w:val="18"/>
    </w:rPr>
  </w:style>
  <w:style w:type="paragraph" w:styleId="25">
    <w:name w:val="footer"/>
    <w:basedOn w:val="1"/>
    <w:link w:val="70"/>
    <w:unhideWhenUsed/>
    <w:qFormat/>
    <w:uiPriority w:val="99"/>
    <w:pPr>
      <w:tabs>
        <w:tab w:val="center" w:pos="4153"/>
        <w:tab w:val="right" w:pos="8306"/>
      </w:tabs>
      <w:snapToGrid w:val="0"/>
      <w:jc w:val="left"/>
    </w:pPr>
    <w:rPr>
      <w:sz w:val="18"/>
      <w:szCs w:val="18"/>
    </w:rPr>
  </w:style>
  <w:style w:type="paragraph" w:styleId="26">
    <w:name w:val="header"/>
    <w:basedOn w:val="1"/>
    <w:next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spacing w:before="120" w:after="120"/>
      <w:jc w:val="left"/>
    </w:pPr>
    <w:rPr>
      <w:rFonts w:ascii="Calibri" w:hAnsi="Calibri"/>
      <w:b/>
      <w:bCs/>
      <w:caps/>
      <w:sz w:val="20"/>
      <w:szCs w:val="20"/>
    </w:rPr>
  </w:style>
  <w:style w:type="paragraph" w:styleId="28">
    <w:name w:val="toc 4"/>
    <w:basedOn w:val="1"/>
    <w:next w:val="1"/>
    <w:unhideWhenUsed/>
    <w:qFormat/>
    <w:uiPriority w:val="39"/>
    <w:pPr>
      <w:ind w:left="720"/>
      <w:jc w:val="left"/>
    </w:pPr>
    <w:rPr>
      <w:rFonts w:ascii="Calibri" w:hAnsi="Calibri"/>
      <w:sz w:val="18"/>
      <w:szCs w:val="18"/>
    </w:rPr>
  </w:style>
  <w:style w:type="paragraph" w:styleId="29">
    <w:name w:val="Subtitle"/>
    <w:basedOn w:val="1"/>
    <w:next w:val="1"/>
    <w:link w:val="72"/>
    <w:qFormat/>
    <w:uiPriority w:val="11"/>
    <w:pPr>
      <w:topLinePunct/>
      <w:autoSpaceDE w:val="0"/>
      <w:spacing w:after="600" w:line="480" w:lineRule="exact"/>
    </w:pPr>
    <w:rPr>
      <w:rFonts w:ascii="Cambria" w:hAnsi="Cambria"/>
      <w:i/>
      <w:iCs/>
      <w:spacing w:val="13"/>
    </w:rPr>
  </w:style>
  <w:style w:type="paragraph" w:styleId="30">
    <w:name w:val="List"/>
    <w:basedOn w:val="1"/>
    <w:unhideWhenUsed/>
    <w:qFormat/>
    <w:uiPriority w:val="99"/>
    <w:pPr>
      <w:ind w:left="200" w:hanging="200" w:hangingChars="200"/>
      <w:contextualSpacing/>
    </w:pPr>
  </w:style>
  <w:style w:type="paragraph" w:styleId="31">
    <w:name w:val="toc 6"/>
    <w:basedOn w:val="1"/>
    <w:next w:val="1"/>
    <w:unhideWhenUsed/>
    <w:qFormat/>
    <w:uiPriority w:val="39"/>
    <w:pPr>
      <w:ind w:left="1200"/>
      <w:jc w:val="left"/>
    </w:pPr>
    <w:rPr>
      <w:rFonts w:ascii="Calibri" w:hAnsi="Calibri"/>
      <w:sz w:val="18"/>
      <w:szCs w:val="18"/>
    </w:rPr>
  </w:style>
  <w:style w:type="paragraph" w:styleId="32">
    <w:name w:val="Body Text Indent 3"/>
    <w:basedOn w:val="1"/>
    <w:link w:val="73"/>
    <w:unhideWhenUsed/>
    <w:qFormat/>
    <w:uiPriority w:val="99"/>
    <w:pPr>
      <w:spacing w:after="120"/>
      <w:ind w:left="420" w:leftChars="200"/>
    </w:pPr>
    <w:rPr>
      <w:sz w:val="16"/>
      <w:szCs w:val="16"/>
    </w:rPr>
  </w:style>
  <w:style w:type="paragraph" w:styleId="33">
    <w:name w:val="toc 2"/>
    <w:basedOn w:val="1"/>
    <w:next w:val="1"/>
    <w:unhideWhenUsed/>
    <w:qFormat/>
    <w:uiPriority w:val="39"/>
    <w:pPr>
      <w:ind w:left="240"/>
      <w:jc w:val="left"/>
    </w:pPr>
    <w:rPr>
      <w:rFonts w:ascii="Calibri" w:hAnsi="Calibri"/>
      <w:smallCaps/>
      <w:sz w:val="20"/>
      <w:szCs w:val="20"/>
    </w:rPr>
  </w:style>
  <w:style w:type="paragraph" w:styleId="34">
    <w:name w:val="toc 9"/>
    <w:basedOn w:val="1"/>
    <w:next w:val="1"/>
    <w:unhideWhenUsed/>
    <w:qFormat/>
    <w:uiPriority w:val="39"/>
    <w:pPr>
      <w:ind w:left="1920"/>
      <w:jc w:val="left"/>
    </w:pPr>
    <w:rPr>
      <w:rFonts w:ascii="Calibri" w:hAnsi="Calibri"/>
      <w:sz w:val="18"/>
      <w:szCs w:val="18"/>
    </w:rPr>
  </w:style>
  <w:style w:type="paragraph" w:styleId="35">
    <w:name w:val="Body Text 2"/>
    <w:basedOn w:val="1"/>
    <w:link w:val="74"/>
    <w:unhideWhenUsed/>
    <w:qFormat/>
    <w:uiPriority w:val="99"/>
    <w:pPr>
      <w:spacing w:after="120" w:line="480" w:lineRule="auto"/>
    </w:pPr>
  </w:style>
  <w:style w:type="paragraph" w:styleId="36">
    <w:name w:val="Normal (Web)"/>
    <w:basedOn w:val="1"/>
    <w:unhideWhenUsed/>
    <w:qFormat/>
    <w:uiPriority w:val="99"/>
    <w:pPr>
      <w:widowControl/>
      <w:spacing w:before="100" w:beforeAutospacing="1" w:after="100" w:afterAutospacing="1" w:line="240" w:lineRule="auto"/>
      <w:ind w:firstLine="0" w:firstLineChars="0"/>
      <w:jc w:val="left"/>
    </w:pPr>
    <w:rPr>
      <w:kern w:val="0"/>
      <w:szCs w:val="20"/>
    </w:rPr>
  </w:style>
  <w:style w:type="paragraph" w:styleId="37">
    <w:name w:val="Title"/>
    <w:basedOn w:val="1"/>
    <w:next w:val="1"/>
    <w:link w:val="75"/>
    <w:qFormat/>
    <w:uiPriority w:val="10"/>
    <w:pPr>
      <w:spacing w:before="240" w:after="60" w:line="240" w:lineRule="auto"/>
      <w:ind w:firstLine="0" w:firstLineChars="0"/>
      <w:jc w:val="center"/>
      <w:outlineLvl w:val="0"/>
    </w:pPr>
    <w:rPr>
      <w:rFonts w:ascii="Cambria" w:hAnsi="Cambria" w:eastAsia="宋体" w:cs="Times New Roman"/>
      <w:b/>
      <w:bCs/>
      <w:sz w:val="32"/>
      <w:szCs w:val="32"/>
    </w:rPr>
  </w:style>
  <w:style w:type="paragraph" w:styleId="38">
    <w:name w:val="annotation subject"/>
    <w:basedOn w:val="16"/>
    <w:next w:val="16"/>
    <w:link w:val="76"/>
    <w:unhideWhenUsed/>
    <w:qFormat/>
    <w:uiPriority w:val="99"/>
    <w:rPr>
      <w:b/>
      <w:bCs/>
    </w:rPr>
  </w:style>
  <w:style w:type="paragraph" w:styleId="39">
    <w:name w:val="Body Text First Indent"/>
    <w:basedOn w:val="2"/>
    <w:link w:val="77"/>
    <w:unhideWhenUsed/>
    <w:qFormat/>
    <w:uiPriority w:val="99"/>
    <w:pPr>
      <w:spacing w:line="360" w:lineRule="auto"/>
      <w:ind w:firstLine="420" w:firstLineChars="100"/>
    </w:pPr>
    <w:rPr>
      <w:sz w:val="24"/>
    </w:rPr>
  </w:style>
  <w:style w:type="paragraph" w:styleId="40">
    <w:name w:val="Body Text First Indent 2"/>
    <w:basedOn w:val="17"/>
    <w:next w:val="17"/>
    <w:link w:val="79"/>
    <w:unhideWhenUsed/>
    <w:qFormat/>
    <w:uiPriority w:val="99"/>
    <w:pPr>
      <w:widowControl w:val="0"/>
      <w:spacing w:after="120" w:line="360" w:lineRule="auto"/>
      <w:ind w:left="420" w:leftChars="200" w:firstLine="420" w:firstLineChars="200"/>
    </w:pPr>
    <w:rPr>
      <w:rFonts w:ascii="Times New Roman" w:hAnsi="Times New Roman"/>
      <w:kern w:val="2"/>
    </w:rPr>
  </w:style>
  <w:style w:type="table" w:styleId="42">
    <w:name w:val="Table Grid"/>
    <w:basedOn w:val="41"/>
    <w:qFormat/>
    <w:uiPriority w:val="0"/>
    <w:rPr>
      <w:rFonts w:ascii="Calibri" w:hAnsi="Calibri"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style>
  <w:style w:type="character" w:styleId="44">
    <w:name w:val="Strong"/>
    <w:qFormat/>
    <w:uiPriority w:val="22"/>
    <w:rPr>
      <w:b/>
      <w:bCs/>
    </w:rPr>
  </w:style>
  <w:style w:type="character" w:styleId="45">
    <w:name w:val="page number"/>
    <w:basedOn w:val="43"/>
    <w:qFormat/>
    <w:uiPriority w:val="0"/>
    <w:rPr>
      <w:sz w:val="21"/>
    </w:rPr>
  </w:style>
  <w:style w:type="character" w:styleId="46">
    <w:name w:val="FollowedHyperlink"/>
    <w:basedOn w:val="43"/>
    <w:unhideWhenUsed/>
    <w:qFormat/>
    <w:uiPriority w:val="99"/>
    <w:rPr>
      <w:color w:val="800080"/>
      <w:u w:val="single"/>
    </w:rPr>
  </w:style>
  <w:style w:type="character" w:styleId="47">
    <w:name w:val="Emphasis"/>
    <w:basedOn w:val="43"/>
    <w:qFormat/>
    <w:uiPriority w:val="20"/>
    <w:rPr>
      <w:i/>
      <w:iCs/>
    </w:rPr>
  </w:style>
  <w:style w:type="character" w:styleId="48">
    <w:name w:val="line number"/>
    <w:basedOn w:val="43"/>
    <w:unhideWhenUsed/>
    <w:qFormat/>
    <w:uiPriority w:val="99"/>
  </w:style>
  <w:style w:type="character" w:styleId="49">
    <w:name w:val="Hyperlink"/>
    <w:basedOn w:val="43"/>
    <w:unhideWhenUsed/>
    <w:qFormat/>
    <w:uiPriority w:val="99"/>
    <w:rPr>
      <w:color w:val="0000FF"/>
      <w:u w:val="single"/>
    </w:rPr>
  </w:style>
  <w:style w:type="character" w:styleId="50">
    <w:name w:val="annotation reference"/>
    <w:basedOn w:val="43"/>
    <w:unhideWhenUsed/>
    <w:qFormat/>
    <w:uiPriority w:val="99"/>
    <w:rPr>
      <w:sz w:val="21"/>
      <w:szCs w:val="21"/>
    </w:rPr>
  </w:style>
  <w:style w:type="character" w:customStyle="1" w:styleId="51">
    <w:name w:val="正文文本 Char1"/>
    <w:basedOn w:val="43"/>
    <w:link w:val="2"/>
    <w:qFormat/>
    <w:uiPriority w:val="0"/>
    <w:rPr>
      <w:rFonts w:ascii="Times New Roman" w:hAnsi="Times New Roman" w:eastAsia="宋体" w:cs="Times New Roman"/>
      <w:szCs w:val="24"/>
    </w:rPr>
  </w:style>
  <w:style w:type="character" w:customStyle="1" w:styleId="52">
    <w:name w:val="标题 1 Char"/>
    <w:basedOn w:val="43"/>
    <w:link w:val="3"/>
    <w:qFormat/>
    <w:uiPriority w:val="0"/>
    <w:rPr>
      <w:rFonts w:ascii="黑体" w:hAnsi="Times New Roman" w:eastAsia="宋体" w:cs="Times New Roman"/>
      <w:b/>
      <w:bCs/>
      <w:snapToGrid w:val="0"/>
      <w:color w:val="000000"/>
      <w:kern w:val="18"/>
      <w:sz w:val="32"/>
      <w:szCs w:val="32"/>
    </w:rPr>
  </w:style>
  <w:style w:type="character" w:customStyle="1" w:styleId="53">
    <w:name w:val="标题 2 Char"/>
    <w:basedOn w:val="43"/>
    <w:link w:val="4"/>
    <w:qFormat/>
    <w:uiPriority w:val="0"/>
    <w:rPr>
      <w:rFonts w:ascii="宋体" w:hAnsi="宋体" w:eastAsia="宋体" w:cs="Times New Roman"/>
      <w:b/>
      <w:bCs/>
      <w:snapToGrid w:val="0"/>
      <w:color w:val="000000"/>
      <w:kern w:val="20"/>
      <w:sz w:val="28"/>
      <w:szCs w:val="28"/>
    </w:rPr>
  </w:style>
  <w:style w:type="character" w:customStyle="1" w:styleId="54">
    <w:name w:val="标题 3 Char"/>
    <w:basedOn w:val="43"/>
    <w:link w:val="5"/>
    <w:qFormat/>
    <w:uiPriority w:val="0"/>
    <w:rPr>
      <w:rFonts w:ascii="宋体" w:hAnsi="宋体" w:eastAsia="宋体" w:cs="Times New Roman"/>
      <w:b/>
      <w:snapToGrid w:val="0"/>
      <w:kern w:val="0"/>
      <w:sz w:val="28"/>
      <w:szCs w:val="28"/>
    </w:rPr>
  </w:style>
  <w:style w:type="character" w:customStyle="1" w:styleId="55">
    <w:name w:val="标题 4 Char"/>
    <w:basedOn w:val="43"/>
    <w:link w:val="6"/>
    <w:qFormat/>
    <w:uiPriority w:val="0"/>
    <w:rPr>
      <w:rFonts w:ascii="宋体" w:hAnsi="宋体" w:eastAsia="宋体" w:cs="Times New Roman"/>
      <w:b/>
      <w:bCs/>
      <w:sz w:val="28"/>
      <w:szCs w:val="28"/>
    </w:rPr>
  </w:style>
  <w:style w:type="character" w:customStyle="1" w:styleId="56">
    <w:name w:val="标题 5 Char"/>
    <w:basedOn w:val="43"/>
    <w:link w:val="7"/>
    <w:qFormat/>
    <w:uiPriority w:val="0"/>
    <w:rPr>
      <w:rFonts w:ascii="Times New Roman" w:hAnsi="Times New Roman" w:eastAsia="宋体" w:cs="Times New Roman"/>
      <w:b/>
      <w:bCs/>
      <w:sz w:val="28"/>
      <w:szCs w:val="28"/>
    </w:rPr>
  </w:style>
  <w:style w:type="character" w:customStyle="1" w:styleId="57">
    <w:name w:val="标题 6 Char"/>
    <w:basedOn w:val="43"/>
    <w:link w:val="8"/>
    <w:qFormat/>
    <w:uiPriority w:val="9"/>
    <w:rPr>
      <w:rFonts w:ascii="Times New Roman" w:hAnsi="Times New Roman" w:eastAsia="宋体" w:cs="Times New Roman"/>
      <w:b/>
      <w:bCs/>
      <w:szCs w:val="24"/>
    </w:rPr>
  </w:style>
  <w:style w:type="character" w:customStyle="1" w:styleId="58">
    <w:name w:val="标题 7 Char1"/>
    <w:basedOn w:val="43"/>
    <w:link w:val="9"/>
    <w:qFormat/>
    <w:uiPriority w:val="9"/>
    <w:rPr>
      <w:rFonts w:ascii="Times New Roman" w:hAnsi="Times New Roman" w:eastAsia="宋体" w:cs="Times New Roman"/>
      <w:b/>
      <w:bCs/>
      <w:sz w:val="24"/>
      <w:szCs w:val="24"/>
    </w:rPr>
  </w:style>
  <w:style w:type="character" w:customStyle="1" w:styleId="59">
    <w:name w:val="标题 8 Char"/>
    <w:basedOn w:val="43"/>
    <w:link w:val="10"/>
    <w:qFormat/>
    <w:uiPriority w:val="0"/>
    <w:rPr>
      <w:rFonts w:ascii="Cambria" w:hAnsi="Cambria" w:eastAsia="宋体" w:cs="Times New Roman"/>
      <w:sz w:val="24"/>
      <w:szCs w:val="24"/>
    </w:rPr>
  </w:style>
  <w:style w:type="character" w:customStyle="1" w:styleId="60">
    <w:name w:val="标题 9 Char"/>
    <w:basedOn w:val="43"/>
    <w:link w:val="11"/>
    <w:qFormat/>
    <w:uiPriority w:val="0"/>
    <w:rPr>
      <w:rFonts w:ascii="Cambria" w:hAnsi="Cambria" w:eastAsia="宋体" w:cs="Times New Roman"/>
      <w:sz w:val="24"/>
    </w:rPr>
  </w:style>
  <w:style w:type="character" w:customStyle="1" w:styleId="61">
    <w:name w:val="注释标题 Char"/>
    <w:basedOn w:val="43"/>
    <w:link w:val="13"/>
    <w:qFormat/>
    <w:uiPriority w:val="99"/>
    <w:rPr>
      <w:rFonts w:ascii="宋体" w:hAnsi="Calibri" w:eastAsia="宋体" w:cs="Times New Roman"/>
      <w:szCs w:val="20"/>
    </w:rPr>
  </w:style>
  <w:style w:type="character" w:customStyle="1" w:styleId="62">
    <w:name w:val="正文缩进 Char1"/>
    <w:link w:val="14"/>
    <w:qFormat/>
    <w:uiPriority w:val="0"/>
    <w:rPr>
      <w:rFonts w:ascii="楷体_GB2312" w:hAnsi="Times New Roman" w:eastAsia="楷体_GB2312" w:cs="Times New Roman"/>
      <w:sz w:val="28"/>
      <w:szCs w:val="20"/>
    </w:rPr>
  </w:style>
  <w:style w:type="character" w:customStyle="1" w:styleId="63">
    <w:name w:val="文档结构图 Char"/>
    <w:basedOn w:val="43"/>
    <w:link w:val="15"/>
    <w:semiHidden/>
    <w:qFormat/>
    <w:uiPriority w:val="99"/>
    <w:rPr>
      <w:rFonts w:ascii="宋体" w:hAnsi="Times New Roman" w:eastAsia="宋体" w:cs="Times New Roman"/>
      <w:sz w:val="18"/>
      <w:szCs w:val="18"/>
    </w:rPr>
  </w:style>
  <w:style w:type="character" w:customStyle="1" w:styleId="64">
    <w:name w:val="批注文字 Char"/>
    <w:basedOn w:val="43"/>
    <w:link w:val="16"/>
    <w:qFormat/>
    <w:uiPriority w:val="99"/>
    <w:rPr>
      <w:rFonts w:ascii="Times New Roman" w:hAnsi="Times New Roman" w:eastAsia="宋体" w:cs="Times New Roman"/>
      <w:sz w:val="24"/>
      <w:szCs w:val="24"/>
    </w:rPr>
  </w:style>
  <w:style w:type="character" w:customStyle="1" w:styleId="65">
    <w:name w:val="正文文本缩进 Char1"/>
    <w:basedOn w:val="43"/>
    <w:link w:val="17"/>
    <w:qFormat/>
    <w:uiPriority w:val="0"/>
    <w:rPr>
      <w:rFonts w:ascii="Times" w:hAnsi="Times" w:eastAsia="宋体" w:cs="Times New Roman"/>
      <w:kern w:val="0"/>
      <w:sz w:val="24"/>
      <w:szCs w:val="24"/>
    </w:rPr>
  </w:style>
  <w:style w:type="character" w:customStyle="1" w:styleId="66">
    <w:name w:val="纯文本 Char"/>
    <w:basedOn w:val="43"/>
    <w:link w:val="20"/>
    <w:qFormat/>
    <w:uiPriority w:val="99"/>
    <w:rPr>
      <w:rFonts w:ascii="宋体" w:hAnsi="Courier New" w:eastAsia="宋体" w:cs="Courier New"/>
      <w:szCs w:val="21"/>
    </w:rPr>
  </w:style>
  <w:style w:type="character" w:customStyle="1" w:styleId="67">
    <w:name w:val="日期 Char"/>
    <w:basedOn w:val="43"/>
    <w:link w:val="22"/>
    <w:qFormat/>
    <w:uiPriority w:val="99"/>
    <w:rPr>
      <w:rFonts w:ascii="Times New Roman" w:hAnsi="Times New Roman" w:eastAsia="宋体" w:cs="Times New Roman"/>
      <w:sz w:val="24"/>
      <w:szCs w:val="24"/>
    </w:rPr>
  </w:style>
  <w:style w:type="character" w:customStyle="1" w:styleId="68">
    <w:name w:val="正文文本缩进 2 Char"/>
    <w:basedOn w:val="43"/>
    <w:link w:val="23"/>
    <w:semiHidden/>
    <w:qFormat/>
    <w:uiPriority w:val="99"/>
    <w:rPr>
      <w:rFonts w:ascii="Times New Roman" w:hAnsi="Times New Roman" w:eastAsia="宋体" w:cs="Times New Roman"/>
      <w:sz w:val="24"/>
    </w:rPr>
  </w:style>
  <w:style w:type="character" w:customStyle="1" w:styleId="69">
    <w:name w:val="批注框文本 Char"/>
    <w:basedOn w:val="43"/>
    <w:link w:val="24"/>
    <w:qFormat/>
    <w:uiPriority w:val="99"/>
    <w:rPr>
      <w:rFonts w:ascii="Times New Roman" w:hAnsi="Times New Roman" w:eastAsia="宋体" w:cs="Times New Roman"/>
      <w:sz w:val="18"/>
      <w:szCs w:val="18"/>
    </w:rPr>
  </w:style>
  <w:style w:type="character" w:customStyle="1" w:styleId="70">
    <w:name w:val="页脚 Char"/>
    <w:basedOn w:val="43"/>
    <w:link w:val="25"/>
    <w:qFormat/>
    <w:uiPriority w:val="99"/>
    <w:rPr>
      <w:sz w:val="18"/>
      <w:szCs w:val="18"/>
    </w:rPr>
  </w:style>
  <w:style w:type="character" w:customStyle="1" w:styleId="71">
    <w:name w:val="页眉 Char"/>
    <w:basedOn w:val="43"/>
    <w:link w:val="26"/>
    <w:qFormat/>
    <w:uiPriority w:val="99"/>
    <w:rPr>
      <w:sz w:val="18"/>
      <w:szCs w:val="18"/>
    </w:rPr>
  </w:style>
  <w:style w:type="character" w:customStyle="1" w:styleId="72">
    <w:name w:val="副标题 Char"/>
    <w:basedOn w:val="43"/>
    <w:link w:val="29"/>
    <w:qFormat/>
    <w:uiPriority w:val="11"/>
    <w:rPr>
      <w:rFonts w:ascii="Cambria" w:hAnsi="Cambria" w:eastAsia="宋体" w:cs="Times New Roman"/>
      <w:i/>
      <w:iCs/>
      <w:spacing w:val="13"/>
      <w:sz w:val="24"/>
      <w:szCs w:val="24"/>
    </w:rPr>
  </w:style>
  <w:style w:type="character" w:customStyle="1" w:styleId="73">
    <w:name w:val="正文文本缩进 3 Char"/>
    <w:basedOn w:val="43"/>
    <w:link w:val="32"/>
    <w:qFormat/>
    <w:uiPriority w:val="99"/>
    <w:rPr>
      <w:rFonts w:ascii="Times New Roman" w:hAnsi="Times New Roman" w:eastAsia="宋体" w:cs="Times New Roman"/>
      <w:sz w:val="16"/>
      <w:szCs w:val="16"/>
    </w:rPr>
  </w:style>
  <w:style w:type="character" w:customStyle="1" w:styleId="74">
    <w:name w:val="正文文本 2 Char"/>
    <w:basedOn w:val="43"/>
    <w:link w:val="35"/>
    <w:semiHidden/>
    <w:qFormat/>
    <w:uiPriority w:val="99"/>
    <w:rPr>
      <w:rFonts w:ascii="Times New Roman" w:hAnsi="Times New Roman" w:eastAsia="宋体" w:cs="Times New Roman"/>
      <w:sz w:val="24"/>
      <w:szCs w:val="24"/>
    </w:rPr>
  </w:style>
  <w:style w:type="character" w:customStyle="1" w:styleId="75">
    <w:name w:val="标题 Char"/>
    <w:link w:val="37"/>
    <w:qFormat/>
    <w:uiPriority w:val="10"/>
    <w:rPr>
      <w:rFonts w:ascii="Cambria" w:hAnsi="Cambria"/>
      <w:b/>
      <w:bCs/>
      <w:sz w:val="32"/>
      <w:szCs w:val="32"/>
    </w:rPr>
  </w:style>
  <w:style w:type="character" w:customStyle="1" w:styleId="76">
    <w:name w:val="批注主题 Char"/>
    <w:basedOn w:val="64"/>
    <w:link w:val="38"/>
    <w:qFormat/>
    <w:uiPriority w:val="99"/>
    <w:rPr>
      <w:rFonts w:ascii="Times New Roman" w:hAnsi="Times New Roman" w:eastAsia="宋体" w:cs="Times New Roman"/>
      <w:b/>
      <w:bCs/>
      <w:sz w:val="24"/>
      <w:szCs w:val="24"/>
    </w:rPr>
  </w:style>
  <w:style w:type="character" w:customStyle="1" w:styleId="77">
    <w:name w:val="正文首行缩进 Char"/>
    <w:basedOn w:val="78"/>
    <w:link w:val="39"/>
    <w:qFormat/>
    <w:uiPriority w:val="99"/>
    <w:rPr>
      <w:rFonts w:ascii="Times New Roman" w:hAnsi="Times New Roman" w:eastAsia="宋体" w:cs="Times New Roman"/>
      <w:sz w:val="24"/>
      <w:szCs w:val="24"/>
    </w:rPr>
  </w:style>
  <w:style w:type="character" w:customStyle="1" w:styleId="78">
    <w:name w:val="正文文本 Char"/>
    <w:basedOn w:val="43"/>
    <w:semiHidden/>
    <w:qFormat/>
    <w:uiPriority w:val="99"/>
    <w:rPr>
      <w:rFonts w:ascii="Times New Roman" w:hAnsi="Times New Roman" w:eastAsia="宋体" w:cs="Times New Roman"/>
      <w:sz w:val="24"/>
      <w:szCs w:val="24"/>
    </w:rPr>
  </w:style>
  <w:style w:type="character" w:customStyle="1" w:styleId="79">
    <w:name w:val="正文首行缩进 2 Char"/>
    <w:basedOn w:val="80"/>
    <w:link w:val="40"/>
    <w:qFormat/>
    <w:uiPriority w:val="99"/>
    <w:rPr>
      <w:rFonts w:ascii="Times New Roman" w:hAnsi="Times New Roman" w:eastAsia="宋体" w:cs="Times New Roman"/>
      <w:sz w:val="24"/>
      <w:szCs w:val="24"/>
    </w:rPr>
  </w:style>
  <w:style w:type="character" w:customStyle="1" w:styleId="80">
    <w:name w:val="正文文本缩进 Char"/>
    <w:basedOn w:val="43"/>
    <w:semiHidden/>
    <w:qFormat/>
    <w:uiPriority w:val="99"/>
    <w:rPr>
      <w:rFonts w:ascii="Times New Roman" w:hAnsi="Times New Roman" w:eastAsia="宋体" w:cs="Times New Roman"/>
      <w:sz w:val="24"/>
      <w:szCs w:val="24"/>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sz w:val="18"/>
      <w:szCs w:val="18"/>
    </w:rPr>
  </w:style>
  <w:style w:type="paragraph" w:customStyle="1" w:styleId="82">
    <w:name w:val="表格"/>
    <w:basedOn w:val="1"/>
    <w:link w:val="83"/>
    <w:qFormat/>
    <w:uiPriority w:val="0"/>
    <w:pPr>
      <w:pBdr>
        <w:top w:val="single" w:color="auto" w:sz="12" w:space="1"/>
        <w:bottom w:val="single" w:color="auto" w:sz="12" w:space="1"/>
      </w:pBdr>
      <w:adjustRightInd w:val="0"/>
      <w:snapToGrid w:val="0"/>
      <w:spacing w:line="240" w:lineRule="auto"/>
      <w:ind w:firstLine="0" w:firstLineChars="0"/>
      <w:jc w:val="center"/>
    </w:pPr>
    <w:rPr>
      <w:color w:val="000000"/>
      <w:sz w:val="21"/>
      <w:szCs w:val="21"/>
    </w:rPr>
  </w:style>
  <w:style w:type="character" w:customStyle="1" w:styleId="83">
    <w:name w:val="表格 Char"/>
    <w:basedOn w:val="43"/>
    <w:link w:val="82"/>
    <w:qFormat/>
    <w:uiPriority w:val="0"/>
    <w:rPr>
      <w:rFonts w:ascii="Times New Roman" w:hAnsi="Times New Roman" w:eastAsia="宋体" w:cs="Times New Roman"/>
      <w:color w:val="000000"/>
      <w:szCs w:val="21"/>
    </w:rPr>
  </w:style>
  <w:style w:type="paragraph" w:customStyle="1" w:styleId="84">
    <w:name w:val="表头"/>
    <w:basedOn w:val="1"/>
    <w:link w:val="85"/>
    <w:qFormat/>
    <w:uiPriority w:val="99"/>
    <w:pPr>
      <w:ind w:firstLine="0" w:firstLineChars="0"/>
      <w:jc w:val="center"/>
    </w:pPr>
    <w:rPr>
      <w:rFonts w:eastAsia="宋体"/>
    </w:rPr>
  </w:style>
  <w:style w:type="character" w:customStyle="1" w:styleId="85">
    <w:name w:val="表头 Char Char"/>
    <w:link w:val="84"/>
    <w:qFormat/>
    <w:locked/>
    <w:uiPriority w:val="0"/>
    <w:rPr>
      <w:rFonts w:ascii="Times New Roman" w:hAnsi="Times New Roman" w:eastAsia="宋体" w:cs="Times New Roman"/>
      <w:sz w:val="24"/>
      <w:szCs w:val="24"/>
    </w:rPr>
  </w:style>
  <w:style w:type="paragraph" w:customStyle="1" w:styleId="86">
    <w:name w:val="基准页眉样式"/>
    <w:basedOn w:val="1"/>
    <w:semiHidden/>
    <w:qFormat/>
    <w:uiPriority w:val="0"/>
    <w:pPr>
      <w:spacing w:line="400" w:lineRule="exact"/>
      <w:jc w:val="center"/>
    </w:pPr>
    <w:rPr>
      <w:rFonts w:ascii="Calibri" w:hAnsi="Calibri"/>
      <w:color w:val="000000"/>
      <w:szCs w:val="21"/>
    </w:rPr>
  </w:style>
  <w:style w:type="paragraph" w:styleId="87">
    <w:name w:val="List Paragraph"/>
    <w:basedOn w:val="1"/>
    <w:qFormat/>
    <w:uiPriority w:val="34"/>
    <w:pPr>
      <w:ind w:firstLine="420"/>
    </w:pPr>
  </w:style>
  <w:style w:type="character" w:styleId="88">
    <w:name w:val="Placeholder Text"/>
    <w:basedOn w:val="43"/>
    <w:semiHidden/>
    <w:qFormat/>
    <w:uiPriority w:val="99"/>
    <w:rPr>
      <w:color w:val="808080"/>
    </w:rPr>
  </w:style>
  <w:style w:type="paragraph" w:customStyle="1" w:styleId="89">
    <w:name w:val="样式 样式 样式 样式 样式 样式 样式 正文缩进 + 首行缩进:  2 字符1 + 首行缩进:  2 字符1 + 四号 + 首..."/>
    <w:basedOn w:val="1"/>
    <w:qFormat/>
    <w:uiPriority w:val="0"/>
    <w:pPr>
      <w:widowControl/>
      <w:adjustRightInd w:val="0"/>
      <w:snapToGrid w:val="0"/>
      <w:spacing w:line="520" w:lineRule="exact"/>
      <w:ind w:firstLine="565" w:firstLineChars="191"/>
    </w:pPr>
    <w:rPr>
      <w:rFonts w:ascii="仿宋_GB2312" w:eastAsia="仿宋_GB2312" w:cs="宋体"/>
      <w:spacing w:val="8"/>
      <w:kern w:val="0"/>
      <w:sz w:val="28"/>
      <w:szCs w:val="20"/>
      <w:shd w:val="clear" w:color="auto" w:fill="FFFFFF"/>
    </w:rPr>
  </w:style>
  <w:style w:type="paragraph" w:customStyle="1" w:styleId="90">
    <w:name w:val="M表格竖"/>
    <w:basedOn w:val="1"/>
    <w:qFormat/>
    <w:uiPriority w:val="0"/>
    <w:pPr>
      <w:spacing w:line="240" w:lineRule="auto"/>
      <w:ind w:firstLine="0" w:firstLineChars="0"/>
      <w:jc w:val="center"/>
    </w:pPr>
    <w:rPr>
      <w:sz w:val="18"/>
      <w:szCs w:val="18"/>
    </w:rPr>
  </w:style>
  <w:style w:type="character" w:customStyle="1" w:styleId="91">
    <w:name w:val="111111正文 Char Char"/>
    <w:link w:val="92"/>
    <w:qFormat/>
    <w:uiPriority w:val="0"/>
    <w:rPr>
      <w:sz w:val="24"/>
      <w:szCs w:val="24"/>
    </w:rPr>
  </w:style>
  <w:style w:type="paragraph" w:customStyle="1" w:styleId="92">
    <w:name w:val="111111正文"/>
    <w:basedOn w:val="1"/>
    <w:link w:val="91"/>
    <w:qFormat/>
    <w:uiPriority w:val="0"/>
    <w:rPr>
      <w:rFonts w:ascii="Calibri" w:hAnsi="Calibri" w:eastAsia="宋体" w:cs="Times New Roman"/>
    </w:rPr>
  </w:style>
  <w:style w:type="character" w:customStyle="1" w:styleId="93">
    <w:name w:val="新正文 Char"/>
    <w:link w:val="94"/>
    <w:qFormat/>
    <w:uiPriority w:val="0"/>
    <w:rPr>
      <w:sz w:val="24"/>
      <w:szCs w:val="24"/>
    </w:rPr>
  </w:style>
  <w:style w:type="paragraph" w:customStyle="1" w:styleId="94">
    <w:name w:val="新正文"/>
    <w:basedOn w:val="1"/>
    <w:link w:val="93"/>
    <w:qFormat/>
    <w:uiPriority w:val="0"/>
    <w:pPr>
      <w:tabs>
        <w:tab w:val="left" w:pos="8295"/>
      </w:tabs>
    </w:pPr>
    <w:rPr>
      <w:rFonts w:ascii="Calibri" w:hAnsi="Calibri" w:eastAsia="宋体" w:cs="Times New Roman"/>
    </w:rPr>
  </w:style>
  <w:style w:type="paragraph" w:customStyle="1" w:styleId="95">
    <w:name w:val="表格15"/>
    <w:basedOn w:val="1"/>
    <w:link w:val="96"/>
    <w:qFormat/>
    <w:uiPriority w:val="0"/>
    <w:pPr>
      <w:adjustRightInd w:val="0"/>
      <w:snapToGrid w:val="0"/>
      <w:spacing w:line="300" w:lineRule="exact"/>
      <w:ind w:firstLine="0" w:firstLineChars="0"/>
      <w:jc w:val="center"/>
      <w:textAlignment w:val="baseline"/>
    </w:pPr>
    <w:rPr>
      <w:rFonts w:ascii="宋体"/>
      <w:kern w:val="0"/>
      <w:sz w:val="21"/>
      <w:szCs w:val="28"/>
    </w:rPr>
  </w:style>
  <w:style w:type="character" w:customStyle="1" w:styleId="96">
    <w:name w:val="表格15 Char"/>
    <w:link w:val="95"/>
    <w:qFormat/>
    <w:uiPriority w:val="0"/>
    <w:rPr>
      <w:rFonts w:ascii="宋体" w:hAnsi="Times New Roman" w:eastAsia="宋体" w:cs="Times New Roman"/>
      <w:kern w:val="0"/>
      <w:szCs w:val="28"/>
    </w:rPr>
  </w:style>
  <w:style w:type="character" w:customStyle="1" w:styleId="97">
    <w:name w:val="fu正文 Char"/>
    <w:basedOn w:val="43"/>
    <w:link w:val="98"/>
    <w:qFormat/>
    <w:uiPriority w:val="0"/>
    <w:rPr>
      <w:rFonts w:ascii="宋体" w:hAnsi="宋体"/>
      <w:color w:val="000000"/>
      <w:sz w:val="24"/>
      <w:szCs w:val="24"/>
    </w:rPr>
  </w:style>
  <w:style w:type="paragraph" w:customStyle="1" w:styleId="98">
    <w:name w:val="fu正文"/>
    <w:basedOn w:val="1"/>
    <w:link w:val="97"/>
    <w:qFormat/>
    <w:uiPriority w:val="0"/>
    <w:rPr>
      <w:rFonts w:ascii="宋体" w:hAnsi="宋体" w:eastAsia="宋体" w:cs="Times New Roman"/>
      <w:color w:val="000000"/>
    </w:rPr>
  </w:style>
  <w:style w:type="paragraph" w:styleId="99">
    <w:name w:val="No Spacing"/>
    <w:link w:val="100"/>
    <w:qFormat/>
    <w:uiPriority w:val="1"/>
    <w:pPr>
      <w:widowControl w:val="0"/>
      <w:spacing w:afterLines="50" w:line="360" w:lineRule="auto"/>
      <w:jc w:val="center"/>
    </w:pPr>
    <w:rPr>
      <w:rFonts w:ascii="Times New Roman" w:hAnsi="Times New Roman" w:eastAsia="宋体" w:cs="Times New Roman"/>
      <w:b/>
      <w:kern w:val="2"/>
      <w:sz w:val="21"/>
      <w:szCs w:val="22"/>
      <w:lang w:val="en-US" w:eastAsia="zh-CN" w:bidi="ar-SA"/>
    </w:rPr>
  </w:style>
  <w:style w:type="character" w:customStyle="1" w:styleId="100">
    <w:name w:val="无间隔 Char"/>
    <w:link w:val="99"/>
    <w:qFormat/>
    <w:uiPriority w:val="1"/>
    <w:rPr>
      <w:rFonts w:ascii="Times New Roman" w:hAnsi="Times New Roman" w:eastAsia="宋体" w:cs="Times New Roman"/>
      <w:b/>
    </w:rPr>
  </w:style>
  <w:style w:type="paragraph" w:customStyle="1" w:styleId="101">
    <w:name w:val="M正文"/>
    <w:basedOn w:val="1"/>
    <w:link w:val="102"/>
    <w:qFormat/>
    <w:uiPriority w:val="0"/>
    <w:rPr>
      <w:szCs w:val="21"/>
    </w:rPr>
  </w:style>
  <w:style w:type="character" w:customStyle="1" w:styleId="102">
    <w:name w:val="M正文 Char"/>
    <w:link w:val="101"/>
    <w:qFormat/>
    <w:uiPriority w:val="0"/>
    <w:rPr>
      <w:rFonts w:ascii="Times New Roman" w:hAnsi="Times New Roman" w:eastAsia="宋体" w:cs="Times New Roman"/>
      <w:sz w:val="24"/>
      <w:szCs w:val="21"/>
    </w:rPr>
  </w:style>
  <w:style w:type="paragraph" w:customStyle="1" w:styleId="103">
    <w:name w:val="样式 四号 首行缩进:  2 字符"/>
    <w:basedOn w:val="1"/>
    <w:qFormat/>
    <w:uiPriority w:val="0"/>
    <w:pPr>
      <w:spacing w:line="480" w:lineRule="atLeast"/>
    </w:pPr>
    <w:rPr>
      <w:szCs w:val="20"/>
    </w:rPr>
  </w:style>
  <w:style w:type="paragraph" w:customStyle="1" w:styleId="104">
    <w:name w:val="图4.1"/>
    <w:basedOn w:val="1"/>
    <w:semiHidden/>
    <w:qFormat/>
    <w:uiPriority w:val="0"/>
    <w:pPr>
      <w:widowControl/>
      <w:numPr>
        <w:ilvl w:val="0"/>
        <w:numId w:val="2"/>
      </w:numPr>
      <w:snapToGrid w:val="0"/>
      <w:ind w:firstLine="0" w:firstLineChars="0"/>
      <w:jc w:val="left"/>
    </w:pPr>
    <w:rPr>
      <w:rFonts w:eastAsia="黑体" w:cs="Times"/>
      <w:kern w:val="0"/>
    </w:rPr>
  </w:style>
  <w:style w:type="paragraph" w:customStyle="1" w:styleId="105">
    <w:name w:val="p0"/>
    <w:basedOn w:val="1"/>
    <w:qFormat/>
    <w:uiPriority w:val="0"/>
    <w:pPr>
      <w:widowControl/>
      <w:spacing w:line="240" w:lineRule="auto"/>
      <w:ind w:firstLine="0" w:firstLineChars="0"/>
    </w:pPr>
    <w:rPr>
      <w:kern w:val="0"/>
      <w:sz w:val="21"/>
      <w:szCs w:val="21"/>
    </w:rPr>
  </w:style>
  <w:style w:type="character" w:customStyle="1" w:styleId="106">
    <w:name w:val="页眉 Char1"/>
    <w:basedOn w:val="43"/>
    <w:qFormat/>
    <w:uiPriority w:val="99"/>
    <w:rPr>
      <w:kern w:val="2"/>
      <w:sz w:val="18"/>
      <w:szCs w:val="18"/>
    </w:rPr>
  </w:style>
  <w:style w:type="paragraph" w:customStyle="1" w:styleId="107">
    <w:name w:val="cardlist-value"/>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108">
    <w:name w:val="正文格式"/>
    <w:basedOn w:val="1"/>
    <w:link w:val="109"/>
    <w:qFormat/>
    <w:uiPriority w:val="0"/>
    <w:pPr>
      <w:ind w:firstLine="544"/>
    </w:pPr>
    <w:rPr>
      <w:rFonts w:cs="宋体"/>
    </w:rPr>
  </w:style>
  <w:style w:type="character" w:customStyle="1" w:styleId="109">
    <w:name w:val="正文格式 Char"/>
    <w:link w:val="108"/>
    <w:qFormat/>
    <w:uiPriority w:val="0"/>
    <w:rPr>
      <w:rFonts w:ascii="Times New Roman" w:hAnsi="Times New Roman" w:eastAsia="宋体" w:cs="宋体"/>
      <w:sz w:val="24"/>
      <w:szCs w:val="24"/>
    </w:rPr>
  </w:style>
  <w:style w:type="paragraph" w:customStyle="1" w:styleId="110">
    <w:name w:val="0"/>
    <w:basedOn w:val="1"/>
    <w:qFormat/>
    <w:uiPriority w:val="0"/>
    <w:pPr>
      <w:snapToGrid w:val="0"/>
      <w:spacing w:line="336" w:lineRule="auto"/>
      <w:ind w:firstLine="0"/>
    </w:pPr>
    <w:rPr>
      <w:rFonts w:hint="eastAsia"/>
      <w:szCs w:val="20"/>
    </w:rPr>
  </w:style>
  <w:style w:type="paragraph" w:customStyle="1" w:styleId="111">
    <w:name w:val="样式5"/>
    <w:basedOn w:val="112"/>
    <w:link w:val="114"/>
    <w:qFormat/>
    <w:uiPriority w:val="0"/>
    <w:pPr>
      <w:snapToGrid w:val="0"/>
      <w:ind w:firstLine="510" w:firstLineChars="0"/>
    </w:pPr>
  </w:style>
  <w:style w:type="paragraph" w:customStyle="1" w:styleId="112">
    <w:name w:val="正文1"/>
    <w:next w:val="1"/>
    <w:link w:val="113"/>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character" w:customStyle="1" w:styleId="113">
    <w:name w:val="正文1 Char"/>
    <w:link w:val="112"/>
    <w:qFormat/>
    <w:uiPriority w:val="0"/>
    <w:rPr>
      <w:rFonts w:ascii="宋体" w:hAnsi="Times New Roman" w:eastAsia="宋体" w:cs="Times New Roman"/>
      <w:kern w:val="0"/>
      <w:sz w:val="24"/>
      <w:szCs w:val="20"/>
    </w:rPr>
  </w:style>
  <w:style w:type="character" w:customStyle="1" w:styleId="114">
    <w:name w:val="样式5 Char2"/>
    <w:basedOn w:val="43"/>
    <w:link w:val="111"/>
    <w:qFormat/>
    <w:uiPriority w:val="0"/>
    <w:rPr>
      <w:rFonts w:ascii="Times New Roman" w:hAnsi="Times New Roman" w:eastAsia="宋体" w:cs="Times New Roman"/>
      <w:sz w:val="24"/>
      <w:szCs w:val="24"/>
    </w:rPr>
  </w:style>
  <w:style w:type="paragraph" w:customStyle="1" w:styleId="115">
    <w:name w:val="正文王"/>
    <w:basedOn w:val="20"/>
    <w:link w:val="116"/>
    <w:qFormat/>
    <w:uiPriority w:val="0"/>
    <w:pPr>
      <w:spacing w:line="440" w:lineRule="exact"/>
      <w:ind w:firstLine="0" w:firstLineChars="0"/>
    </w:pPr>
    <w:rPr>
      <w:rFonts w:ascii="Arial" w:hAnsi="Arial" w:cs="Times New Roman"/>
      <w:kern w:val="0"/>
      <w:sz w:val="24"/>
      <w:szCs w:val="24"/>
    </w:rPr>
  </w:style>
  <w:style w:type="character" w:customStyle="1" w:styleId="116">
    <w:name w:val="正文王 Char"/>
    <w:link w:val="115"/>
    <w:qFormat/>
    <w:uiPriority w:val="0"/>
    <w:rPr>
      <w:rFonts w:ascii="Arial" w:hAnsi="Arial" w:eastAsia="宋体" w:cs="Times New Roman"/>
      <w:kern w:val="0"/>
      <w:sz w:val="24"/>
      <w:szCs w:val="24"/>
    </w:rPr>
  </w:style>
  <w:style w:type="paragraph" w:customStyle="1" w:styleId="117">
    <w:name w:val="Char Char Char1 Char"/>
    <w:basedOn w:val="1"/>
    <w:next w:val="1"/>
    <w:qFormat/>
    <w:uiPriority w:val="0"/>
    <w:rPr>
      <w:rFonts w:ascii="宋体" w:hAnsi="宋体" w:cs="宋体"/>
    </w:rPr>
  </w:style>
  <w:style w:type="paragraph" w:customStyle="1" w:styleId="118">
    <w:name w:val="正文--------"/>
    <w:basedOn w:val="1"/>
    <w:link w:val="119"/>
    <w:qFormat/>
    <w:uiPriority w:val="0"/>
    <w:pPr>
      <w:spacing w:line="460" w:lineRule="exact"/>
      <w:ind w:firstLine="480"/>
      <w:jc w:val="left"/>
    </w:pPr>
    <w:rPr>
      <w:kern w:val="0"/>
      <w:szCs w:val="20"/>
    </w:rPr>
  </w:style>
  <w:style w:type="character" w:customStyle="1" w:styleId="119">
    <w:name w:val="正文-------- Char"/>
    <w:link w:val="118"/>
    <w:qFormat/>
    <w:uiPriority w:val="0"/>
    <w:rPr>
      <w:rFonts w:ascii="Times New Roman" w:hAnsi="Times New Roman" w:eastAsia="宋体" w:cs="Times New Roman"/>
      <w:kern w:val="0"/>
      <w:sz w:val="24"/>
      <w:szCs w:val="20"/>
    </w:rPr>
  </w:style>
  <w:style w:type="paragraph" w:customStyle="1" w:styleId="120">
    <w:name w:val="环评正文"/>
    <w:basedOn w:val="1"/>
    <w:link w:val="121"/>
    <w:qFormat/>
    <w:uiPriority w:val="0"/>
    <w:pPr>
      <w:adjustRightInd w:val="0"/>
      <w:snapToGrid w:val="0"/>
      <w:spacing w:line="520" w:lineRule="exact"/>
      <w:ind w:firstLine="480"/>
    </w:pPr>
    <w:rPr>
      <w:iCs/>
      <w:kern w:val="0"/>
    </w:rPr>
  </w:style>
  <w:style w:type="character" w:customStyle="1" w:styleId="121">
    <w:name w:val="环评正文 Char"/>
    <w:link w:val="120"/>
    <w:qFormat/>
    <w:uiPriority w:val="0"/>
    <w:rPr>
      <w:rFonts w:ascii="Times New Roman" w:hAnsi="Times New Roman" w:eastAsia="宋体" w:cs="Times New Roman"/>
      <w:iCs/>
      <w:kern w:val="0"/>
      <w:sz w:val="24"/>
      <w:szCs w:val="24"/>
    </w:rPr>
  </w:style>
  <w:style w:type="paragraph" w:customStyle="1" w:styleId="122">
    <w:name w:val="表格文字"/>
    <w:basedOn w:val="1"/>
    <w:next w:val="2"/>
    <w:link w:val="123"/>
    <w:qFormat/>
    <w:uiPriority w:val="0"/>
    <w:pPr>
      <w:adjustRightInd w:val="0"/>
      <w:snapToGrid w:val="0"/>
      <w:spacing w:line="240" w:lineRule="auto"/>
      <w:ind w:firstLine="0" w:firstLineChars="0"/>
      <w:jc w:val="center"/>
    </w:pPr>
    <w:rPr>
      <w:kern w:val="0"/>
      <w:sz w:val="21"/>
      <w:szCs w:val="20"/>
    </w:rPr>
  </w:style>
  <w:style w:type="character" w:customStyle="1" w:styleId="123">
    <w:name w:val="表格文字 Char"/>
    <w:link w:val="122"/>
    <w:qFormat/>
    <w:uiPriority w:val="0"/>
    <w:rPr>
      <w:rFonts w:ascii="Times New Roman" w:hAnsi="Times New Roman" w:eastAsia="宋体" w:cs="Times New Roman"/>
      <w:kern w:val="0"/>
      <w:szCs w:val="20"/>
    </w:rPr>
  </w:style>
  <w:style w:type="paragraph" w:customStyle="1" w:styleId="124">
    <w:name w:val="M表头"/>
    <w:basedOn w:val="1"/>
    <w:next w:val="1"/>
    <w:qFormat/>
    <w:uiPriority w:val="99"/>
    <w:pPr>
      <w:spacing w:beforeLines="70"/>
      <w:ind w:firstLine="0" w:firstLineChars="0"/>
      <w:jc w:val="center"/>
    </w:pPr>
    <w:rPr>
      <w:rFonts w:eastAsia="黑体"/>
      <w:bCs/>
      <w:szCs w:val="21"/>
    </w:rPr>
  </w:style>
  <w:style w:type="character" w:customStyle="1" w:styleId="125">
    <w:name w:val="样式 正文1 + 首行缩进:  2 字符 Char"/>
    <w:basedOn w:val="43"/>
    <w:link w:val="126"/>
    <w:qFormat/>
    <w:uiPriority w:val="0"/>
    <w:rPr>
      <w:rFonts w:cs="宋体"/>
      <w:sz w:val="24"/>
      <w:szCs w:val="24"/>
    </w:rPr>
  </w:style>
  <w:style w:type="paragraph" w:customStyle="1" w:styleId="126">
    <w:name w:val="样式 正文1 + 首行缩进:  2 字符"/>
    <w:basedOn w:val="1"/>
    <w:link w:val="125"/>
    <w:qFormat/>
    <w:uiPriority w:val="0"/>
    <w:pPr>
      <w:keepNext/>
    </w:pPr>
    <w:rPr>
      <w:rFonts w:ascii="Calibri" w:hAnsi="Calibri" w:eastAsia="宋体" w:cs="宋体"/>
    </w:rPr>
  </w:style>
  <w:style w:type="paragraph" w:customStyle="1" w:styleId="127">
    <w:name w:val="Char Char Char Char Char Char Char Char Char"/>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character" w:customStyle="1" w:styleId="128">
    <w:name w:val="正文样式1 Char1"/>
    <w:link w:val="129"/>
    <w:qFormat/>
    <w:uiPriority w:val="0"/>
    <w:rPr>
      <w:rFonts w:ascii="宋体" w:hAnsi="Courier New" w:cs="Courier New"/>
      <w:sz w:val="24"/>
      <w:szCs w:val="21"/>
    </w:rPr>
  </w:style>
  <w:style w:type="paragraph" w:customStyle="1" w:styleId="129">
    <w:name w:val="正文样式1"/>
    <w:basedOn w:val="20"/>
    <w:link w:val="128"/>
    <w:qFormat/>
    <w:uiPriority w:val="0"/>
    <w:pPr>
      <w:widowControl/>
      <w:ind w:firstLine="560"/>
      <w:jc w:val="left"/>
    </w:pPr>
    <w:rPr>
      <w:rFonts w:eastAsia="宋体"/>
      <w:sz w:val="24"/>
    </w:rPr>
  </w:style>
  <w:style w:type="paragraph" w:customStyle="1" w:styleId="130">
    <w:name w:val="-"/>
    <w:basedOn w:val="1"/>
    <w:qFormat/>
    <w:uiPriority w:val="0"/>
    <w:pPr>
      <w:widowControl/>
      <w:spacing w:before="100" w:beforeAutospacing="1" w:after="100" w:afterAutospacing="1"/>
      <w:ind w:firstLine="420"/>
    </w:pPr>
    <w:rPr>
      <w:rFonts w:ascii="宋体" w:hAnsi="宋体"/>
      <w:kern w:val="0"/>
    </w:rPr>
  </w:style>
  <w:style w:type="paragraph" w:customStyle="1" w:styleId="131">
    <w:name w:val="Char2 Char Char Char Char Char Char Char Char Char"/>
    <w:basedOn w:val="1"/>
    <w:qFormat/>
    <w:uiPriority w:val="0"/>
    <w:pPr>
      <w:spacing w:line="240" w:lineRule="auto"/>
      <w:ind w:firstLine="0" w:firstLineChars="0"/>
    </w:pPr>
    <w:rPr>
      <w:sz w:val="21"/>
    </w:rPr>
  </w:style>
  <w:style w:type="character" w:customStyle="1" w:styleId="132">
    <w:name w:val="1表内容 Char"/>
    <w:link w:val="133"/>
    <w:qFormat/>
    <w:uiPriority w:val="0"/>
    <w:rPr>
      <w:szCs w:val="24"/>
    </w:rPr>
  </w:style>
  <w:style w:type="paragraph" w:customStyle="1" w:styleId="133">
    <w:name w:val="1表内容"/>
    <w:basedOn w:val="1"/>
    <w:link w:val="132"/>
    <w:qFormat/>
    <w:uiPriority w:val="0"/>
    <w:pPr>
      <w:tabs>
        <w:tab w:val="left" w:pos="0"/>
        <w:tab w:val="left" w:pos="7012"/>
      </w:tabs>
      <w:autoSpaceDE w:val="0"/>
      <w:autoSpaceDN w:val="0"/>
      <w:spacing w:line="240" w:lineRule="auto"/>
      <w:ind w:firstLine="0" w:firstLineChars="0"/>
      <w:jc w:val="center"/>
    </w:pPr>
    <w:rPr>
      <w:rFonts w:ascii="Calibri" w:hAnsi="Calibri" w:eastAsia="宋体" w:cs="Times New Roman"/>
      <w:sz w:val="21"/>
    </w:rPr>
  </w:style>
  <w:style w:type="character" w:customStyle="1" w:styleId="134">
    <w:name w:val="font51"/>
    <w:qFormat/>
    <w:uiPriority w:val="0"/>
    <w:rPr>
      <w:rFonts w:hint="default" w:ascii="Times New Roman" w:hAnsi="Times New Roman" w:cs="Times New Roman"/>
      <w:color w:val="auto"/>
      <w:sz w:val="18"/>
      <w:szCs w:val="18"/>
    </w:rPr>
  </w:style>
  <w:style w:type="character" w:customStyle="1" w:styleId="135">
    <w:name w:val="font161"/>
    <w:basedOn w:val="43"/>
    <w:qFormat/>
    <w:uiPriority w:val="0"/>
    <w:rPr>
      <w:rFonts w:ascii="Arial" w:hAnsi="Arial" w:cs="Arial"/>
      <w:color w:val="000000"/>
      <w:sz w:val="20"/>
      <w:szCs w:val="20"/>
      <w:u w:val="none"/>
    </w:rPr>
  </w:style>
  <w:style w:type="character" w:customStyle="1" w:styleId="136">
    <w:name w:val="font151"/>
    <w:basedOn w:val="43"/>
    <w:qFormat/>
    <w:uiPriority w:val="0"/>
    <w:rPr>
      <w:rFonts w:hint="default" w:ascii="Times New Roman" w:hAnsi="Times New Roman" w:cs="Times New Roman"/>
      <w:color w:val="000000"/>
      <w:sz w:val="20"/>
      <w:szCs w:val="20"/>
      <w:u w:val="none"/>
      <w:vertAlign w:val="superscript"/>
    </w:rPr>
  </w:style>
  <w:style w:type="character" w:customStyle="1" w:styleId="137">
    <w:name w:val="font112"/>
    <w:basedOn w:val="43"/>
    <w:qFormat/>
    <w:uiPriority w:val="0"/>
    <w:rPr>
      <w:rFonts w:hint="eastAsia" w:ascii="宋体" w:hAnsi="宋体" w:eastAsia="宋体" w:cs="宋体"/>
      <w:color w:val="000000"/>
      <w:sz w:val="20"/>
      <w:szCs w:val="20"/>
      <w:u w:val="none"/>
    </w:rPr>
  </w:style>
  <w:style w:type="character" w:customStyle="1" w:styleId="138">
    <w:name w:val="页脚 Char1"/>
    <w:qFormat/>
    <w:uiPriority w:val="99"/>
    <w:rPr>
      <w:kern w:val="2"/>
      <w:sz w:val="18"/>
      <w:szCs w:val="18"/>
    </w:rPr>
  </w:style>
  <w:style w:type="character" w:customStyle="1" w:styleId="139">
    <w:name w:val="样式 宋体 小四 黑色 行距: 1.5 倍行距 Char1"/>
    <w:link w:val="140"/>
    <w:qFormat/>
    <w:uiPriority w:val="0"/>
    <w:rPr>
      <w:rFonts w:ascii="宋体" w:hAnsi="宋体"/>
      <w:color w:val="000000"/>
      <w:sz w:val="24"/>
    </w:rPr>
  </w:style>
  <w:style w:type="paragraph" w:customStyle="1" w:styleId="140">
    <w:name w:val="样式 宋体 小四 黑色 行距: 1.5 倍行距"/>
    <w:basedOn w:val="1"/>
    <w:link w:val="139"/>
    <w:qFormat/>
    <w:uiPriority w:val="0"/>
    <w:pPr>
      <w:ind w:firstLine="480"/>
    </w:pPr>
    <w:rPr>
      <w:rFonts w:ascii="宋体" w:hAnsi="宋体" w:eastAsia="宋体" w:cs="Times New Roman"/>
      <w:color w:val="000000"/>
      <w:szCs w:val="22"/>
    </w:rPr>
  </w:style>
  <w:style w:type="character" w:customStyle="1" w:styleId="141">
    <w:name w:val="font111"/>
    <w:qFormat/>
    <w:uiPriority w:val="0"/>
    <w:rPr>
      <w:rFonts w:hint="eastAsia" w:ascii="宋体" w:hAnsi="宋体" w:eastAsia="宋体" w:cs="宋体"/>
      <w:b/>
      <w:color w:val="000000"/>
      <w:sz w:val="21"/>
      <w:szCs w:val="21"/>
      <w:u w:val="none"/>
    </w:rPr>
  </w:style>
  <w:style w:type="character" w:customStyle="1" w:styleId="142">
    <w:name w:val="font141"/>
    <w:basedOn w:val="43"/>
    <w:qFormat/>
    <w:uiPriority w:val="0"/>
    <w:rPr>
      <w:rFonts w:hint="default" w:ascii="Times New Roman" w:hAnsi="Times New Roman" w:cs="Times New Roman"/>
      <w:color w:val="000000"/>
      <w:sz w:val="20"/>
      <w:szCs w:val="20"/>
      <w:u w:val="none"/>
      <w:vertAlign w:val="superscript"/>
    </w:rPr>
  </w:style>
  <w:style w:type="character" w:customStyle="1" w:styleId="143">
    <w:name w:val="font41"/>
    <w:qFormat/>
    <w:uiPriority w:val="0"/>
    <w:rPr>
      <w:rFonts w:hint="default" w:ascii="Times New Roman" w:hAnsi="Times New Roman" w:cs="Times New Roman"/>
      <w:color w:val="000000"/>
      <w:sz w:val="20"/>
      <w:szCs w:val="20"/>
      <w:u w:val="none"/>
    </w:rPr>
  </w:style>
  <w:style w:type="character" w:customStyle="1" w:styleId="144">
    <w:name w:val="font81"/>
    <w:qFormat/>
    <w:uiPriority w:val="0"/>
    <w:rPr>
      <w:rFonts w:hint="eastAsia" w:ascii="宋体" w:hAnsi="宋体" w:eastAsia="宋体" w:cs="宋体"/>
      <w:color w:val="auto"/>
      <w:sz w:val="20"/>
      <w:szCs w:val="20"/>
    </w:rPr>
  </w:style>
  <w:style w:type="character" w:customStyle="1" w:styleId="145">
    <w:name w:val="font101"/>
    <w:qFormat/>
    <w:uiPriority w:val="0"/>
    <w:rPr>
      <w:rFonts w:hint="eastAsia" w:ascii="宋体" w:hAnsi="宋体" w:eastAsia="宋体" w:cs="宋体"/>
      <w:color w:val="000000"/>
      <w:sz w:val="18"/>
      <w:szCs w:val="18"/>
      <w:u w:val="none"/>
    </w:rPr>
  </w:style>
  <w:style w:type="character" w:customStyle="1" w:styleId="146">
    <w:name w:val="font11"/>
    <w:qFormat/>
    <w:uiPriority w:val="0"/>
    <w:rPr>
      <w:rFonts w:hint="eastAsia" w:ascii="宋体" w:hAnsi="宋体" w:eastAsia="宋体" w:cs="宋体"/>
      <w:color w:val="000000"/>
      <w:sz w:val="20"/>
      <w:szCs w:val="20"/>
      <w:u w:val="none"/>
    </w:rPr>
  </w:style>
  <w:style w:type="character" w:customStyle="1" w:styleId="147">
    <w:name w:val="font91"/>
    <w:qFormat/>
    <w:uiPriority w:val="0"/>
    <w:rPr>
      <w:rFonts w:hint="default" w:ascii="Times New Roman" w:hAnsi="Times New Roman" w:cs="Times New Roman"/>
      <w:color w:val="auto"/>
      <w:sz w:val="20"/>
      <w:szCs w:val="20"/>
    </w:rPr>
  </w:style>
  <w:style w:type="character" w:customStyle="1" w:styleId="148">
    <w:name w:val="font131"/>
    <w:qFormat/>
    <w:uiPriority w:val="0"/>
    <w:rPr>
      <w:rFonts w:hint="eastAsia" w:ascii="宋体" w:hAnsi="宋体" w:eastAsia="宋体" w:cs="宋体"/>
      <w:b/>
      <w:color w:val="000000"/>
      <w:sz w:val="20"/>
      <w:szCs w:val="20"/>
      <w:u w:val="none"/>
    </w:rPr>
  </w:style>
  <w:style w:type="character" w:customStyle="1" w:styleId="149">
    <w:name w:val="font61"/>
    <w:qFormat/>
    <w:uiPriority w:val="0"/>
    <w:rPr>
      <w:rFonts w:hint="eastAsia" w:ascii="宋体" w:hAnsi="宋体" w:eastAsia="宋体" w:cs="宋体"/>
      <w:color w:val="auto"/>
      <w:sz w:val="18"/>
      <w:szCs w:val="18"/>
    </w:rPr>
  </w:style>
  <w:style w:type="character" w:customStyle="1" w:styleId="150">
    <w:name w:val="font71"/>
    <w:qFormat/>
    <w:uiPriority w:val="0"/>
    <w:rPr>
      <w:rFonts w:hint="default" w:ascii="Times New Roman" w:hAnsi="Times New Roman" w:cs="Times New Roman"/>
      <w:color w:val="auto"/>
      <w:sz w:val="20"/>
      <w:szCs w:val="20"/>
    </w:rPr>
  </w:style>
  <w:style w:type="character" w:customStyle="1" w:styleId="151">
    <w:name w:val="font21"/>
    <w:qFormat/>
    <w:uiPriority w:val="0"/>
    <w:rPr>
      <w:rFonts w:hint="eastAsia" w:ascii="宋体" w:hAnsi="宋体" w:eastAsia="宋体" w:cs="宋体"/>
      <w:color w:val="000000"/>
      <w:sz w:val="21"/>
      <w:szCs w:val="21"/>
      <w:u w:val="none"/>
    </w:rPr>
  </w:style>
  <w:style w:type="character" w:customStyle="1" w:styleId="152">
    <w:name w:val="font01"/>
    <w:qFormat/>
    <w:uiPriority w:val="0"/>
    <w:rPr>
      <w:rFonts w:hint="default" w:ascii="Times New Roman" w:hAnsi="Times New Roman" w:cs="Times New Roman"/>
      <w:color w:val="000000"/>
      <w:sz w:val="20"/>
      <w:szCs w:val="20"/>
      <w:u w:val="none"/>
    </w:rPr>
  </w:style>
  <w:style w:type="character" w:customStyle="1" w:styleId="153">
    <w:name w:val="font121"/>
    <w:qFormat/>
    <w:uiPriority w:val="0"/>
    <w:rPr>
      <w:rFonts w:hint="eastAsia" w:ascii="宋体" w:hAnsi="宋体" w:eastAsia="宋体" w:cs="宋体"/>
      <w:color w:val="000000"/>
      <w:sz w:val="20"/>
      <w:szCs w:val="20"/>
      <w:u w:val="none"/>
    </w:rPr>
  </w:style>
  <w:style w:type="character" w:customStyle="1" w:styleId="154">
    <w:name w:val="font31"/>
    <w:qFormat/>
    <w:uiPriority w:val="0"/>
    <w:rPr>
      <w:rFonts w:hint="default" w:ascii="Times New Roman" w:hAnsi="Times New Roman" w:cs="Times New Roman"/>
      <w:color w:val="000000"/>
      <w:sz w:val="20"/>
      <w:szCs w:val="20"/>
      <w:u w:val="none"/>
    </w:rPr>
  </w:style>
  <w:style w:type="paragraph" w:customStyle="1" w:styleId="155">
    <w:name w:val="Char Char1 Char Char Char Char Char Char Char Char Char Char Char Char Char Char Char Char Char Char Char Char1 Char"/>
    <w:basedOn w:val="1"/>
    <w:qFormat/>
    <w:uiPriority w:val="0"/>
    <w:rPr>
      <w:rFonts w:ascii="宋体" w:hAnsi="宋体" w:cs="宋体"/>
    </w:rPr>
  </w:style>
  <w:style w:type="paragraph" w:customStyle="1" w:styleId="156">
    <w:name w:val="默认段落字体 Para Char Char Char Char Char Char Char Char Char Char"/>
    <w:basedOn w:val="5"/>
    <w:qFormat/>
    <w:uiPriority w:val="0"/>
    <w:pPr>
      <w:numPr>
        <w:ilvl w:val="0"/>
        <w:numId w:val="0"/>
      </w:numPr>
      <w:tabs>
        <w:tab w:val="left" w:pos="360"/>
        <w:tab w:val="left" w:pos="900"/>
      </w:tabs>
      <w:adjustRightInd/>
      <w:spacing w:before="120" w:after="120"/>
      <w:ind w:left="542" w:leftChars="-12" w:firstLine="200" w:firstLineChars="200"/>
    </w:pPr>
    <w:rPr>
      <w:rFonts w:ascii="Times New Roman" w:hAnsi="Times New Roman" w:eastAsia="宋体"/>
      <w:bCs/>
      <w:snapToGrid/>
      <w:kern w:val="2"/>
      <w:szCs w:val="32"/>
    </w:rPr>
  </w:style>
  <w:style w:type="character" w:customStyle="1" w:styleId="157">
    <w:name w:val="页脚 Char2"/>
    <w:basedOn w:val="43"/>
    <w:semiHidden/>
    <w:qFormat/>
    <w:uiPriority w:val="99"/>
    <w:rPr>
      <w:kern w:val="2"/>
      <w:sz w:val="18"/>
      <w:szCs w:val="18"/>
    </w:rPr>
  </w:style>
  <w:style w:type="paragraph" w:customStyle="1" w:styleId="158">
    <w:name w:val="Char Char"/>
    <w:basedOn w:val="1"/>
    <w:qFormat/>
    <w:uiPriority w:val="0"/>
    <w:pPr>
      <w:tabs>
        <w:tab w:val="left" w:pos="0"/>
      </w:tabs>
      <w:spacing w:line="240" w:lineRule="auto"/>
      <w:ind w:firstLine="0" w:firstLineChars="0"/>
    </w:pPr>
    <w:rPr>
      <w:sz w:val="21"/>
      <w:szCs w:val="21"/>
    </w:rPr>
  </w:style>
  <w:style w:type="paragraph" w:customStyle="1" w:styleId="159">
    <w:name w:val="默认段落字体 Para Char Char Char Char"/>
    <w:basedOn w:val="1"/>
    <w:qFormat/>
    <w:uiPriority w:val="0"/>
    <w:pPr>
      <w:spacing w:line="240" w:lineRule="auto"/>
      <w:ind w:firstLine="0" w:firstLineChars="0"/>
    </w:pPr>
    <w:rPr>
      <w:sz w:val="21"/>
    </w:rPr>
  </w:style>
  <w:style w:type="paragraph" w:customStyle="1" w:styleId="160">
    <w:name w:val="Char Char Char Char"/>
    <w:basedOn w:val="1"/>
    <w:qFormat/>
    <w:uiPriority w:val="0"/>
    <w:pPr>
      <w:widowControl/>
      <w:spacing w:after="160" w:line="240" w:lineRule="exact"/>
      <w:ind w:firstLine="0" w:firstLineChars="0"/>
      <w:jc w:val="left"/>
    </w:pPr>
    <w:rPr>
      <w:sz w:val="21"/>
    </w:rPr>
  </w:style>
  <w:style w:type="character" w:customStyle="1" w:styleId="161">
    <w:name w:val="样式 样式5 + 首行缩进:  2 字符 Char"/>
    <w:link w:val="162"/>
    <w:qFormat/>
    <w:uiPriority w:val="0"/>
    <w:rPr>
      <w:rFonts w:cs="宋体"/>
      <w:snapToGrid w:val="0"/>
      <w:color w:val="000000"/>
      <w:sz w:val="24"/>
    </w:rPr>
  </w:style>
  <w:style w:type="paragraph" w:customStyle="1" w:styleId="162">
    <w:name w:val="样式 样式5 + 首行缩进:  2 字符"/>
    <w:basedOn w:val="111"/>
    <w:link w:val="161"/>
    <w:qFormat/>
    <w:uiPriority w:val="0"/>
    <w:pPr>
      <w:keepNext/>
      <w:snapToGrid/>
      <w:ind w:firstLine="200" w:firstLineChars="200"/>
    </w:pPr>
    <w:rPr>
      <w:rFonts w:ascii="Calibri" w:hAnsi="Calibri" w:eastAsia="宋体" w:cs="宋体"/>
      <w:snapToGrid w:val="0"/>
      <w:color w:val="000000"/>
      <w:szCs w:val="22"/>
    </w:rPr>
  </w:style>
  <w:style w:type="character" w:customStyle="1" w:styleId="163">
    <w:name w:val="样式 四号 加粗 黑色 段前: 7.8 磅 段后: 7.8 磅 Char"/>
    <w:link w:val="164"/>
    <w:qFormat/>
    <w:uiPriority w:val="0"/>
    <w:rPr>
      <w:rFonts w:cs="宋体"/>
      <w:b/>
      <w:bCs/>
      <w:color w:val="000000"/>
      <w:sz w:val="28"/>
    </w:rPr>
  </w:style>
  <w:style w:type="paragraph" w:customStyle="1" w:styleId="164">
    <w:name w:val="样式 四号 加粗 黑色 段前: 7.8 磅 段后: 7.8 磅"/>
    <w:basedOn w:val="1"/>
    <w:link w:val="163"/>
    <w:qFormat/>
    <w:uiPriority w:val="0"/>
    <w:pPr>
      <w:keepNext/>
      <w:keepLines/>
      <w:spacing w:before="120" w:after="120" w:line="240" w:lineRule="auto"/>
      <w:ind w:firstLine="0" w:firstLineChars="0"/>
      <w:outlineLvl w:val="2"/>
    </w:pPr>
    <w:rPr>
      <w:rFonts w:ascii="Calibri" w:hAnsi="Calibri" w:eastAsia="宋体" w:cs="宋体"/>
      <w:b/>
      <w:bCs/>
      <w:color w:val="000000"/>
      <w:sz w:val="28"/>
      <w:szCs w:val="22"/>
    </w:rPr>
  </w:style>
  <w:style w:type="character" w:customStyle="1" w:styleId="165">
    <w:name w:val="龙0正文 Char"/>
    <w:link w:val="166"/>
    <w:qFormat/>
    <w:uiPriority w:val="0"/>
    <w:rPr>
      <w:rFonts w:ascii="宋体" w:hAnsi="宋体"/>
      <w:sz w:val="24"/>
      <w:szCs w:val="24"/>
    </w:rPr>
  </w:style>
  <w:style w:type="paragraph" w:customStyle="1" w:styleId="166">
    <w:name w:val="龙0正文"/>
    <w:basedOn w:val="1"/>
    <w:link w:val="165"/>
    <w:qFormat/>
    <w:uiPriority w:val="0"/>
    <w:pPr>
      <w:tabs>
        <w:tab w:val="left" w:pos="0"/>
        <w:tab w:val="left" w:pos="7012"/>
      </w:tabs>
      <w:autoSpaceDE w:val="0"/>
      <w:autoSpaceDN w:val="0"/>
    </w:pPr>
    <w:rPr>
      <w:rFonts w:ascii="宋体" w:hAnsi="宋体" w:eastAsia="宋体" w:cs="Times New Roman"/>
    </w:rPr>
  </w:style>
  <w:style w:type="paragraph" w:customStyle="1" w:styleId="167">
    <w:name w:val="样式 表文字 + 字符缩放: 90%"/>
    <w:basedOn w:val="1"/>
    <w:qFormat/>
    <w:uiPriority w:val="0"/>
    <w:pPr>
      <w:keepNext/>
      <w:adjustRightInd w:val="0"/>
      <w:spacing w:line="240" w:lineRule="exact"/>
      <w:ind w:left="-50" w:leftChars="-50" w:right="-50" w:rightChars="-50" w:firstLine="0" w:firstLineChars="0"/>
      <w:jc w:val="center"/>
      <w:textAlignment w:val="baseline"/>
    </w:pPr>
    <w:rPr>
      <w:rFonts w:cs="宋体"/>
      <w:kern w:val="0"/>
      <w:sz w:val="18"/>
      <w:szCs w:val="18"/>
    </w:rPr>
  </w:style>
  <w:style w:type="paragraph" w:customStyle="1" w:styleId="168">
    <w:name w:val="Char2 Char Char Char Char Char Char Char Char Char1"/>
    <w:basedOn w:val="1"/>
    <w:qFormat/>
    <w:uiPriority w:val="0"/>
    <w:pPr>
      <w:spacing w:line="240" w:lineRule="auto"/>
      <w:ind w:firstLine="0" w:firstLineChars="0"/>
    </w:pPr>
    <w:rPr>
      <w:sz w:val="21"/>
    </w:rPr>
  </w:style>
  <w:style w:type="paragraph" w:customStyle="1" w:styleId="169">
    <w:name w:val="Default"/>
    <w:qFormat/>
    <w:uiPriority w:val="0"/>
    <w:pPr>
      <w:widowControl w:val="0"/>
      <w:autoSpaceDE w:val="0"/>
      <w:autoSpaceDN w:val="0"/>
      <w:adjustRightInd w:val="0"/>
      <w:jc w:val="both"/>
    </w:pPr>
    <w:rPr>
      <w:rFonts w:ascii="宋体" w:hAnsi="Times New Roman" w:eastAsia="宋体" w:cs="宋体"/>
      <w:color w:val="000000"/>
      <w:kern w:val="0"/>
      <w:sz w:val="24"/>
      <w:szCs w:val="24"/>
      <w:lang w:val="en-US" w:eastAsia="zh-CN" w:bidi="ar-SA"/>
    </w:rPr>
  </w:style>
  <w:style w:type="character" w:customStyle="1" w:styleId="170">
    <w:name w:val="样式 正文缩进表正文正文非缩进 + 首行缩进:  2 字符 Char"/>
    <w:link w:val="171"/>
    <w:qFormat/>
    <w:uiPriority w:val="0"/>
    <w:rPr>
      <w:sz w:val="24"/>
    </w:rPr>
  </w:style>
  <w:style w:type="paragraph" w:customStyle="1" w:styleId="171">
    <w:name w:val="样式 正文缩进表正文正文非缩进 + 首行缩进:  2 字符"/>
    <w:basedOn w:val="14"/>
    <w:link w:val="170"/>
    <w:qFormat/>
    <w:uiPriority w:val="0"/>
    <w:pPr>
      <w:spacing w:line="420" w:lineRule="exact"/>
      <w:ind w:firstLine="480"/>
      <w:jc w:val="left"/>
    </w:pPr>
    <w:rPr>
      <w:rFonts w:ascii="Calibri" w:hAnsi="Calibri" w:eastAsia="宋体" w:cs="Times New Roman"/>
      <w:sz w:val="24"/>
      <w:szCs w:val="22"/>
    </w:rPr>
  </w:style>
  <w:style w:type="paragraph" w:customStyle="1" w:styleId="172">
    <w:name w:val="1表格"/>
    <w:basedOn w:val="1"/>
    <w:qFormat/>
    <w:uiPriority w:val="0"/>
    <w:pPr>
      <w:spacing w:line="160" w:lineRule="atLeast"/>
      <w:ind w:firstLine="0" w:firstLineChars="0"/>
      <w:jc w:val="center"/>
    </w:pPr>
    <w:rPr>
      <w:rFonts w:eastAsia="仿宋_GB2312"/>
      <w:sz w:val="21"/>
      <w:szCs w:val="20"/>
    </w:rPr>
  </w:style>
  <w:style w:type="paragraph" w:customStyle="1" w:styleId="173">
    <w:name w:val="表"/>
    <w:basedOn w:val="1"/>
    <w:next w:val="1"/>
    <w:qFormat/>
    <w:uiPriority w:val="0"/>
    <w:pPr>
      <w:adjustRightInd w:val="0"/>
      <w:spacing w:before="120" w:line="240" w:lineRule="auto"/>
      <w:ind w:firstLine="0" w:firstLineChars="0"/>
      <w:jc w:val="center"/>
    </w:pPr>
    <w:rPr>
      <w:kern w:val="0"/>
      <w:sz w:val="21"/>
      <w:szCs w:val="20"/>
    </w:rPr>
  </w:style>
  <w:style w:type="paragraph" w:customStyle="1" w:styleId="174">
    <w:name w:val="Char2 Char Char Char Char Char Char Char Char Char2"/>
    <w:basedOn w:val="1"/>
    <w:qFormat/>
    <w:uiPriority w:val="0"/>
    <w:pPr>
      <w:spacing w:line="240" w:lineRule="auto"/>
      <w:ind w:firstLine="0" w:firstLineChars="0"/>
    </w:pPr>
    <w:rPr>
      <w:sz w:val="21"/>
    </w:rPr>
  </w:style>
  <w:style w:type="paragraph" w:customStyle="1" w:styleId="175">
    <w:name w:val="正文2"/>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176">
    <w:name w:val="M表格"/>
    <w:basedOn w:val="82"/>
    <w:link w:val="177"/>
    <w:qFormat/>
    <w:uiPriority w:val="0"/>
    <w:pPr>
      <w:pBdr>
        <w:top w:val="none" w:color="auto" w:sz="0" w:space="0"/>
        <w:bottom w:val="none" w:color="auto" w:sz="0" w:space="0"/>
      </w:pBdr>
      <w:spacing w:line="240" w:lineRule="atLeast"/>
    </w:pPr>
  </w:style>
  <w:style w:type="character" w:customStyle="1" w:styleId="177">
    <w:name w:val="M表格 Char"/>
    <w:link w:val="176"/>
    <w:qFormat/>
    <w:uiPriority w:val="0"/>
    <w:rPr>
      <w:rFonts w:ascii="Times New Roman" w:hAnsi="Times New Roman" w:eastAsia="宋体" w:cs="Times New Roman"/>
      <w:color w:val="000000"/>
      <w:szCs w:val="21"/>
    </w:rPr>
  </w:style>
  <w:style w:type="paragraph" w:customStyle="1" w:styleId="178">
    <w:name w:val="样式2"/>
    <w:basedOn w:val="1"/>
    <w:qFormat/>
    <w:uiPriority w:val="0"/>
    <w:pPr>
      <w:autoSpaceDE w:val="0"/>
      <w:autoSpaceDN w:val="0"/>
      <w:adjustRightInd w:val="0"/>
      <w:snapToGrid w:val="0"/>
      <w:ind w:firstLine="0" w:firstLineChars="0"/>
      <w:jc w:val="center"/>
      <w:textAlignment w:val="baseline"/>
    </w:pPr>
    <w:rPr>
      <w:kern w:val="0"/>
      <w:sz w:val="21"/>
      <w:szCs w:val="21"/>
    </w:rPr>
  </w:style>
  <w:style w:type="paragraph" w:customStyle="1" w:styleId="179">
    <w:name w:val="表格标题"/>
    <w:qFormat/>
    <w:uiPriority w:val="0"/>
    <w:pPr>
      <w:adjustRightInd w:val="0"/>
      <w:snapToGrid w:val="0"/>
      <w:spacing w:line="520" w:lineRule="exact"/>
      <w:ind w:firstLine="880" w:firstLineChars="200"/>
      <w:jc w:val="both"/>
    </w:pPr>
    <w:rPr>
      <w:rFonts w:ascii="Times New Roman" w:hAnsi="Times New Roman" w:eastAsia="黑体" w:cs="Times New Roman"/>
      <w:kern w:val="0"/>
      <w:sz w:val="24"/>
      <w:szCs w:val="24"/>
      <w:lang w:val="en-US" w:eastAsia="zh-CN" w:bidi="ar-SA"/>
    </w:rPr>
  </w:style>
  <w:style w:type="character" w:customStyle="1" w:styleId="180">
    <w:name w:val="[1]正文 Char Char"/>
    <w:link w:val="181"/>
    <w:qFormat/>
    <w:uiPriority w:val="0"/>
    <w:rPr>
      <w:rFonts w:ascii="Times New Roman" w:hAnsi="Times New Roman"/>
      <w:sz w:val="24"/>
      <w:szCs w:val="28"/>
    </w:rPr>
  </w:style>
  <w:style w:type="paragraph" w:customStyle="1" w:styleId="181">
    <w:name w:val="[1]正文"/>
    <w:basedOn w:val="1"/>
    <w:link w:val="180"/>
    <w:qFormat/>
    <w:uiPriority w:val="0"/>
    <w:pPr>
      <w:widowControl/>
      <w:adjustRightInd w:val="0"/>
      <w:snapToGrid w:val="0"/>
    </w:pPr>
    <w:rPr>
      <w:rFonts w:eastAsia="宋体" w:cs="Times New Roman"/>
      <w:szCs w:val="28"/>
    </w:rPr>
  </w:style>
  <w:style w:type="paragraph" w:customStyle="1" w:styleId="182">
    <w:name w:val="6表头"/>
    <w:next w:val="1"/>
    <w:qFormat/>
    <w:uiPriority w:val="0"/>
    <w:pPr>
      <w:widowControl w:val="0"/>
      <w:spacing w:line="520" w:lineRule="exact"/>
      <w:ind w:firstLine="200" w:firstLineChars="200"/>
    </w:pPr>
    <w:rPr>
      <w:rFonts w:ascii="Times New Roman" w:hAnsi="Times New Roman" w:eastAsia="黑体" w:cs="Times New Roman"/>
      <w:kern w:val="2"/>
      <w:sz w:val="24"/>
      <w:szCs w:val="22"/>
      <w:lang w:val="en-US" w:eastAsia="zh-CN" w:bidi="ar-SA"/>
    </w:rPr>
  </w:style>
  <w:style w:type="paragraph" w:customStyle="1" w:styleId="183">
    <w:name w:val="表格内"/>
    <w:basedOn w:val="2"/>
    <w:qFormat/>
    <w:uiPriority w:val="0"/>
    <w:pPr>
      <w:snapToGrid w:val="0"/>
      <w:spacing w:after="0" w:line="360" w:lineRule="exact"/>
      <w:jc w:val="center"/>
    </w:pPr>
    <w:rPr>
      <w:spacing w:val="10"/>
      <w:szCs w:val="21"/>
    </w:rPr>
  </w:style>
  <w:style w:type="paragraph" w:customStyle="1" w:styleId="184">
    <w:name w:val="5正文"/>
    <w:link w:val="185"/>
    <w:qFormat/>
    <w:uiPriority w:val="0"/>
    <w:pPr>
      <w:widowControl w:val="0"/>
      <w:spacing w:line="520" w:lineRule="exact"/>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85">
    <w:name w:val="5正文 Char"/>
    <w:basedOn w:val="43"/>
    <w:link w:val="184"/>
    <w:qFormat/>
    <w:uiPriority w:val="0"/>
    <w:rPr>
      <w:rFonts w:ascii="Times New Roman" w:hAnsi="Times New Roman" w:eastAsia="宋体" w:cs="Times New Roman"/>
      <w:sz w:val="24"/>
    </w:rPr>
  </w:style>
  <w:style w:type="paragraph" w:customStyle="1" w:styleId="186">
    <w:name w:val="_Style 4"/>
    <w:basedOn w:val="1"/>
    <w:next w:val="1"/>
    <w:qFormat/>
    <w:uiPriority w:val="0"/>
    <w:pPr>
      <w:adjustRightInd w:val="0"/>
      <w:snapToGrid w:val="0"/>
      <w:spacing w:line="360" w:lineRule="exact"/>
      <w:ind w:firstLine="880"/>
      <w:jc w:val="center"/>
    </w:pPr>
    <w:rPr>
      <w:rFonts w:eastAsia="Times New Roman"/>
      <w:iCs/>
      <w:color w:val="000000"/>
      <w:szCs w:val="21"/>
      <w:lang w:val="zh-CN"/>
    </w:rPr>
  </w:style>
  <w:style w:type="paragraph" w:customStyle="1" w:styleId="187">
    <w:name w:val="正文段首"/>
    <w:basedOn w:val="184"/>
    <w:link w:val="188"/>
    <w:qFormat/>
    <w:uiPriority w:val="0"/>
    <w:pPr>
      <w:spacing w:line="360" w:lineRule="auto"/>
    </w:pPr>
  </w:style>
  <w:style w:type="character" w:customStyle="1" w:styleId="188">
    <w:name w:val="正文段首 Char"/>
    <w:basedOn w:val="185"/>
    <w:link w:val="187"/>
    <w:qFormat/>
    <w:uiPriority w:val="0"/>
    <w:rPr>
      <w:rFonts w:ascii="Times New Roman" w:hAnsi="Times New Roman" w:eastAsia="宋体" w:cs="Times New Roman"/>
      <w:sz w:val="24"/>
    </w:rPr>
  </w:style>
  <w:style w:type="paragraph" w:customStyle="1" w:styleId="189">
    <w:name w:val="表格内容"/>
    <w:basedOn w:val="1"/>
    <w:link w:val="190"/>
    <w:qFormat/>
    <w:uiPriority w:val="0"/>
    <w:pPr>
      <w:adjustRightInd w:val="0"/>
      <w:snapToGrid w:val="0"/>
      <w:spacing w:line="240" w:lineRule="auto"/>
      <w:ind w:firstLine="0" w:firstLineChars="0"/>
      <w:jc w:val="center"/>
    </w:pPr>
    <w:rPr>
      <w:color w:val="000000"/>
      <w:sz w:val="21"/>
      <w:szCs w:val="18"/>
    </w:rPr>
  </w:style>
  <w:style w:type="character" w:customStyle="1" w:styleId="190">
    <w:name w:val="表格内容 Char"/>
    <w:link w:val="189"/>
    <w:qFormat/>
    <w:uiPriority w:val="0"/>
    <w:rPr>
      <w:rFonts w:ascii="Times New Roman" w:hAnsi="Times New Roman" w:eastAsia="宋体" w:cs="Times New Roman"/>
      <w:color w:val="000000"/>
      <w:szCs w:val="18"/>
    </w:rPr>
  </w:style>
  <w:style w:type="character" w:customStyle="1" w:styleId="191">
    <w:name w:val="样式 正文(首行缩进) + 首行缩进:  1.55 厘米 Char"/>
    <w:basedOn w:val="43"/>
    <w:link w:val="192"/>
    <w:qFormat/>
    <w:uiPriority w:val="0"/>
    <w:rPr>
      <w:rFonts w:cs="宋体"/>
      <w:sz w:val="24"/>
    </w:rPr>
  </w:style>
  <w:style w:type="paragraph" w:customStyle="1" w:styleId="192">
    <w:name w:val="样式 正文(首行缩进) + 首行缩进:  1.55 厘米"/>
    <w:basedOn w:val="1"/>
    <w:link w:val="191"/>
    <w:qFormat/>
    <w:uiPriority w:val="0"/>
    <w:pPr>
      <w:jc w:val="left"/>
    </w:pPr>
    <w:rPr>
      <w:rFonts w:ascii="Calibri" w:hAnsi="Calibri" w:eastAsia="宋体" w:cs="宋体"/>
      <w:szCs w:val="22"/>
    </w:rPr>
  </w:style>
  <w:style w:type="paragraph" w:customStyle="1" w:styleId="193">
    <w:name w:val="法规"/>
    <w:basedOn w:val="1"/>
    <w:qFormat/>
    <w:uiPriority w:val="0"/>
    <w:pPr>
      <w:tabs>
        <w:tab w:val="left" w:pos="400"/>
      </w:tabs>
      <w:adjustRightInd w:val="0"/>
      <w:snapToGrid w:val="0"/>
      <w:spacing w:line="440" w:lineRule="exact"/>
      <w:ind w:firstLine="400" w:firstLineChars="0"/>
    </w:pPr>
    <w:rPr>
      <w:sz w:val="25"/>
      <w:szCs w:val="20"/>
    </w:rPr>
  </w:style>
  <w:style w:type="paragraph" w:customStyle="1" w:styleId="194">
    <w:name w:val="正文缩进1"/>
    <w:basedOn w:val="1"/>
    <w:qFormat/>
    <w:uiPriority w:val="0"/>
    <w:pPr>
      <w:adjustRightInd w:val="0"/>
      <w:snapToGrid w:val="0"/>
      <w:spacing w:line="240" w:lineRule="auto"/>
      <w:ind w:firstLine="420" w:firstLineChars="0"/>
    </w:pPr>
    <w:rPr>
      <w:rFonts w:ascii="Calibri" w:hAnsi="Calibri"/>
      <w:szCs w:val="22"/>
    </w:rPr>
  </w:style>
  <w:style w:type="paragraph" w:customStyle="1" w:styleId="195">
    <w:name w:val="表内式样"/>
    <w:qFormat/>
    <w:uiPriority w:val="0"/>
    <w:pPr>
      <w:tabs>
        <w:tab w:val="left" w:pos="3555"/>
      </w:tabs>
      <w:adjustRightInd w:val="0"/>
      <w:snapToGrid w:val="0"/>
      <w:jc w:val="center"/>
    </w:pPr>
    <w:rPr>
      <w:rFonts w:ascii="Times New Roman" w:hAnsi="Times New Roman" w:eastAsia="宋体" w:cs="Times New Roman"/>
      <w:kern w:val="2"/>
      <w:sz w:val="20"/>
      <w:szCs w:val="24"/>
      <w:lang w:val="en-US" w:eastAsia="zh-CN" w:bidi="ar-SA"/>
    </w:rPr>
  </w:style>
  <w:style w:type="character" w:customStyle="1" w:styleId="196">
    <w:name w:val="表格文字 Char Char"/>
    <w:qFormat/>
    <w:uiPriority w:val="0"/>
    <w:rPr>
      <w:kern w:val="2"/>
      <w:sz w:val="21"/>
    </w:rPr>
  </w:style>
  <w:style w:type="paragraph" w:customStyle="1" w:styleId="197">
    <w:name w:val="列出段落11"/>
    <w:basedOn w:val="1"/>
    <w:qFormat/>
    <w:uiPriority w:val="0"/>
    <w:pPr>
      <w:adjustRightInd w:val="0"/>
      <w:snapToGrid w:val="0"/>
      <w:spacing w:line="240" w:lineRule="auto"/>
      <w:ind w:firstLine="880"/>
    </w:pPr>
  </w:style>
  <w:style w:type="paragraph" w:customStyle="1" w:styleId="198">
    <w:name w:val="TOC Heading"/>
    <w:basedOn w:val="3"/>
    <w:next w:val="1"/>
    <w:unhideWhenUsed/>
    <w:qFormat/>
    <w:uiPriority w:val="39"/>
    <w:pPr>
      <w:pageBreakBefore w:val="0"/>
      <w:widowControl/>
      <w:numPr>
        <w:ilvl w:val="0"/>
        <w:numId w:val="0"/>
      </w:numPr>
      <w:adjustRightInd/>
      <w:snapToGrid/>
      <w:spacing w:line="276" w:lineRule="auto"/>
      <w:jc w:val="left"/>
      <w:outlineLvl w:val="9"/>
    </w:pPr>
    <w:rPr>
      <w:rFonts w:ascii="Cambria" w:hAnsi="Cambria" w:cs="Times New Roman"/>
      <w:snapToGrid/>
      <w:color w:val="366091"/>
      <w:kern w:val="0"/>
      <w:sz w:val="28"/>
      <w:szCs w:val="28"/>
    </w:rPr>
  </w:style>
  <w:style w:type="paragraph" w:customStyle="1" w:styleId="199">
    <w:name w:val="表头格式"/>
    <w:basedOn w:val="1"/>
    <w:qFormat/>
    <w:uiPriority w:val="0"/>
    <w:pPr>
      <w:spacing w:beforeLines="50"/>
      <w:ind w:firstLine="0" w:firstLineChars="0"/>
      <w:jc w:val="center"/>
    </w:pPr>
    <w:rPr>
      <w:b/>
      <w:sz w:val="21"/>
    </w:rPr>
  </w:style>
  <w:style w:type="character" w:customStyle="1" w:styleId="200">
    <w:name w:val="fontstyle01"/>
    <w:basedOn w:val="43"/>
    <w:qFormat/>
    <w:uiPriority w:val="0"/>
    <w:rPr>
      <w:rFonts w:hint="eastAsia" w:ascii="宋体" w:hAnsi="宋体" w:eastAsia="宋体"/>
      <w:color w:val="000000"/>
      <w:sz w:val="24"/>
      <w:szCs w:val="24"/>
    </w:rPr>
  </w:style>
  <w:style w:type="character" w:customStyle="1" w:styleId="201">
    <w:name w:val="样式5 Char"/>
    <w:qFormat/>
    <w:uiPriority w:val="0"/>
    <w:rPr>
      <w:kern w:val="2"/>
      <w:sz w:val="24"/>
      <w:szCs w:val="24"/>
    </w:rPr>
  </w:style>
  <w:style w:type="paragraph" w:customStyle="1" w:styleId="202">
    <w:name w:val="dxj正文"/>
    <w:basedOn w:val="1"/>
    <w:link w:val="203"/>
    <w:qFormat/>
    <w:uiPriority w:val="0"/>
    <w:rPr>
      <w:lang w:val="zh-CN"/>
    </w:rPr>
  </w:style>
  <w:style w:type="character" w:customStyle="1" w:styleId="203">
    <w:name w:val="dxj正文 Char"/>
    <w:link w:val="202"/>
    <w:qFormat/>
    <w:uiPriority w:val="0"/>
    <w:rPr>
      <w:rFonts w:ascii="Times New Roman" w:hAnsi="Times New Roman" w:eastAsia="宋体" w:cs="Times New Roman"/>
      <w:sz w:val="24"/>
      <w:szCs w:val="24"/>
      <w:lang w:val="zh-CN"/>
    </w:rPr>
  </w:style>
  <w:style w:type="paragraph" w:customStyle="1" w:styleId="204">
    <w:name w:val="样式 样式 宋体 四号 行距: 固定值 27 磅 + 首行缩进:  2 字符"/>
    <w:basedOn w:val="1"/>
    <w:qFormat/>
    <w:uiPriority w:val="0"/>
    <w:pPr>
      <w:adjustRightInd w:val="0"/>
      <w:snapToGrid w:val="0"/>
      <w:spacing w:line="520" w:lineRule="exact"/>
      <w:ind w:firstLine="880"/>
    </w:pPr>
    <w:rPr>
      <w:rFonts w:ascii="仿宋_GB2312" w:eastAsia="仿宋_GB2312" w:cs="仿宋_GB2312"/>
      <w:szCs w:val="20"/>
    </w:rPr>
  </w:style>
  <w:style w:type="table" w:customStyle="1" w:styleId="205">
    <w:name w:val="灰度表格12"/>
    <w:basedOn w:val="41"/>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06">
    <w:name w:val="表名"/>
    <w:basedOn w:val="1"/>
    <w:qFormat/>
    <w:uiPriority w:val="0"/>
    <w:pPr>
      <w:widowControl/>
      <w:overflowPunct w:val="0"/>
      <w:snapToGrid w:val="0"/>
      <w:spacing w:beforeLines="50"/>
      <w:ind w:firstLine="0" w:firstLineChars="0"/>
      <w:jc w:val="center"/>
      <w:textAlignment w:val="baseline"/>
    </w:pPr>
    <w:rPr>
      <w:rFonts w:cs="宋体"/>
      <w:b/>
      <w:kern w:val="0"/>
      <w:sz w:val="21"/>
      <w:szCs w:val="20"/>
    </w:rPr>
  </w:style>
  <w:style w:type="character" w:customStyle="1" w:styleId="207">
    <w:name w:val="M正文 Char Char"/>
    <w:qFormat/>
    <w:uiPriority w:val="0"/>
    <w:rPr>
      <w:kern w:val="2"/>
      <w:sz w:val="24"/>
      <w:szCs w:val="21"/>
    </w:rPr>
  </w:style>
  <w:style w:type="paragraph" w:customStyle="1" w:styleId="208">
    <w:name w:val="图名"/>
    <w:basedOn w:val="1"/>
    <w:qFormat/>
    <w:uiPriority w:val="0"/>
    <w:pPr>
      <w:widowControl/>
      <w:adjustRightInd w:val="0"/>
      <w:snapToGrid w:val="0"/>
      <w:spacing w:afterLines="50"/>
      <w:ind w:firstLine="0" w:firstLineChars="0"/>
      <w:jc w:val="center"/>
    </w:pPr>
    <w:rPr>
      <w:rFonts w:cs="宋体"/>
      <w:b/>
      <w:kern w:val="0"/>
      <w:sz w:val="21"/>
    </w:rPr>
  </w:style>
  <w:style w:type="paragraph" w:customStyle="1" w:styleId="209">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6"/>
      <w:szCs w:val="16"/>
    </w:rPr>
  </w:style>
  <w:style w:type="paragraph" w:customStyle="1" w:styleId="210">
    <w:name w:val="表1"/>
    <w:next w:val="1"/>
    <w:qFormat/>
    <w:uiPriority w:val="0"/>
    <w:pPr>
      <w:adjustRightInd w:val="0"/>
      <w:snapToGrid w:val="0"/>
      <w:jc w:val="center"/>
    </w:pPr>
    <w:rPr>
      <w:rFonts w:ascii="Times New Roman" w:hAnsi="Times New Roman" w:eastAsia="宋体" w:cs="Times New Roman"/>
      <w:kern w:val="0"/>
      <w:sz w:val="21"/>
      <w:szCs w:val="20"/>
      <w:lang w:val="en-US" w:eastAsia="zh-CN" w:bidi="ar-SA"/>
    </w:rPr>
  </w:style>
  <w:style w:type="character" w:customStyle="1" w:styleId="211">
    <w:name w:val="表文字xxxxxxxx Char Char"/>
    <w:link w:val="212"/>
    <w:qFormat/>
    <w:uiPriority w:val="0"/>
    <w:rPr>
      <w:szCs w:val="21"/>
    </w:rPr>
  </w:style>
  <w:style w:type="paragraph" w:customStyle="1" w:styleId="212">
    <w:name w:val="表文字xxxxxxxx"/>
    <w:basedOn w:val="1"/>
    <w:link w:val="211"/>
    <w:qFormat/>
    <w:uiPriority w:val="0"/>
    <w:pPr>
      <w:widowControl/>
      <w:topLinePunct/>
      <w:adjustRightInd w:val="0"/>
      <w:spacing w:line="360" w:lineRule="exact"/>
      <w:ind w:firstLine="0" w:firstLineChars="0"/>
      <w:jc w:val="left"/>
      <w:textAlignment w:val="baseline"/>
    </w:pPr>
    <w:rPr>
      <w:rFonts w:ascii="Calibri" w:hAnsi="Calibri" w:eastAsia="宋体" w:cs="Times New Roman"/>
      <w:sz w:val="21"/>
      <w:szCs w:val="21"/>
    </w:rPr>
  </w:style>
  <w:style w:type="paragraph" w:customStyle="1" w:styleId="213">
    <w:name w:val="表中文字"/>
    <w:basedOn w:val="1"/>
    <w:qFormat/>
    <w:uiPriority w:val="0"/>
    <w:pPr>
      <w:widowControl/>
      <w:spacing w:line="240" w:lineRule="auto"/>
      <w:ind w:firstLine="0" w:firstLineChars="0"/>
      <w:jc w:val="center"/>
    </w:pPr>
    <w:rPr>
      <w:rFonts w:ascii="宋体" w:hAnsi="宋体" w:cs="宋体"/>
      <w:kern w:val="0"/>
      <w:szCs w:val="20"/>
    </w:rPr>
  </w:style>
  <w:style w:type="paragraph" w:customStyle="1" w:styleId="214">
    <w:name w:val="字元 字元"/>
    <w:basedOn w:val="1"/>
    <w:qFormat/>
    <w:uiPriority w:val="0"/>
  </w:style>
  <w:style w:type="character" w:customStyle="1" w:styleId="215">
    <w:name w:val="白正文 Char Char"/>
    <w:link w:val="216"/>
    <w:qFormat/>
    <w:uiPriority w:val="0"/>
    <w:rPr>
      <w:rFonts w:ascii="宋体" w:hAnsi="宋体"/>
      <w:color w:val="000000"/>
      <w:sz w:val="24"/>
      <w:szCs w:val="24"/>
    </w:rPr>
  </w:style>
  <w:style w:type="paragraph" w:customStyle="1" w:styleId="216">
    <w:name w:val="白正文"/>
    <w:basedOn w:val="1"/>
    <w:link w:val="215"/>
    <w:qFormat/>
    <w:uiPriority w:val="0"/>
    <w:rPr>
      <w:rFonts w:ascii="宋体" w:hAnsi="宋体" w:eastAsia="宋体" w:cs="Times New Roman"/>
      <w:color w:val="000000"/>
    </w:rPr>
  </w:style>
  <w:style w:type="character" w:customStyle="1" w:styleId="217">
    <w:name w:val="表格1 Char"/>
    <w:basedOn w:val="43"/>
    <w:link w:val="218"/>
    <w:qFormat/>
    <w:uiPriority w:val="0"/>
    <w:rPr>
      <w:rFonts w:ascii="宋体"/>
      <w:sz w:val="24"/>
    </w:rPr>
  </w:style>
  <w:style w:type="paragraph" w:customStyle="1" w:styleId="218">
    <w:name w:val="表格1"/>
    <w:basedOn w:val="1"/>
    <w:next w:val="1"/>
    <w:link w:val="217"/>
    <w:qFormat/>
    <w:uiPriority w:val="0"/>
    <w:pPr>
      <w:ind w:firstLine="0" w:firstLineChars="0"/>
      <w:jc w:val="center"/>
    </w:pPr>
    <w:rPr>
      <w:rFonts w:ascii="宋体" w:hAnsi="Calibri" w:eastAsia="宋体" w:cs="Times New Roman"/>
      <w:szCs w:val="22"/>
    </w:rPr>
  </w:style>
  <w:style w:type="paragraph" w:customStyle="1" w:styleId="219">
    <w:name w:val="font5"/>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6"/>
      <w:szCs w:val="16"/>
    </w:rPr>
  </w:style>
  <w:style w:type="paragraph" w:customStyle="1" w:styleId="220">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rPr>
  </w:style>
  <w:style w:type="paragraph" w:customStyle="1" w:styleId="221">
    <w:name w:val="font7"/>
    <w:basedOn w:val="1"/>
    <w:qFormat/>
    <w:uiPriority w:val="0"/>
    <w:pPr>
      <w:widowControl/>
      <w:spacing w:before="100" w:beforeAutospacing="1" w:after="100" w:afterAutospacing="1" w:line="240" w:lineRule="auto"/>
      <w:ind w:firstLine="0" w:firstLineChars="0"/>
      <w:jc w:val="left"/>
    </w:pPr>
    <w:rPr>
      <w:rFonts w:ascii="Courier New" w:hAnsi="Courier New" w:cs="Courier New"/>
      <w:color w:val="000000"/>
      <w:kern w:val="0"/>
    </w:rPr>
  </w:style>
  <w:style w:type="paragraph" w:customStyle="1" w:styleId="222">
    <w:name w:val="font8"/>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rPr>
  </w:style>
  <w:style w:type="paragraph" w:customStyle="1" w:styleId="223">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24">
    <w:name w:val="xl65"/>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225">
    <w:name w:val="xl66"/>
    <w:basedOn w:val="1"/>
    <w:qFormat/>
    <w:uiPriority w:val="0"/>
    <w:pPr>
      <w:widowControl/>
      <w:spacing w:before="100" w:beforeAutospacing="1" w:after="100" w:afterAutospacing="1" w:line="240" w:lineRule="auto"/>
      <w:ind w:firstLine="0" w:firstLineChars="0"/>
      <w:jc w:val="left"/>
      <w:textAlignment w:val="top"/>
    </w:pPr>
    <w:rPr>
      <w:rFonts w:ascii="宋体" w:hAnsi="宋体" w:cs="宋体"/>
      <w:kern w:val="0"/>
    </w:rPr>
  </w:style>
  <w:style w:type="paragraph" w:customStyle="1" w:styleId="226">
    <w:name w:val="xl67"/>
    <w:basedOn w:val="1"/>
    <w:qFormat/>
    <w:uiPriority w:val="0"/>
    <w:pPr>
      <w:widowControl/>
      <w:shd w:val="clear" w:color="FFFFFF" w:fill="CCE8CF"/>
      <w:spacing w:before="100" w:beforeAutospacing="1" w:after="100" w:afterAutospacing="1" w:line="240" w:lineRule="auto"/>
      <w:ind w:firstLine="0" w:firstLineChars="0"/>
      <w:jc w:val="center"/>
    </w:pPr>
    <w:rPr>
      <w:rFonts w:ascii="宋体" w:hAnsi="宋体" w:cs="宋体"/>
      <w:kern w:val="0"/>
    </w:rPr>
  </w:style>
  <w:style w:type="paragraph" w:customStyle="1" w:styleId="227">
    <w:name w:val="xl68"/>
    <w:basedOn w:val="1"/>
    <w:qFormat/>
    <w:uiPriority w:val="0"/>
    <w:pPr>
      <w:widowControl/>
      <w:pBdr>
        <w:top w:val="single" w:color="000000" w:sz="4" w:space="0"/>
        <w:left w:val="single" w:color="000000" w:sz="4" w:space="0"/>
        <w:right w:val="single" w:color="000000" w:sz="4" w:space="0"/>
      </w:pBdr>
      <w:shd w:val="clear" w:color="FFFFFF" w:fill="CCE8CF"/>
      <w:spacing w:before="100" w:beforeAutospacing="1" w:after="100" w:afterAutospacing="1" w:line="240" w:lineRule="auto"/>
      <w:ind w:firstLine="0" w:firstLineChars="0"/>
      <w:jc w:val="center"/>
    </w:pPr>
    <w:rPr>
      <w:rFonts w:ascii="宋体" w:hAnsi="宋体" w:cs="宋体"/>
      <w:kern w:val="0"/>
    </w:rPr>
  </w:style>
  <w:style w:type="paragraph" w:customStyle="1" w:styleId="228">
    <w:name w:val="xl69"/>
    <w:basedOn w:val="1"/>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22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23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231">
    <w:name w:val="xl72"/>
    <w:basedOn w:val="1"/>
    <w:qFormat/>
    <w:uiPriority w:val="0"/>
    <w:pPr>
      <w:widowControl/>
      <w:pBdr>
        <w:top w:val="single" w:color="auto" w:sz="4" w:space="0"/>
        <w:left w:val="single" w:color="auto" w:sz="4" w:space="0"/>
        <w:bottom w:val="single" w:color="auto" w:sz="4" w:space="0"/>
        <w:right w:val="single" w:color="auto" w:sz="4" w:space="0"/>
      </w:pBdr>
      <w:shd w:val="clear" w:color="FFFFFF" w:fill="CCE8CF"/>
      <w:spacing w:before="100" w:beforeAutospacing="1" w:after="100" w:afterAutospacing="1" w:line="240" w:lineRule="auto"/>
      <w:ind w:firstLine="0" w:firstLineChars="0"/>
      <w:jc w:val="center"/>
    </w:pPr>
    <w:rPr>
      <w:rFonts w:ascii="宋体" w:hAnsi="宋体" w:cs="宋体"/>
      <w:kern w:val="0"/>
    </w:rPr>
  </w:style>
  <w:style w:type="paragraph" w:customStyle="1" w:styleId="23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ascii="宋体" w:hAnsi="宋体" w:cs="宋体"/>
      <w:kern w:val="0"/>
    </w:rPr>
  </w:style>
  <w:style w:type="paragraph" w:customStyle="1" w:styleId="23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ascii="宋体" w:hAnsi="宋体" w:cs="宋体"/>
      <w:kern w:val="0"/>
    </w:rPr>
  </w:style>
  <w:style w:type="paragraph" w:customStyle="1" w:styleId="23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ascii="宋体" w:hAnsi="宋体" w:cs="宋体"/>
      <w:kern w:val="0"/>
    </w:rPr>
  </w:style>
  <w:style w:type="paragraph" w:customStyle="1" w:styleId="23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23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rPr>
  </w:style>
  <w:style w:type="paragraph" w:customStyle="1" w:styleId="237">
    <w:name w:val="xl78"/>
    <w:basedOn w:val="1"/>
    <w:qFormat/>
    <w:uiPriority w:val="0"/>
    <w:pPr>
      <w:widowControl/>
      <w:pBdr>
        <w:top w:val="single" w:color="auto" w:sz="4" w:space="0"/>
        <w:left w:val="single" w:color="auto" w:sz="4" w:space="0"/>
        <w:bottom w:val="single" w:color="auto" w:sz="4" w:space="0"/>
        <w:right w:val="single" w:color="auto" w:sz="4" w:space="0"/>
      </w:pBdr>
      <w:shd w:val="clear" w:color="FFFFFF" w:fill="CCE8CF"/>
      <w:spacing w:before="100" w:beforeAutospacing="1" w:after="100" w:afterAutospacing="1" w:line="240" w:lineRule="auto"/>
      <w:ind w:firstLine="0" w:firstLineChars="0"/>
      <w:jc w:val="center"/>
    </w:pPr>
    <w:rPr>
      <w:rFonts w:ascii="宋体" w:hAnsi="宋体" w:cs="宋体"/>
      <w:kern w:val="0"/>
    </w:rPr>
  </w:style>
  <w:style w:type="paragraph" w:customStyle="1" w:styleId="238">
    <w:name w:val="xl79"/>
    <w:basedOn w:val="1"/>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kern w:val="0"/>
    </w:rPr>
  </w:style>
  <w:style w:type="table" w:customStyle="1" w:styleId="239">
    <w:name w:val="网格型1"/>
    <w:basedOn w:val="41"/>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2"/>
    <w:basedOn w:val="41"/>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1">
    <w:name w:val="正式表格 Char"/>
    <w:link w:val="242"/>
    <w:qFormat/>
    <w:locked/>
    <w:uiPriority w:val="0"/>
    <w:rPr>
      <w:szCs w:val="24"/>
    </w:rPr>
  </w:style>
  <w:style w:type="paragraph" w:customStyle="1" w:styleId="242">
    <w:name w:val="正式表格"/>
    <w:basedOn w:val="1"/>
    <w:link w:val="241"/>
    <w:qFormat/>
    <w:uiPriority w:val="0"/>
    <w:pPr>
      <w:spacing w:line="240" w:lineRule="atLeast"/>
      <w:ind w:firstLine="0" w:firstLineChars="0"/>
      <w:contextualSpacing/>
      <w:jc w:val="center"/>
    </w:pPr>
    <w:rPr>
      <w:rFonts w:ascii="Calibri" w:hAnsi="Calibri" w:eastAsia="宋体" w:cs="Times New Roman"/>
      <w:sz w:val="21"/>
    </w:rPr>
  </w:style>
  <w:style w:type="character" w:customStyle="1" w:styleId="243">
    <w:name w:val="yyp Char"/>
    <w:basedOn w:val="43"/>
    <w:link w:val="244"/>
    <w:qFormat/>
    <w:locked/>
    <w:uiPriority w:val="0"/>
    <w:rPr>
      <w:sz w:val="24"/>
      <w:szCs w:val="24"/>
    </w:rPr>
  </w:style>
  <w:style w:type="paragraph" w:customStyle="1" w:styleId="244">
    <w:name w:val="yyp"/>
    <w:basedOn w:val="39"/>
    <w:link w:val="243"/>
    <w:qFormat/>
    <w:uiPriority w:val="0"/>
    <w:pPr>
      <w:ind w:firstLine="480" w:firstLineChars="200"/>
    </w:pPr>
    <w:rPr>
      <w:rFonts w:ascii="Calibri" w:hAnsi="Calibri" w:eastAsia="宋体" w:cs="Times New Roman"/>
    </w:rPr>
  </w:style>
  <w:style w:type="paragraph" w:customStyle="1" w:styleId="245">
    <w:name w:val="TIE-表格内容"/>
    <w:basedOn w:val="1"/>
    <w:qFormat/>
    <w:uiPriority w:val="0"/>
    <w:pPr>
      <w:topLinePunct/>
      <w:autoSpaceDE w:val="0"/>
      <w:spacing w:line="360" w:lineRule="exact"/>
      <w:ind w:firstLine="0" w:firstLineChars="0"/>
      <w:jc w:val="center"/>
      <w:textAlignment w:val="center"/>
    </w:pPr>
    <w:rPr>
      <w:sz w:val="21"/>
      <w:szCs w:val="22"/>
    </w:rPr>
  </w:style>
  <w:style w:type="character" w:customStyle="1" w:styleId="246">
    <w:name w:val="x正文 Char"/>
    <w:link w:val="247"/>
    <w:qFormat/>
    <w:uiPriority w:val="0"/>
    <w:rPr>
      <w:rFonts w:hAnsi="宋体"/>
      <w:snapToGrid w:val="0"/>
      <w:sz w:val="24"/>
      <w:szCs w:val="21"/>
    </w:rPr>
  </w:style>
  <w:style w:type="paragraph" w:customStyle="1" w:styleId="247">
    <w:name w:val="x正文"/>
    <w:basedOn w:val="94"/>
    <w:link w:val="246"/>
    <w:qFormat/>
    <w:uiPriority w:val="0"/>
    <w:pPr>
      <w:tabs>
        <w:tab w:val="clear" w:pos="8295"/>
      </w:tabs>
      <w:spacing w:line="440" w:lineRule="exact"/>
      <w:ind w:firstLine="480"/>
    </w:pPr>
    <w:rPr>
      <w:rFonts w:hAnsi="宋体"/>
      <w:snapToGrid w:val="0"/>
      <w:szCs w:val="21"/>
    </w:rPr>
  </w:style>
  <w:style w:type="paragraph" w:customStyle="1" w:styleId="248">
    <w:name w:val="表格02"/>
    <w:basedOn w:val="1"/>
    <w:qFormat/>
    <w:uiPriority w:val="0"/>
    <w:pPr>
      <w:spacing w:line="400" w:lineRule="exact"/>
      <w:ind w:firstLine="0" w:firstLineChars="0"/>
      <w:jc w:val="center"/>
    </w:pPr>
    <w:rPr>
      <w:rFonts w:ascii="宋体"/>
      <w:snapToGrid w:val="0"/>
      <w:kern w:val="0"/>
      <w:szCs w:val="20"/>
      <w:lang w:val="en-GB"/>
    </w:rPr>
  </w:style>
  <w:style w:type="paragraph" w:customStyle="1" w:styleId="249">
    <w:name w:val="_Style 30"/>
    <w:basedOn w:val="1"/>
    <w:qFormat/>
    <w:uiPriority w:val="0"/>
    <w:pPr>
      <w:spacing w:line="240" w:lineRule="auto"/>
      <w:ind w:firstLine="0" w:firstLineChars="0"/>
    </w:pPr>
    <w:rPr>
      <w:sz w:val="21"/>
    </w:rPr>
  </w:style>
  <w:style w:type="table" w:customStyle="1" w:styleId="250">
    <w:name w:val="网格型3"/>
    <w:basedOn w:val="41"/>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
    <w:name w:val="网格型4"/>
    <w:basedOn w:val="41"/>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灰度表格1"/>
    <w:basedOn w:val="41"/>
    <w:qFormat/>
    <w:uiPriority w:val="0"/>
    <w:rPr>
      <w:rFonts w:ascii="Calibri" w:hAnsi="Calibri"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style>
  <w:style w:type="paragraph" w:customStyle="1" w:styleId="253">
    <w:name w:val="报告正文"/>
    <w:basedOn w:val="1"/>
    <w:qFormat/>
    <w:uiPriority w:val="0"/>
    <w:pPr>
      <w:ind w:firstLine="600"/>
    </w:pPr>
    <w:rPr>
      <w:rFonts w:ascii="宋体" w:eastAsia="楷体_GB2312"/>
      <w:bCs/>
      <w:kern w:val="0"/>
      <w:sz w:val="30"/>
    </w:rPr>
  </w:style>
  <w:style w:type="character" w:customStyle="1" w:styleId="254">
    <w:name w:val="正文文本_"/>
    <w:basedOn w:val="43"/>
    <w:qFormat/>
    <w:uiPriority w:val="0"/>
    <w:rPr>
      <w:rFonts w:ascii="MingLiU" w:hAnsi="MingLiU" w:eastAsia="MingLiU" w:cs="MingLiU"/>
      <w:spacing w:val="30"/>
      <w:sz w:val="44"/>
      <w:szCs w:val="44"/>
      <w:shd w:val="clear" w:color="auto" w:fill="FFFFFF"/>
    </w:rPr>
  </w:style>
  <w:style w:type="character" w:customStyle="1" w:styleId="255">
    <w:name w:val="正文文本 + 16 pt"/>
    <w:basedOn w:val="254"/>
    <w:qFormat/>
    <w:uiPriority w:val="0"/>
    <w:rPr>
      <w:rFonts w:ascii="MingLiU" w:hAnsi="MingLiU" w:eastAsia="MingLiU" w:cs="MingLiU"/>
      <w:color w:val="000000"/>
      <w:spacing w:val="30"/>
      <w:w w:val="100"/>
      <w:position w:val="0"/>
      <w:sz w:val="32"/>
      <w:szCs w:val="32"/>
      <w:shd w:val="clear" w:color="auto" w:fill="FFFFFF"/>
      <w:lang w:val="zh-TW"/>
    </w:rPr>
  </w:style>
  <w:style w:type="character" w:customStyle="1" w:styleId="256">
    <w:name w:val="正文文本 + Times New Roman"/>
    <w:basedOn w:val="254"/>
    <w:qFormat/>
    <w:uiPriority w:val="0"/>
    <w:rPr>
      <w:rFonts w:ascii="Times New Roman" w:hAnsi="Times New Roman" w:eastAsia="Times New Roman" w:cs="Times New Roman"/>
      <w:color w:val="000000"/>
      <w:spacing w:val="10"/>
      <w:w w:val="100"/>
      <w:position w:val="0"/>
      <w:sz w:val="32"/>
      <w:szCs w:val="32"/>
      <w:shd w:val="clear" w:color="auto" w:fill="FFFFFF"/>
      <w:lang w:val="en-US"/>
    </w:rPr>
  </w:style>
  <w:style w:type="character" w:customStyle="1" w:styleId="257">
    <w:name w:val="环评正文2 Char"/>
    <w:basedOn w:val="43"/>
    <w:link w:val="258"/>
    <w:qFormat/>
    <w:uiPriority w:val="0"/>
    <w:rPr>
      <w:rFonts w:ascii="宋体" w:hAnsi="宋体" w:eastAsia="仿宋_GB2312"/>
      <w:color w:val="000000"/>
      <w:kern w:val="16"/>
      <w:sz w:val="24"/>
      <w:szCs w:val="24"/>
    </w:rPr>
  </w:style>
  <w:style w:type="paragraph" w:customStyle="1" w:styleId="258">
    <w:name w:val="环评正文2"/>
    <w:basedOn w:val="1"/>
    <w:link w:val="257"/>
    <w:qFormat/>
    <w:uiPriority w:val="0"/>
    <w:rPr>
      <w:rFonts w:ascii="宋体" w:hAnsi="宋体" w:eastAsia="仿宋_GB2312" w:cs="Times New Roman"/>
      <w:color w:val="000000"/>
      <w:kern w:val="16"/>
    </w:rPr>
  </w:style>
  <w:style w:type="paragraph" w:customStyle="1" w:styleId="259">
    <w:name w:val="环评 正文"/>
    <w:basedOn w:val="35"/>
    <w:link w:val="260"/>
    <w:qFormat/>
    <w:uiPriority w:val="0"/>
    <w:pPr>
      <w:adjustRightInd w:val="0"/>
      <w:snapToGrid w:val="0"/>
      <w:spacing w:after="0" w:line="360" w:lineRule="auto"/>
      <w:ind w:firstLine="480"/>
    </w:pPr>
    <w:rPr>
      <w:bCs/>
      <w:kern w:val="0"/>
    </w:rPr>
  </w:style>
  <w:style w:type="character" w:customStyle="1" w:styleId="260">
    <w:name w:val="环评 正文 Char Char"/>
    <w:link w:val="259"/>
    <w:qFormat/>
    <w:uiPriority w:val="0"/>
    <w:rPr>
      <w:rFonts w:ascii="Times New Roman" w:hAnsi="Times New Roman" w:eastAsia="宋体" w:cs="Times New Roman"/>
      <w:bCs/>
      <w:kern w:val="0"/>
      <w:sz w:val="24"/>
      <w:szCs w:val="24"/>
    </w:rPr>
  </w:style>
  <w:style w:type="character" w:customStyle="1" w:styleId="261">
    <w:name w:val="表格的字 Char"/>
    <w:link w:val="262"/>
    <w:qFormat/>
    <w:locked/>
    <w:uiPriority w:val="0"/>
    <w:rPr>
      <w:rFonts w:ascii="Times New Roman" w:hAnsi="Times New Roman"/>
      <w:szCs w:val="24"/>
    </w:rPr>
  </w:style>
  <w:style w:type="paragraph" w:customStyle="1" w:styleId="262">
    <w:name w:val="表格的字"/>
    <w:basedOn w:val="1"/>
    <w:link w:val="261"/>
    <w:qFormat/>
    <w:uiPriority w:val="0"/>
    <w:pPr>
      <w:spacing w:line="240" w:lineRule="auto"/>
      <w:ind w:firstLine="0" w:firstLineChars="0"/>
      <w:jc w:val="center"/>
    </w:pPr>
    <w:rPr>
      <w:rFonts w:eastAsia="宋体" w:cs="Times New Roman"/>
      <w:sz w:val="21"/>
    </w:rPr>
  </w:style>
  <w:style w:type="paragraph" w:customStyle="1" w:styleId="263">
    <w:name w:val="Table Paragraph"/>
    <w:basedOn w:val="1"/>
    <w:qFormat/>
    <w:uiPriority w:val="1"/>
    <w:pPr>
      <w:autoSpaceDE w:val="0"/>
      <w:autoSpaceDN w:val="0"/>
      <w:spacing w:line="240" w:lineRule="auto"/>
      <w:ind w:firstLine="0" w:firstLineChars="0"/>
      <w:jc w:val="center"/>
    </w:pPr>
    <w:rPr>
      <w:rFonts w:ascii="宋体" w:hAnsi="宋体" w:cs="宋体"/>
      <w:kern w:val="0"/>
      <w:sz w:val="22"/>
      <w:szCs w:val="22"/>
      <w:lang w:val="zh-CN" w:bidi="zh-CN"/>
    </w:rPr>
  </w:style>
  <w:style w:type="paragraph" w:customStyle="1" w:styleId="264">
    <w:name w:val="表 内容"/>
    <w:basedOn w:val="1"/>
    <w:qFormat/>
    <w:uiPriority w:val="0"/>
    <w:pPr>
      <w:spacing w:line="240" w:lineRule="atLeast"/>
      <w:ind w:firstLine="0" w:firstLineChars="0"/>
      <w:jc w:val="center"/>
    </w:pPr>
    <w:rPr>
      <w:rFonts w:ascii="Calibri" w:hAnsi="Calibri"/>
      <w:sz w:val="21"/>
      <w:szCs w:val="21"/>
    </w:rPr>
  </w:style>
  <w:style w:type="table" w:customStyle="1" w:styleId="265">
    <w:name w:val="xpp"/>
    <w:basedOn w:val="41"/>
    <w:qFormat/>
    <w:uiPriority w:val="0"/>
    <w:rPr>
      <w:rFonts w:ascii="Times New Roman" w:hAnsi="Times New Roman" w:eastAsia="宋体" w:cs="Times New Roman"/>
      <w:kern w:val="0"/>
      <w:sz w:val="20"/>
      <w:szCs w:val="20"/>
    </w:rPr>
    <w:tblPr>
      <w:tblBorders>
        <w:top w:val="single" w:color="auto" w:sz="12" w:space="0"/>
        <w:bottom w:val="single" w:color="auto" w:sz="12" w:space="0"/>
        <w:insideH w:val="single" w:color="auto" w:sz="4" w:space="0"/>
        <w:insideV w:val="single" w:color="auto" w:sz="4" w:space="0"/>
      </w:tblBorders>
    </w:tblPr>
  </w:style>
  <w:style w:type="paragraph" w:customStyle="1" w:styleId="266">
    <w:name w:val="TIE，表头，图头"/>
    <w:basedOn w:val="1"/>
    <w:qFormat/>
    <w:uiPriority w:val="0"/>
    <w:pPr>
      <w:topLinePunct/>
      <w:spacing w:line="480" w:lineRule="exact"/>
      <w:ind w:firstLine="0" w:firstLineChars="0"/>
      <w:jc w:val="center"/>
    </w:pPr>
    <w:rPr>
      <w:rFonts w:eastAsia="Times New Roman" w:cs="Times New Roman"/>
      <w:b/>
      <w:szCs w:val="21"/>
    </w:rPr>
  </w:style>
  <w:style w:type="paragraph" w:customStyle="1" w:styleId="267">
    <w:name w:val="新标题1"/>
    <w:basedOn w:val="3"/>
    <w:link w:val="268"/>
    <w:qFormat/>
    <w:uiPriority w:val="0"/>
    <w:pPr>
      <w:pageBreakBefore w:val="0"/>
      <w:numPr>
        <w:ilvl w:val="0"/>
        <w:numId w:val="0"/>
      </w:numPr>
      <w:tabs>
        <w:tab w:val="left" w:pos="845"/>
      </w:tabs>
      <w:overflowPunct w:val="0"/>
      <w:topLinePunct/>
      <w:autoSpaceDE w:val="0"/>
      <w:autoSpaceDN w:val="0"/>
      <w:spacing w:before="120" w:after="120" w:line="440" w:lineRule="exact"/>
      <w:ind w:left="845" w:hanging="425"/>
    </w:pPr>
    <w:rPr>
      <w:rFonts w:ascii="Times New Roman" w:eastAsia="宋体"/>
      <w:snapToGrid/>
      <w:color w:val="auto"/>
      <w:kern w:val="44"/>
      <w:sz w:val="36"/>
      <w:szCs w:val="20"/>
    </w:rPr>
  </w:style>
  <w:style w:type="character" w:customStyle="1" w:styleId="268">
    <w:name w:val="新标题1 Char"/>
    <w:link w:val="267"/>
    <w:qFormat/>
    <w:uiPriority w:val="0"/>
    <w:rPr>
      <w:rFonts w:ascii="Times New Roman" w:hAnsi="Times New Roman" w:eastAsia="宋体" w:cs="Times New Roman"/>
      <w:b/>
      <w:bCs/>
      <w:kern w:val="44"/>
      <w:sz w:val="36"/>
      <w:szCs w:val="20"/>
    </w:rPr>
  </w:style>
  <w:style w:type="character" w:customStyle="1" w:styleId="269">
    <w:name w:val="ca-1"/>
    <w:basedOn w:val="43"/>
    <w:qFormat/>
    <w:uiPriority w:val="0"/>
  </w:style>
  <w:style w:type="character" w:customStyle="1" w:styleId="270">
    <w:name w:val="apple-converted-space"/>
    <w:basedOn w:val="43"/>
    <w:qFormat/>
    <w:uiPriority w:val="0"/>
  </w:style>
  <w:style w:type="paragraph" w:customStyle="1" w:styleId="271">
    <w:name w:val="Normal_39"/>
    <w:qFormat/>
    <w:uiPriority w:val="0"/>
    <w:pPr>
      <w:spacing w:before="120" w:after="240"/>
      <w:jc w:val="both"/>
    </w:pPr>
    <w:rPr>
      <w:rFonts w:ascii="Calibri" w:hAnsi="Calibri" w:eastAsia="Calibri" w:cs="Times New Roman"/>
      <w:kern w:val="0"/>
      <w:sz w:val="22"/>
      <w:szCs w:val="22"/>
      <w:lang w:val="ru-RU" w:eastAsia="en-US" w:bidi="ar-SA"/>
    </w:rPr>
  </w:style>
  <w:style w:type="paragraph" w:customStyle="1" w:styleId="272">
    <w:name w:val="【表中文字】"/>
    <w:basedOn w:val="1"/>
    <w:link w:val="273"/>
    <w:qFormat/>
    <w:uiPriority w:val="0"/>
    <w:pPr>
      <w:spacing w:line="240" w:lineRule="auto"/>
      <w:ind w:firstLine="0" w:firstLineChars="0"/>
      <w:jc w:val="center"/>
    </w:pPr>
    <w:rPr>
      <w:sz w:val="21"/>
      <w:szCs w:val="20"/>
    </w:rPr>
  </w:style>
  <w:style w:type="character" w:customStyle="1" w:styleId="273">
    <w:name w:val="【表中文字】 Char"/>
    <w:link w:val="272"/>
    <w:qFormat/>
    <w:uiPriority w:val="0"/>
    <w:rPr>
      <w:rFonts w:ascii="Times New Roman" w:hAnsi="Times New Roman" w:eastAsia="宋体" w:cs="Times New Roman"/>
      <w:szCs w:val="20"/>
    </w:rPr>
  </w:style>
  <w:style w:type="character" w:customStyle="1" w:styleId="274">
    <w:name w:val="标题 7 Char"/>
    <w:basedOn w:val="43"/>
    <w:semiHidden/>
    <w:qFormat/>
    <w:uiPriority w:val="9"/>
    <w:rPr>
      <w:rFonts w:ascii="Times New Roman" w:hAnsi="Times New Roman" w:eastAsia="宋体" w:cs="Times New Roman"/>
      <w:b/>
      <w:bCs/>
      <w:sz w:val="24"/>
      <w:szCs w:val="24"/>
    </w:rPr>
  </w:style>
  <w:style w:type="paragraph" w:customStyle="1" w:styleId="275">
    <w:name w:val="xl24"/>
    <w:basedOn w:val="1"/>
    <w:qFormat/>
    <w:uiPriority w:val="0"/>
    <w:pPr>
      <w:widowControl/>
      <w:spacing w:before="100" w:beforeAutospacing="1" w:after="100" w:afterAutospacing="1" w:line="240" w:lineRule="auto"/>
      <w:ind w:firstLine="0" w:firstLineChars="0"/>
      <w:jc w:val="right"/>
    </w:pPr>
    <w:rPr>
      <w:rFonts w:ascii="Arial Unicode MS" w:hAnsi="Arial Unicode MS" w:eastAsia="Arial Unicode MS"/>
      <w:kern w:val="0"/>
    </w:rPr>
  </w:style>
  <w:style w:type="character" w:customStyle="1" w:styleId="276">
    <w:name w:val="标题 2 Char1"/>
    <w:basedOn w:val="43"/>
    <w:qFormat/>
    <w:uiPriority w:val="0"/>
    <w:rPr>
      <w:rFonts w:ascii="Times New Roman" w:hAnsi="Times New Roman" w:eastAsia="宋体" w:cs="Times New Roman"/>
      <w:b/>
      <w:bCs/>
      <w:sz w:val="28"/>
      <w:szCs w:val="32"/>
    </w:rPr>
  </w:style>
  <w:style w:type="character" w:customStyle="1" w:styleId="277">
    <w:name w:val="标题 3 Char1"/>
    <w:basedOn w:val="43"/>
    <w:qFormat/>
    <w:uiPriority w:val="9"/>
    <w:rPr>
      <w:rFonts w:ascii="Times New Roman" w:hAnsi="Times New Roman" w:eastAsia="宋体" w:cs="Times New Roman"/>
      <w:b/>
      <w:bCs/>
      <w:sz w:val="24"/>
      <w:szCs w:val="32"/>
    </w:rPr>
  </w:style>
  <w:style w:type="character" w:customStyle="1" w:styleId="278">
    <w:name w:val="标题 6 Char1"/>
    <w:basedOn w:val="43"/>
    <w:qFormat/>
    <w:uiPriority w:val="0"/>
    <w:rPr>
      <w:rFonts w:ascii="Cambria" w:hAnsi="Cambria" w:eastAsia="宋体" w:cs="Times New Roman"/>
      <w:b/>
      <w:bCs/>
      <w:sz w:val="24"/>
      <w:szCs w:val="24"/>
    </w:rPr>
  </w:style>
  <w:style w:type="character" w:customStyle="1" w:styleId="279">
    <w:name w:val="文档结构图 Char1"/>
    <w:basedOn w:val="43"/>
    <w:semiHidden/>
    <w:qFormat/>
    <w:uiPriority w:val="0"/>
    <w:rPr>
      <w:rFonts w:ascii="宋体" w:eastAsia="宋体"/>
      <w:sz w:val="18"/>
      <w:szCs w:val="18"/>
    </w:rPr>
  </w:style>
  <w:style w:type="character" w:customStyle="1" w:styleId="280">
    <w:name w:val="批注文字 Char1"/>
    <w:basedOn w:val="43"/>
    <w:qFormat/>
    <w:uiPriority w:val="99"/>
  </w:style>
  <w:style w:type="character" w:customStyle="1" w:styleId="281">
    <w:name w:val="日期 Char1"/>
    <w:basedOn w:val="43"/>
    <w:semiHidden/>
    <w:qFormat/>
    <w:uiPriority w:val="0"/>
  </w:style>
  <w:style w:type="paragraph" w:customStyle="1" w:styleId="282">
    <w:name w:val="Char Char2 Char Char"/>
    <w:basedOn w:val="1"/>
    <w:semiHidden/>
    <w:qFormat/>
    <w:uiPriority w:val="0"/>
    <w:pPr>
      <w:topLinePunct/>
      <w:autoSpaceDE w:val="0"/>
      <w:spacing w:after="160" w:line="240" w:lineRule="exact"/>
      <w:jc w:val="left"/>
    </w:pPr>
    <w:rPr>
      <w:rFonts w:ascii="Verdana" w:hAnsi="Verdana"/>
      <w:kern w:val="0"/>
      <w:sz w:val="20"/>
      <w:szCs w:val="20"/>
      <w:lang w:eastAsia="en-US"/>
    </w:rPr>
  </w:style>
  <w:style w:type="character" w:customStyle="1" w:styleId="283">
    <w:name w:val="HTML 预设格式 Char1"/>
    <w:basedOn w:val="43"/>
    <w:semiHidden/>
    <w:qFormat/>
    <w:uiPriority w:val="99"/>
    <w:rPr>
      <w:rFonts w:ascii="Courier New" w:hAnsi="Courier New" w:eastAsia="宋体" w:cs="Courier New"/>
      <w:sz w:val="20"/>
      <w:szCs w:val="20"/>
    </w:rPr>
  </w:style>
  <w:style w:type="paragraph" w:customStyle="1" w:styleId="284">
    <w:name w:val="TOC 标题1"/>
    <w:basedOn w:val="3"/>
    <w:next w:val="1"/>
    <w:unhideWhenUsed/>
    <w:qFormat/>
    <w:uiPriority w:val="39"/>
    <w:pPr>
      <w:pageBreakBefore w:val="0"/>
      <w:numPr>
        <w:ilvl w:val="0"/>
        <w:numId w:val="0"/>
      </w:numPr>
      <w:topLinePunct/>
      <w:autoSpaceDE w:val="0"/>
      <w:adjustRightInd/>
      <w:snapToGrid/>
      <w:spacing w:before="180" w:after="180" w:line="480" w:lineRule="exact"/>
      <w:outlineLvl w:val="9"/>
    </w:pPr>
    <w:rPr>
      <w:rFonts w:ascii="Times New Roman" w:cs="Times New Roman"/>
      <w:snapToGrid/>
      <w:color w:val="auto"/>
      <w:kern w:val="44"/>
      <w:sz w:val="30"/>
      <w:szCs w:val="44"/>
    </w:rPr>
  </w:style>
  <w:style w:type="table" w:customStyle="1" w:styleId="285">
    <w:name w:val="wenya"/>
    <w:basedOn w:val="41"/>
    <w:qFormat/>
    <w:uiPriority w:val="0"/>
    <w:rPr>
      <w:rFonts w:ascii="Times New Roman" w:hAnsi="Times New Roman" w:eastAsia="宋体" w:cs="Times New Roman"/>
      <w:kern w:val="0"/>
      <w:sz w:val="20"/>
      <w:szCs w:val="20"/>
    </w:rPr>
    <w:tblPr>
      <w:tblBorders>
        <w:top w:val="thinThickSmallGap" w:color="auto" w:sz="12" w:space="0"/>
        <w:bottom w:val="thinThickSmallGap" w:color="auto" w:sz="12" w:space="0"/>
        <w:insideH w:val="single" w:color="auto" w:sz="4" w:space="0"/>
        <w:insideV w:val="single" w:color="auto" w:sz="4" w:space="0"/>
      </w:tblBorders>
      <w:tblCellMar>
        <w:left w:w="28" w:type="dxa"/>
        <w:right w:w="28" w:type="dxa"/>
      </w:tblCellMar>
    </w:tblPr>
    <w:tcPr>
      <w:shd w:val="clear" w:color="auto" w:fill="auto"/>
      <w:vAlign w:val="center"/>
    </w:tcPr>
  </w:style>
  <w:style w:type="table" w:customStyle="1" w:styleId="286">
    <w:name w:val="wenya1"/>
    <w:basedOn w:val="41"/>
    <w:qFormat/>
    <w:uiPriority w:val="0"/>
    <w:rPr>
      <w:rFonts w:ascii="Times New Roman" w:hAnsi="Times New Roman" w:eastAsia="宋体" w:cs="Times New Roman"/>
      <w:kern w:val="0"/>
      <w:sz w:val="20"/>
      <w:szCs w:val="20"/>
    </w:rPr>
    <w:tblPr>
      <w:tblBorders>
        <w:top w:val="thinThickSmallGap" w:color="auto" w:sz="12" w:space="0"/>
        <w:bottom w:val="thinThickSmallGap" w:color="auto" w:sz="12" w:space="0"/>
        <w:insideH w:val="single" w:color="auto" w:sz="4" w:space="0"/>
        <w:insideV w:val="single" w:color="auto" w:sz="4" w:space="0"/>
      </w:tblBorders>
      <w:tblCellMar>
        <w:left w:w="28" w:type="dxa"/>
        <w:right w:w="28" w:type="dxa"/>
      </w:tblCellMar>
    </w:tblPr>
    <w:tcPr>
      <w:shd w:val="clear" w:color="auto" w:fill="auto"/>
      <w:vAlign w:val="center"/>
    </w:tcPr>
  </w:style>
  <w:style w:type="table" w:customStyle="1" w:styleId="287">
    <w:name w:val="表格类型2"/>
    <w:basedOn w:val="41"/>
    <w:qFormat/>
    <w:uiPriority w:val="0"/>
    <w:pPr>
      <w:widowControl w:val="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
    <w:name w:val="表格类型3"/>
    <w:basedOn w:val="41"/>
    <w:qFormat/>
    <w:uiPriority w:val="0"/>
    <w:pPr>
      <w:widowControl w:val="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
    <w:name w:val="表格类型4"/>
    <w:basedOn w:val="41"/>
    <w:qFormat/>
    <w:uiPriority w:val="0"/>
    <w:pPr>
      <w:widowControl w:val="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
    <w:name w:val="样式3"/>
    <w:basedOn w:val="41"/>
    <w:qFormat/>
    <w:uiPriority w:val="99"/>
    <w:rPr>
      <w:rFonts w:ascii="Times New Roman" w:hAnsi="Times New Roman" w:eastAsia="宋体" w:cs="Times New Roman"/>
      <w:kern w:val="0"/>
      <w:sz w:val="20"/>
      <w:szCs w:val="20"/>
    </w:rPr>
    <w:tblPr>
      <w:tblBorders>
        <w:top w:val="single" w:color="000000" w:sz="12" w:space="0"/>
        <w:bottom w:val="single" w:color="000000" w:sz="12" w:space="0"/>
        <w:insideH w:val="single" w:color="000000" w:sz="4" w:space="0"/>
        <w:insideV w:val="single" w:color="000000" w:sz="4" w:space="0"/>
      </w:tblBorders>
    </w:tblPr>
  </w:style>
  <w:style w:type="character" w:customStyle="1" w:styleId="291">
    <w:name w:val="正文文本 2 Char1"/>
    <w:basedOn w:val="43"/>
    <w:semiHidden/>
    <w:qFormat/>
    <w:uiPriority w:val="99"/>
    <w:rPr>
      <w:rFonts w:ascii="Times New Roman" w:hAnsi="Times New Roman" w:eastAsia="宋体" w:cs="Times New Roman"/>
      <w:sz w:val="24"/>
    </w:rPr>
  </w:style>
  <w:style w:type="character" w:customStyle="1" w:styleId="292">
    <w:name w:val="正文文本缩进 3 Char1"/>
    <w:basedOn w:val="43"/>
    <w:semiHidden/>
    <w:qFormat/>
    <w:uiPriority w:val="99"/>
    <w:rPr>
      <w:rFonts w:ascii="Times New Roman" w:hAnsi="Times New Roman" w:eastAsia="宋体" w:cs="Times New Roman"/>
      <w:sz w:val="16"/>
      <w:szCs w:val="16"/>
    </w:rPr>
  </w:style>
  <w:style w:type="table" w:customStyle="1" w:styleId="293">
    <w:name w:val="网格型5"/>
    <w:basedOn w:val="41"/>
    <w:qFormat/>
    <w:uiPriority w:val="9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4">
    <w:name w:val="网格型6"/>
    <w:basedOn w:val="41"/>
    <w:qFormat/>
    <w:uiPriority w:val="0"/>
    <w:pPr>
      <w:widowControl w:val="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
    <w:name w:val="网格型7"/>
    <w:basedOn w:val="41"/>
    <w:qFormat/>
    <w:uiPriority w:val="0"/>
    <w:pPr>
      <w:widowControl w:val="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
    <w:name w:val="网格型8"/>
    <w:basedOn w:val="41"/>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97">
    <w:name w:val="Table Normal"/>
    <w:semiHidden/>
    <w:qFormat/>
    <w:uiPriority w:val="2"/>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298">
    <w:name w:val="网格型9"/>
    <w:basedOn w:val="41"/>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
    <w:name w:val="灰度表格2"/>
    <w:basedOn w:val="41"/>
    <w:qFormat/>
    <w:uiPriority w:val="0"/>
    <w:rPr>
      <w:rFonts w:ascii="Calibri" w:hAnsi="Calibri"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style>
  <w:style w:type="character" w:customStyle="1" w:styleId="300">
    <w:name w:val="正文文本首行缩进 2 字符"/>
    <w:basedOn w:val="43"/>
    <w:semiHidden/>
    <w:qFormat/>
    <w:uiPriority w:val="99"/>
    <w:rPr>
      <w:rFonts w:ascii="Times New Roman" w:hAnsi="Times New Roman" w:eastAsia="宋体" w:cs="Times New Roman"/>
      <w:kern w:val="2"/>
      <w:sz w:val="24"/>
      <w:szCs w:val="22"/>
    </w:rPr>
  </w:style>
  <w:style w:type="character" w:customStyle="1" w:styleId="301">
    <w:name w:val="正文首行缩进 2 Char1"/>
    <w:qFormat/>
    <w:locked/>
    <w:uiPriority w:val="99"/>
    <w:rPr>
      <w:rFonts w:ascii="宋体" w:eastAsia="宋体" w:cs="宋体"/>
      <w:sz w:val="24"/>
      <w:szCs w:val="24"/>
    </w:rPr>
  </w:style>
  <w:style w:type="character" w:customStyle="1" w:styleId="302">
    <w:name w:val="Heading 4 Char"/>
    <w:semiHidden/>
    <w:qFormat/>
    <w:uiPriority w:val="9"/>
    <w:rPr>
      <w:rFonts w:ascii="Cambria" w:hAnsi="Cambria" w:eastAsia="宋体" w:cs="Times New Roman"/>
      <w:b/>
      <w:bCs/>
      <w:sz w:val="28"/>
      <w:szCs w:val="28"/>
    </w:rPr>
  </w:style>
  <w:style w:type="character" w:customStyle="1" w:styleId="303">
    <w:name w:val="Body Text Char"/>
    <w:semiHidden/>
    <w:qFormat/>
    <w:uiPriority w:val="99"/>
    <w:rPr>
      <w:rFonts w:cs="Calibri"/>
      <w:szCs w:val="21"/>
    </w:rPr>
  </w:style>
  <w:style w:type="character" w:customStyle="1" w:styleId="304">
    <w:name w:val="Balloon Text Char"/>
    <w:semiHidden/>
    <w:qFormat/>
    <w:uiPriority w:val="99"/>
    <w:rPr>
      <w:rFonts w:cs="Calibri"/>
      <w:sz w:val="16"/>
      <w:szCs w:val="0"/>
    </w:rPr>
  </w:style>
  <w:style w:type="character" w:customStyle="1" w:styleId="305">
    <w:name w:val="Comment Text Char"/>
    <w:semiHidden/>
    <w:qFormat/>
    <w:uiPriority w:val="99"/>
    <w:rPr>
      <w:rFonts w:cs="Calibri"/>
      <w:szCs w:val="21"/>
    </w:rPr>
  </w:style>
  <w:style w:type="character" w:customStyle="1" w:styleId="306">
    <w:name w:val="Body Text First Indent 2 Char"/>
    <w:basedOn w:val="80"/>
    <w:semiHidden/>
    <w:qFormat/>
    <w:uiPriority w:val="99"/>
    <w:rPr>
      <w:rFonts w:ascii="Times New Roman" w:hAnsi="Times New Roman" w:eastAsia="宋体" w:cs="Calibri"/>
      <w:kern w:val="2"/>
      <w:sz w:val="24"/>
      <w:szCs w:val="21"/>
    </w:rPr>
  </w:style>
  <w:style w:type="paragraph" w:customStyle="1" w:styleId="307">
    <w:name w:val="二级标题 Char Char Char"/>
    <w:basedOn w:val="1"/>
    <w:next w:val="1"/>
    <w:semiHidden/>
    <w:qFormat/>
    <w:uiPriority w:val="99"/>
    <w:pPr>
      <w:spacing w:line="529" w:lineRule="exact"/>
    </w:pPr>
    <w:rPr>
      <w:rFonts w:ascii="宋体" w:hAnsi="宋体" w:cs="宋体"/>
    </w:rPr>
  </w:style>
  <w:style w:type="character" w:customStyle="1" w:styleId="308">
    <w:name w:val="正文文本 字符"/>
    <w:basedOn w:val="43"/>
    <w:semiHidden/>
    <w:qFormat/>
    <w:uiPriority w:val="1"/>
    <w:rPr>
      <w:rFonts w:ascii="Times New Roman" w:hAnsi="Times New Roman" w:eastAsia="宋体" w:cs="Times New Roman"/>
      <w:kern w:val="2"/>
      <w:sz w:val="24"/>
      <w:szCs w:val="22"/>
    </w:rPr>
  </w:style>
  <w:style w:type="character" w:customStyle="1" w:styleId="309">
    <w:name w:val="正文文本缩进 2 字符"/>
    <w:basedOn w:val="43"/>
    <w:semiHidden/>
    <w:qFormat/>
    <w:uiPriority w:val="99"/>
    <w:rPr>
      <w:rFonts w:ascii="Times New Roman" w:hAnsi="Times New Roman" w:eastAsia="宋体" w:cs="Times New Roman"/>
      <w:kern w:val="2"/>
      <w:sz w:val="24"/>
      <w:szCs w:val="22"/>
    </w:rPr>
  </w:style>
  <w:style w:type="character" w:customStyle="1" w:styleId="310">
    <w:name w:val="纯文本 字符"/>
    <w:basedOn w:val="43"/>
    <w:semiHidden/>
    <w:qFormat/>
    <w:uiPriority w:val="99"/>
    <w:rPr>
      <w:rFonts w:ascii="宋体" w:hAnsi="Courier New" w:cs="Courier New"/>
      <w:kern w:val="2"/>
      <w:sz w:val="24"/>
      <w:szCs w:val="22"/>
    </w:rPr>
  </w:style>
  <w:style w:type="character" w:customStyle="1" w:styleId="311">
    <w:name w:val="标题 Char1"/>
    <w:basedOn w:val="43"/>
    <w:qFormat/>
    <w:uiPriority w:val="10"/>
    <w:rPr>
      <w:rFonts w:ascii="Cambria" w:hAnsi="Cambria" w:eastAsia="宋体" w:cs="Times New Roman"/>
      <w:b/>
      <w:bCs/>
      <w:sz w:val="32"/>
      <w:szCs w:val="32"/>
    </w:rPr>
  </w:style>
  <w:style w:type="character" w:customStyle="1" w:styleId="312">
    <w:name w:val="正文文本首行缩进 字符"/>
    <w:basedOn w:val="308"/>
    <w:semiHidden/>
    <w:qFormat/>
    <w:uiPriority w:val="99"/>
    <w:rPr>
      <w:rFonts w:ascii="Times New Roman" w:hAnsi="Times New Roman" w:eastAsia="宋体" w:cs="Times New Roman"/>
      <w:kern w:val="2"/>
      <w:sz w:val="24"/>
      <w:szCs w:val="22"/>
    </w:rPr>
  </w:style>
  <w:style w:type="character" w:customStyle="1" w:styleId="313">
    <w:name w:val="批注主题 Char1"/>
    <w:basedOn w:val="280"/>
    <w:semiHidden/>
    <w:qFormat/>
    <w:uiPriority w:val="99"/>
    <w:rPr>
      <w:rFonts w:ascii="Times New Roman" w:hAnsi="Times New Roman" w:eastAsia="宋体" w:cs="Times New Roman"/>
      <w:b/>
      <w:bCs/>
      <w:kern w:val="2"/>
      <w:sz w:val="24"/>
      <w:szCs w:val="22"/>
    </w:rPr>
  </w:style>
  <w:style w:type="table" w:customStyle="1" w:styleId="314">
    <w:name w:val="灰度表格3"/>
    <w:basedOn w:val="41"/>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15">
    <w:name w:val="标题3"/>
    <w:basedOn w:val="5"/>
    <w:next w:val="1"/>
    <w:link w:val="316"/>
    <w:qFormat/>
    <w:uiPriority w:val="0"/>
    <w:pPr>
      <w:keepLines w:val="0"/>
      <w:widowControl/>
      <w:numPr>
        <w:ilvl w:val="0"/>
        <w:numId w:val="0"/>
      </w:numPr>
      <w:tabs>
        <w:tab w:val="left" w:pos="1820"/>
      </w:tabs>
      <w:adjustRightInd/>
      <w:snapToGrid/>
      <w:spacing w:beforeLines="50" w:afterLines="50"/>
    </w:pPr>
    <w:rPr>
      <w:rFonts w:ascii="Times New Roman" w:hAnsi="Times New Roman" w:eastAsia="华文楷体"/>
      <w:bCs/>
      <w:snapToGrid/>
      <w:kern w:val="24"/>
      <w:sz w:val="32"/>
      <w:szCs w:val="26"/>
    </w:rPr>
  </w:style>
  <w:style w:type="character" w:customStyle="1" w:styleId="316">
    <w:name w:val="标题3 Char"/>
    <w:link w:val="315"/>
    <w:qFormat/>
    <w:uiPriority w:val="0"/>
    <w:rPr>
      <w:rFonts w:ascii="Times New Roman" w:hAnsi="Times New Roman" w:eastAsia="华文楷体" w:cs="Times New Roman"/>
      <w:b/>
      <w:bCs/>
      <w:kern w:val="24"/>
      <w:sz w:val="32"/>
      <w:szCs w:val="26"/>
    </w:rPr>
  </w:style>
  <w:style w:type="table" w:customStyle="1" w:styleId="317">
    <w:name w:val="灰度表格121"/>
    <w:basedOn w:val="41"/>
    <w:qFormat/>
    <w:uiPriority w:val="0"/>
    <w:pPr>
      <w:widowControl w:val="0"/>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8">
    <w:name w:val="Table Text"/>
    <w:basedOn w:val="1"/>
    <w:semiHidden/>
    <w:qFormat/>
    <w:uiPriority w:val="0"/>
    <w:rPr>
      <w:rFonts w:ascii="宋体" w:hAnsi="宋体" w:eastAsia="宋体" w:cs="宋体"/>
      <w:sz w:val="21"/>
      <w:szCs w:val="21"/>
      <w:lang w:val="en-US" w:eastAsia="en-US" w:bidi="ar-SA"/>
    </w:rPr>
  </w:style>
  <w:style w:type="paragraph" w:customStyle="1" w:styleId="319">
    <w:name w:val="样式6"/>
    <w:basedOn w:val="320"/>
    <w:next w:val="320"/>
    <w:qFormat/>
    <w:uiPriority w:val="0"/>
    <w:pPr>
      <w:numPr>
        <w:ilvl w:val="2"/>
        <w:numId w:val="3"/>
      </w:numPr>
      <w:tabs>
        <w:tab w:val="left" w:pos="987"/>
        <w:tab w:val="left" w:pos="1296"/>
      </w:tabs>
      <w:outlineLvl w:val="2"/>
    </w:pPr>
    <w:rPr>
      <w:rFonts w:eastAsia="宋体"/>
      <w:b w:val="0"/>
      <w:sz w:val="24"/>
    </w:rPr>
  </w:style>
  <w:style w:type="paragraph" w:customStyle="1" w:styleId="320">
    <w:name w:val="样式4"/>
    <w:basedOn w:val="1"/>
    <w:qFormat/>
    <w:uiPriority w:val="0"/>
    <w:pPr>
      <w:numPr>
        <w:ilvl w:val="1"/>
        <w:numId w:val="3"/>
      </w:numPr>
      <w:tabs>
        <w:tab w:val="left" w:pos="987"/>
      </w:tabs>
      <w:adjustRightInd w:val="0"/>
      <w:snapToGrid w:val="0"/>
      <w:spacing w:before="50" w:beforeLines="50" w:after="50" w:afterLines="50" w:line="360" w:lineRule="auto"/>
      <w:jc w:val="left"/>
      <w:outlineLvl w:val="1"/>
    </w:pPr>
    <w:rPr>
      <w:rFonts w:eastAsia="黑体"/>
      <w:b/>
      <w:sz w:val="28"/>
    </w:rPr>
  </w:style>
  <w:style w:type="paragraph" w:customStyle="1" w:styleId="321">
    <w:name w:val="4级标题"/>
    <w:basedOn w:val="322"/>
    <w:qFormat/>
    <w:uiPriority w:val="0"/>
    <w:pPr>
      <w:numPr>
        <w:ilvl w:val="3"/>
        <w:numId w:val="0"/>
      </w:numPr>
      <w:tabs>
        <w:tab w:val="left" w:pos="987"/>
        <w:tab w:val="left" w:pos="1079"/>
        <w:tab w:val="left" w:pos="1260"/>
        <w:tab w:val="left" w:pos="1404"/>
      </w:tabs>
      <w:ind w:left="1404" w:leftChars="200" w:hanging="864"/>
      <w:outlineLvl w:val="3"/>
    </w:pPr>
  </w:style>
  <w:style w:type="paragraph" w:customStyle="1" w:styleId="322">
    <w:name w:val="3级标题"/>
    <w:basedOn w:val="323"/>
    <w:qFormat/>
    <w:uiPriority w:val="0"/>
    <w:pPr>
      <w:numPr>
        <w:ilvl w:val="0"/>
        <w:numId w:val="0"/>
      </w:numPr>
      <w:tabs>
        <w:tab w:val="left" w:pos="987"/>
        <w:tab w:val="left" w:pos="1079"/>
        <w:tab w:val="left" w:pos="1260"/>
      </w:tabs>
      <w:ind w:left="1260" w:leftChars="200" w:hanging="720"/>
      <w:outlineLvl w:val="2"/>
    </w:pPr>
    <w:rPr>
      <w:rFonts w:eastAsia="宋体"/>
      <w:b w:val="0"/>
    </w:rPr>
  </w:style>
  <w:style w:type="paragraph" w:customStyle="1" w:styleId="323">
    <w:name w:val="2级标题"/>
    <w:basedOn w:val="1"/>
    <w:qFormat/>
    <w:uiPriority w:val="0"/>
    <w:pPr>
      <w:numPr>
        <w:ilvl w:val="1"/>
        <w:numId w:val="0"/>
      </w:numPr>
      <w:tabs>
        <w:tab w:val="left" w:pos="987"/>
      </w:tabs>
      <w:adjustRightInd w:val="0"/>
      <w:snapToGrid w:val="0"/>
      <w:spacing w:before="50" w:beforeLines="50" w:after="50" w:afterLines="50" w:line="360" w:lineRule="auto"/>
      <w:ind w:left="778" w:leftChars="200" w:hanging="578"/>
      <w:jc w:val="left"/>
      <w:outlineLvl w:val="1"/>
    </w:pPr>
    <w:rPr>
      <w:rFonts w:eastAsia="黑体"/>
      <w:b/>
      <w:sz w:val="24"/>
    </w:rPr>
  </w:style>
  <w:style w:type="paragraph" w:customStyle="1" w:styleId="324">
    <w:name w:val="A1表头"/>
    <w:basedOn w:val="325"/>
    <w:qFormat/>
    <w:uiPriority w:val="0"/>
    <w:pPr>
      <w:spacing w:after="0" w:line="240" w:lineRule="auto"/>
      <w:ind w:firstLine="0" w:firstLineChars="0"/>
      <w:jc w:val="center"/>
    </w:pPr>
    <w:rPr>
      <w:b/>
    </w:rPr>
  </w:style>
  <w:style w:type="paragraph" w:customStyle="1" w:styleId="325">
    <w:name w:val="A正文"/>
    <w:basedOn w:val="1"/>
    <w:qFormat/>
    <w:uiPriority w:val="0"/>
    <w:pPr>
      <w:spacing w:after="50" w:line="360" w:lineRule="auto"/>
      <w:ind w:firstLine="200" w:firstLineChars="200"/>
    </w:pPr>
  </w:style>
  <w:style w:type="character" w:customStyle="1" w:styleId="326">
    <w:name w:val="NormalCharacter"/>
    <w:semiHidden/>
    <w:qFormat/>
    <w:uiPriority w:val="0"/>
    <w:rPr>
      <w:rFonts w:ascii="Times New Roman" w:hAnsi="Times New Roman" w:eastAsia="宋体" w:cs="Times New Roman"/>
      <w:kern w:val="2"/>
      <w:sz w:val="24"/>
      <w:szCs w:val="24"/>
      <w:lang w:val="en-US" w:eastAsia="zh-CN" w:bidi="ar-SA"/>
    </w:rPr>
  </w:style>
  <w:style w:type="paragraph" w:customStyle="1" w:styleId="327">
    <w:name w:val="1正文"/>
    <w:basedOn w:val="1"/>
    <w:qFormat/>
    <w:uiPriority w:val="0"/>
    <w:pPr>
      <w:ind w:firstLine="200"/>
    </w:pPr>
    <w:rPr>
      <w:rFonts w:ascii="Calibri" w:hAnsi="Calibri"/>
      <w:szCs w:val="24"/>
    </w:rPr>
  </w:style>
  <w:style w:type="paragraph" w:customStyle="1" w:styleId="328">
    <w:name w:val="Char5"/>
    <w:basedOn w:val="1"/>
    <w:qFormat/>
    <w:uiPriority w:val="0"/>
    <w:pPr>
      <w:autoSpaceDE w:val="0"/>
      <w:spacing w:line="360" w:lineRule="auto"/>
      <w:ind w:firstLine="200" w:firstLineChars="200"/>
    </w:pPr>
    <w:rPr>
      <w:rFonts w:ascii="宋体" w:hAnsi="宋体" w:cs="宋体"/>
      <w:sz w:val="24"/>
      <w:szCs w:val="24"/>
    </w:rPr>
  </w:style>
  <w:style w:type="paragraph" w:customStyle="1" w:styleId="329">
    <w:name w:val="正文内容"/>
    <w:basedOn w:val="1"/>
    <w:qFormat/>
    <w:uiPriority w:val="0"/>
    <w:pPr>
      <w:snapToGrid w:val="0"/>
      <w:spacing w:line="360" w:lineRule="auto"/>
      <w:ind w:firstLine="482"/>
    </w:pPr>
  </w:style>
  <w:style w:type="paragraph" w:customStyle="1" w:styleId="330">
    <w:name w:val="表格—高"/>
    <w:basedOn w:val="1"/>
    <w:qFormat/>
    <w:uiPriority w:val="0"/>
    <w:pPr>
      <w:adjustRightInd w:val="0"/>
      <w:snapToGrid w:val="0"/>
      <w:spacing w:line="340" w:lineRule="exact"/>
      <w:ind w:firstLine="0" w:firstLineChars="0"/>
      <w:jc w:val="center"/>
    </w:pPr>
    <w:rPr>
      <w:rFonts w:ascii="Times New Roman" w:hAnsi="Times New Roman" w:eastAsia="宋体"/>
      <w:sz w:val="21"/>
    </w:rPr>
  </w:style>
  <w:style w:type="paragraph" w:customStyle="1" w:styleId="331">
    <w:name w:val="高-表头"/>
    <w:basedOn w:val="1"/>
    <w:next w:val="1"/>
    <w:qFormat/>
    <w:uiPriority w:val="0"/>
    <w:pPr>
      <w:spacing w:before="30" w:beforeLines="30" w:line="240" w:lineRule="auto"/>
      <w:ind w:firstLine="0" w:firstLineChars="0"/>
      <w:jc w:val="center"/>
    </w:pPr>
    <w:rPr>
      <w:rFonts w:ascii="Times New Roman" w:hAnsi="Times New Roman" w:eastAsia="宋体"/>
      <w:b/>
      <w:sz w:val="21"/>
    </w:rPr>
  </w:style>
  <w:style w:type="paragraph" w:customStyle="1" w:styleId="332">
    <w:name w:val="高-正文"/>
    <w:basedOn w:val="1"/>
    <w:qFormat/>
    <w:uiPriority w:val="0"/>
    <w:pPr>
      <w:topLinePunct/>
      <w:spacing w:line="360" w:lineRule="auto"/>
      <w:ind w:firstLine="964" w:firstLineChars="200"/>
      <w:jc w:val="both"/>
    </w:pPr>
    <w:rPr>
      <w:rFonts w:ascii="Times New Roman" w:hAnsi="Times New Roman" w:eastAsia="宋体"/>
      <w:sz w:val="24"/>
    </w:rPr>
  </w:style>
  <w:style w:type="paragraph" w:customStyle="1" w:styleId="333">
    <w:name w:val="正文—高"/>
    <w:basedOn w:val="1"/>
    <w:qFormat/>
    <w:uiPriority w:val="0"/>
    <w:pPr>
      <w:topLinePunct/>
      <w:ind w:firstLine="1040"/>
      <w:jc w:val="both"/>
      <w:textAlignment w:val="baseline"/>
    </w:pPr>
    <w:rPr>
      <w:rFonts w:ascii="Times New Roman" w:hAnsi="Times New Roman" w:eastAsia="宋体"/>
      <w:color w:val="000000"/>
      <w:kern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60.jpeg"/><Relationship Id="rId98" Type="http://schemas.openxmlformats.org/officeDocument/2006/relationships/image" Target="media/image59.png"/><Relationship Id="rId97" Type="http://schemas.openxmlformats.org/officeDocument/2006/relationships/image" Target="media/image58.png"/><Relationship Id="rId96" Type="http://schemas.openxmlformats.org/officeDocument/2006/relationships/image" Target="media/image57.jpeg"/><Relationship Id="rId95" Type="http://schemas.openxmlformats.org/officeDocument/2006/relationships/image" Target="media/image56.jpeg"/><Relationship Id="rId94" Type="http://schemas.openxmlformats.org/officeDocument/2006/relationships/image" Target="media/image55.jpeg"/><Relationship Id="rId93" Type="http://schemas.openxmlformats.org/officeDocument/2006/relationships/image" Target="media/image54.png"/><Relationship Id="rId92" Type="http://schemas.openxmlformats.org/officeDocument/2006/relationships/image" Target="media/image53.jpeg"/><Relationship Id="rId91" Type="http://schemas.openxmlformats.org/officeDocument/2006/relationships/image" Target="media/image52.jpeg"/><Relationship Id="rId90" Type="http://schemas.openxmlformats.org/officeDocument/2006/relationships/image" Target="media/image51.png"/><Relationship Id="rId9" Type="http://schemas.openxmlformats.org/officeDocument/2006/relationships/footer" Target="footer2.xml"/><Relationship Id="rId89" Type="http://schemas.openxmlformats.org/officeDocument/2006/relationships/image" Target="media/image50.png"/><Relationship Id="rId88" Type="http://schemas.openxmlformats.org/officeDocument/2006/relationships/image" Target="media/image49.png"/><Relationship Id="rId87" Type="http://schemas.openxmlformats.org/officeDocument/2006/relationships/image" Target="media/image48.png"/><Relationship Id="rId86" Type="http://schemas.openxmlformats.org/officeDocument/2006/relationships/image" Target="media/image47.png"/><Relationship Id="rId85" Type="http://schemas.openxmlformats.org/officeDocument/2006/relationships/image" Target="media/image46.jpeg"/><Relationship Id="rId84" Type="http://schemas.openxmlformats.org/officeDocument/2006/relationships/image" Target="media/image45.jpeg"/><Relationship Id="rId83" Type="http://schemas.openxmlformats.org/officeDocument/2006/relationships/image" Target="media/image44.jpeg"/><Relationship Id="rId82" Type="http://schemas.openxmlformats.org/officeDocument/2006/relationships/image" Target="media/image43.jpeg"/><Relationship Id="rId81" Type="http://schemas.openxmlformats.org/officeDocument/2006/relationships/image" Target="media/image42.jpeg"/><Relationship Id="rId80" Type="http://schemas.openxmlformats.org/officeDocument/2006/relationships/image" Target="media/image41.jpeg"/><Relationship Id="rId8" Type="http://schemas.openxmlformats.org/officeDocument/2006/relationships/footer" Target="footer1.xml"/><Relationship Id="rId79" Type="http://schemas.openxmlformats.org/officeDocument/2006/relationships/image" Target="media/image40.jpeg"/><Relationship Id="rId78" Type="http://schemas.openxmlformats.org/officeDocument/2006/relationships/image" Target="media/image39.jpeg"/><Relationship Id="rId77" Type="http://schemas.openxmlformats.org/officeDocument/2006/relationships/image" Target="media/image38.jpeg"/><Relationship Id="rId76" Type="http://schemas.openxmlformats.org/officeDocument/2006/relationships/image" Target="media/image37.jpeg"/><Relationship Id="rId75" Type="http://schemas.openxmlformats.org/officeDocument/2006/relationships/image" Target="media/image36.jpeg"/><Relationship Id="rId74" Type="http://schemas.openxmlformats.org/officeDocument/2006/relationships/image" Target="media/image35.jpeg"/><Relationship Id="rId73" Type="http://schemas.openxmlformats.org/officeDocument/2006/relationships/image" Target="media/image34.jpeg"/><Relationship Id="rId72" Type="http://schemas.openxmlformats.org/officeDocument/2006/relationships/image" Target="media/image33.jpeg"/><Relationship Id="rId71" Type="http://schemas.openxmlformats.org/officeDocument/2006/relationships/image" Target="media/image32.png"/><Relationship Id="rId70" Type="http://schemas.openxmlformats.org/officeDocument/2006/relationships/image" Target="media/image31.jpeg"/><Relationship Id="rId7" Type="http://schemas.openxmlformats.org/officeDocument/2006/relationships/header" Target="header3.xml"/><Relationship Id="rId69" Type="http://schemas.openxmlformats.org/officeDocument/2006/relationships/image" Target="media/image30.jpeg"/><Relationship Id="rId68" Type="http://schemas.openxmlformats.org/officeDocument/2006/relationships/image" Target="media/image29.jpeg"/><Relationship Id="rId67" Type="http://schemas.openxmlformats.org/officeDocument/2006/relationships/image" Target="media/image28.jpeg"/><Relationship Id="rId66" Type="http://schemas.openxmlformats.org/officeDocument/2006/relationships/image" Target="media/image27.jpeg"/><Relationship Id="rId65" Type="http://schemas.openxmlformats.org/officeDocument/2006/relationships/image" Target="media/image26.jpeg"/><Relationship Id="rId64" Type="http://schemas.openxmlformats.org/officeDocument/2006/relationships/image" Target="media/image25.jpeg"/><Relationship Id="rId63" Type="http://schemas.openxmlformats.org/officeDocument/2006/relationships/image" Target="media/image24.wmf"/><Relationship Id="rId62" Type="http://schemas.openxmlformats.org/officeDocument/2006/relationships/oleObject" Target="embeddings/oleObject14.bin"/><Relationship Id="rId61" Type="http://schemas.openxmlformats.org/officeDocument/2006/relationships/image" Target="media/image23.wmf"/><Relationship Id="rId60" Type="http://schemas.openxmlformats.org/officeDocument/2006/relationships/oleObject" Target="embeddings/oleObject13.bin"/><Relationship Id="rId6" Type="http://schemas.openxmlformats.org/officeDocument/2006/relationships/header" Target="header2.xml"/><Relationship Id="rId59" Type="http://schemas.openxmlformats.org/officeDocument/2006/relationships/image" Target="media/image22.wmf"/><Relationship Id="rId58" Type="http://schemas.openxmlformats.org/officeDocument/2006/relationships/oleObject" Target="embeddings/oleObject12.bin"/><Relationship Id="rId57" Type="http://schemas.openxmlformats.org/officeDocument/2006/relationships/image" Target="media/image21.wmf"/><Relationship Id="rId56" Type="http://schemas.openxmlformats.org/officeDocument/2006/relationships/oleObject" Target="embeddings/oleObject11.bin"/><Relationship Id="rId55" Type="http://schemas.openxmlformats.org/officeDocument/2006/relationships/image" Target="media/image20.png"/><Relationship Id="rId54" Type="http://schemas.openxmlformats.org/officeDocument/2006/relationships/oleObject" Target="embeddings/oleObject10.bin"/><Relationship Id="rId53" Type="http://schemas.openxmlformats.org/officeDocument/2006/relationships/oleObject" Target="embeddings/oleObject9.bin"/><Relationship Id="rId52" Type="http://schemas.openxmlformats.org/officeDocument/2006/relationships/image" Target="media/image19.wmf"/><Relationship Id="rId51" Type="http://schemas.openxmlformats.org/officeDocument/2006/relationships/oleObject" Target="embeddings/oleObject8.bin"/><Relationship Id="rId50" Type="http://schemas.openxmlformats.org/officeDocument/2006/relationships/image" Target="media/image18.wmf"/><Relationship Id="rId5" Type="http://schemas.openxmlformats.org/officeDocument/2006/relationships/header" Target="header1.xml"/><Relationship Id="rId49" Type="http://schemas.openxmlformats.org/officeDocument/2006/relationships/oleObject" Target="embeddings/oleObject7.bin"/><Relationship Id="rId48" Type="http://schemas.openxmlformats.org/officeDocument/2006/relationships/image" Target="media/image17.wmf"/><Relationship Id="rId47" Type="http://schemas.openxmlformats.org/officeDocument/2006/relationships/oleObject" Target="embeddings/oleObject6.bin"/><Relationship Id="rId46" Type="http://schemas.openxmlformats.org/officeDocument/2006/relationships/image" Target="media/image16.wmf"/><Relationship Id="rId45" Type="http://schemas.openxmlformats.org/officeDocument/2006/relationships/oleObject" Target="embeddings/oleObject5.bin"/><Relationship Id="rId44" Type="http://schemas.openxmlformats.org/officeDocument/2006/relationships/image" Target="media/image15.jpeg"/><Relationship Id="rId43" Type="http://schemas.openxmlformats.org/officeDocument/2006/relationships/image" Target="media/image14.png"/><Relationship Id="rId42" Type="http://schemas.openxmlformats.org/officeDocument/2006/relationships/image" Target="media/image13.emf"/><Relationship Id="rId41" Type="http://schemas.openxmlformats.org/officeDocument/2006/relationships/oleObject" Target="embeddings/oleObject4.bin"/><Relationship Id="rId40" Type="http://schemas.openxmlformats.org/officeDocument/2006/relationships/image" Target="media/image12.emf"/><Relationship Id="rId4" Type="http://schemas.openxmlformats.org/officeDocument/2006/relationships/endnotes" Target="endnotes.xml"/><Relationship Id="rId39" Type="http://schemas.openxmlformats.org/officeDocument/2006/relationships/oleObject" Target="embeddings/oleObject3.bin"/><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emf"/><Relationship Id="rId35" Type="http://schemas.openxmlformats.org/officeDocument/2006/relationships/oleObject" Target="embeddings/oleObject2.bin"/><Relationship Id="rId34" Type="http://schemas.openxmlformats.org/officeDocument/2006/relationships/image" Target="media/image8.pn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w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emf"/><Relationship Id="rId25" Type="http://schemas.openxmlformats.org/officeDocument/2006/relationships/theme" Target="theme/theme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64.jpeg"/><Relationship Id="rId102" Type="http://schemas.openxmlformats.org/officeDocument/2006/relationships/image" Target="media/image63.jpeg"/><Relationship Id="rId101" Type="http://schemas.openxmlformats.org/officeDocument/2006/relationships/image" Target="media/image62.jpeg"/><Relationship Id="rId100" Type="http://schemas.openxmlformats.org/officeDocument/2006/relationships/image" Target="media/image61.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201</Pages>
  <Words>822</Words>
  <Characters>1081</Characters>
  <Lines>1382</Lines>
  <Paragraphs>389</Paragraphs>
  <TotalTime>14</TotalTime>
  <ScaleCrop>false</ScaleCrop>
  <LinksUpToDate>false</LinksUpToDate>
  <CharactersWithSpaces>1225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2021-04-06T02:38:00Z</dcterms:created>
  <dc:creator>YONG</dc:creator>
  <cp:lastModifiedBy>演示人</cp:lastModifiedBy>
  <cp:lastPrinted>2024-12-24T08:34:00Z</cp:lastPrinted>
  <dcterms:modified xsi:type="dcterms:W3CDTF">2025-04-25T06:53:18Z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0328B1CB97EA4413872864E8AFE36D2B_13</vt:lpwstr>
  </property>
  <property fmtid="{D5CDD505-2E9C-101B-9397-08002B2CF9AE}" pid="4" name="KSOTemplateDocerSaveRecord">
    <vt:lpwstr>eyJoZGlkIjoiZjYyMmM5ZWViZDE5OGI0MjM4NzczOTJkMWU3N2M1YTEiLCJ1c2VySWQiOiIyNTgxMzQ3MjcifQ==</vt:lpwstr>
  </property>
</Properties>
</file>